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lmnr-def14a_021826.htm"/>
      <w:bookmarkStart w:id="1" w:name="kslmnrdef14a_021826"/>
      <w:bookmarkEnd w:id="0"/>
      <w:bookmarkEnd w:id="1"/>
      <w:r>
        <w:rPr>
          <w:bdr w:val="single" w:sz="16" w:space="1" w:color="000000"/>
        </w:rPr>
        <w:t> </w:t>
      </w:r>
    </w:p>
    <w:p>
      <w:pPr>
        <w:pStyle w:val="TextBody"/>
        <w:bidi w:val="0"/>
        <w:spacing w:before="0" w:after="0"/>
        <w:jc w:val="center"/>
        <w:rPr>
          <w:caps w:val="false"/>
          <w:smallCaps w:val="false"/>
          <w:bdr w:val="single" w:sz="8" w:space="36" w:color="000000"/>
        </w:rPr>
      </w:pPr>
      <w:r>
        <w:rPr>
          <w:caps w:val="false"/>
          <w:smallCaps w:val="false"/>
          <w:bdr w:val="single" w:sz="8" w:space="36" w:color="000000"/>
        </w:rPr>
        <w:t> </w:t>
      </w:r>
    </w:p>
    <w:p>
      <w:pPr>
        <w:pStyle w:val="TextBody"/>
        <w:bidi w:val="0"/>
        <w:spacing w:before="0" w:after="0"/>
        <w:jc w:val="center"/>
        <w:rPr>
          <w:rFonts w:ascii="Times New Roman;Times;Serif" w:hAnsi="Times New Roman;Times;Serif"/>
          <w:b/>
          <w:i w:val="false"/>
          <w:caps w:val="false"/>
          <w:smallCaps w:val="false"/>
          <w:sz w:val="28"/>
          <w:bdr w:val="single" w:sz="8" w:space="36" w:color="000000"/>
        </w:rPr>
      </w:pPr>
      <w:r>
        <w:rPr>
          <w:rFonts w:ascii="Times New Roman;Times;Serif" w:hAnsi="Times New Roman;Times;Serif"/>
          <w:b/>
          <w:i w:val="false"/>
          <w:caps w:val="false"/>
          <w:smallCaps w:val="false"/>
          <w:sz w:val="28"/>
          <w:bdr w:val="single" w:sz="8" w:space="36" w:color="000000"/>
        </w:rPr>
        <w:t>UNITED STATES</w:t>
        <w:br/>
        <w:t>SECURITIES AND EXCHANGE COMMISSION</w:t>
      </w:r>
    </w:p>
    <w:p>
      <w:pPr>
        <w:pStyle w:val="TextBody"/>
        <w:bidi w:val="0"/>
        <w:spacing w:before="0" w:after="0"/>
        <w:jc w:val="center"/>
        <w:rPr>
          <w:rFonts w:ascii="Times New Roman;Times;Serif" w:hAnsi="Times New Roman;Times;Serif"/>
          <w:b/>
          <w:i w:val="false"/>
          <w:caps w:val="false"/>
          <w:smallCaps w:val="false"/>
          <w:sz w:val="24"/>
          <w:bdr w:val="single" w:sz="8" w:space="36" w:color="000000"/>
        </w:rPr>
      </w:pPr>
      <w:r>
        <w:rPr>
          <w:rFonts w:ascii="Times New Roman;Times;Serif" w:hAnsi="Times New Roman;Times;Serif"/>
          <w:b/>
          <w:i w:val="false"/>
          <w:caps w:val="false"/>
          <w:smallCaps w:val="false"/>
          <w:sz w:val="24"/>
          <w:bdr w:val="single" w:sz="8" w:space="36" w:color="000000"/>
        </w:rPr>
        <w:t>Washington, D.C. 20549</w:t>
      </w:r>
    </w:p>
    <w:p>
      <w:pPr>
        <w:pStyle w:val="TextBody"/>
        <w:bidi w:val="0"/>
        <w:spacing w:before="0" w:after="0"/>
        <w:jc w:val="center"/>
        <w:rPr>
          <w:caps w:val="false"/>
          <w:smallCaps w:val="false"/>
          <w:bdr w:val="single" w:sz="8" w:space="36" w:color="000000"/>
        </w:rPr>
      </w:pPr>
      <w:r>
        <w:rPr>
          <w:caps w:val="false"/>
          <w:smallCaps w:val="false"/>
          <w:bdr w:val="single" w:sz="8" w:space="36" w:color="000000"/>
        </w:rPr>
        <w:t> </w:t>
      </w:r>
    </w:p>
    <w:p>
      <w:pPr>
        <w:pStyle w:val="TextBody"/>
        <w:bidi w:val="0"/>
        <w:spacing w:before="0" w:after="0"/>
        <w:jc w:val="center"/>
        <w:rPr>
          <w:rFonts w:ascii="Times New Roman;Times;Serif" w:hAnsi="Times New Roman;Times;Serif"/>
          <w:b/>
          <w:i w:val="false"/>
          <w:caps w:val="false"/>
          <w:smallCaps w:val="false"/>
          <w:sz w:val="36"/>
          <w:bdr w:val="single" w:sz="8" w:space="36" w:color="000000"/>
        </w:rPr>
      </w:pPr>
      <w:bookmarkStart w:id="2" w:name="xdx_903_edei--DocumentType_dxL_c20241101"/>
      <w:bookmarkEnd w:id="2"/>
      <w:r>
        <w:rPr>
          <w:rFonts w:ascii="Times New Roman;Times;Serif" w:hAnsi="Times New Roman;Times;Serif"/>
          <w:b/>
          <w:i w:val="false"/>
          <w:caps w:val="false"/>
          <w:smallCaps w:val="false"/>
          <w:sz w:val="36"/>
          <w:bdr w:val="single" w:sz="8" w:space="36" w:color="000000"/>
        </w:rPr>
        <w:t>SCHEDULE 14A</w:t>
      </w:r>
    </w:p>
    <w:p>
      <w:pPr>
        <w:pStyle w:val="TextBody"/>
        <w:bidi w:val="0"/>
        <w:spacing w:before="0" w:after="0"/>
        <w:jc w:val="center"/>
        <w:rPr>
          <w:caps w:val="false"/>
          <w:smallCaps w:val="false"/>
          <w:bdr w:val="single" w:sz="8" w:space="36" w:color="000000"/>
        </w:rPr>
      </w:pPr>
      <w:r>
        <w:rPr>
          <w:caps w:val="false"/>
          <w:smallCaps w:val="false"/>
          <w:bdr w:val="single" w:sz="8" w:space="36"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8" w:space="36" w:color="000000"/>
        </w:rPr>
      </w:pPr>
      <w:r>
        <w:rPr>
          <w:rFonts w:ascii="Times New Roman;Times;Serif" w:hAnsi="Times New Roman;Times;Serif"/>
          <w:b/>
          <w:i w:val="false"/>
          <w:caps w:val="false"/>
          <w:smallCaps w:val="false"/>
          <w:sz w:val="20"/>
          <w:bdr w:val="single" w:sz="8" w:space="36" w:color="000000"/>
        </w:rPr>
        <w:t>Proxy Statement Pursuant to Section 14(a) of</w:t>
      </w:r>
      <w:r>
        <w:rPr>
          <w:rFonts w:ascii="Times New Roman;Times;Serif" w:hAnsi="Times New Roman;Times;Serif"/>
          <w:b w:val="false"/>
          <w:i w:val="false"/>
          <w:caps w:val="false"/>
          <w:smallCaps w:val="false"/>
          <w:sz w:val="20"/>
          <w:bdr w:val="single" w:sz="8" w:space="36" w:color="000000"/>
        </w:rPr>
        <w:t> </w:t>
      </w:r>
    </w:p>
    <w:p>
      <w:pPr>
        <w:pStyle w:val="TextBody"/>
        <w:bidi w:val="0"/>
        <w:spacing w:before="0" w:after="0"/>
        <w:jc w:val="center"/>
        <w:rPr>
          <w:rFonts w:ascii="Times New Roman;Times;Serif" w:hAnsi="Times New Roman;Times;Serif"/>
          <w:b/>
          <w:i w:val="false"/>
          <w:caps w:val="false"/>
          <w:smallCaps w:val="false"/>
          <w:sz w:val="20"/>
          <w:bdr w:val="single" w:sz="8" w:space="36" w:color="000000"/>
        </w:rPr>
      </w:pPr>
      <w:r>
        <w:rPr>
          <w:rFonts w:ascii="Times New Roman;Times;Serif" w:hAnsi="Times New Roman;Times;Serif"/>
          <w:b/>
          <w:i w:val="false"/>
          <w:caps w:val="false"/>
          <w:smallCaps w:val="false"/>
          <w:sz w:val="20"/>
          <w:bdr w:val="single" w:sz="8" w:space="36" w:color="000000"/>
        </w:rPr>
        <w:t>The Securities Exchange Act of 1934 (Amendment No. )</w:t>
      </w:r>
    </w:p>
    <w:p>
      <w:pPr>
        <w:pStyle w:val="TextBody"/>
        <w:bidi w:val="0"/>
        <w:spacing w:before="0" w:after="0"/>
        <w:jc w:val="center"/>
        <w:rPr>
          <w:caps w:val="false"/>
          <w:smallCaps w:val="false"/>
          <w:bdr w:val="single" w:sz="8" w:space="36" w:color="000000"/>
        </w:rPr>
      </w:pPr>
      <w:r>
        <w:rPr>
          <w:caps w:val="false"/>
          <w:smallCaps w:val="false"/>
          <w:bdr w:val="single" w:sz="8" w:space="36" w:color="000000"/>
        </w:rPr>
        <w:t> </w:t>
      </w:r>
    </w:p>
    <w:p>
      <w:pPr>
        <w:pStyle w:val="TextBody"/>
        <w:bidi w:val="0"/>
        <w:spacing w:before="0" w:after="0"/>
        <w:jc w:val="left"/>
        <w:rPr>
          <w:rFonts w:ascii="Times New Roman;Times;Serif" w:hAnsi="Times New Roman;Times;Serif"/>
          <w:b w:val="false"/>
          <w:i w:val="false"/>
          <w:caps w:val="false"/>
          <w:smallCaps w:val="false"/>
          <w:sz w:val="20"/>
          <w:bdr w:val="single" w:sz="8" w:space="36" w:color="000000"/>
        </w:rPr>
      </w:pPr>
      <w:r>
        <w:rPr>
          <w:rFonts w:ascii="Times New Roman;Times;Serif" w:hAnsi="Times New Roman;Times;Serif"/>
          <w:b w:val="false"/>
          <w:i w:val="false"/>
          <w:caps w:val="false"/>
          <w:smallCaps w:val="false"/>
          <w:sz w:val="20"/>
          <w:bdr w:val="single" w:sz="8" w:space="36" w:color="000000"/>
        </w:rPr>
        <w:t>Filed by the Registrant ☒</w:t>
      </w:r>
    </w:p>
    <w:p>
      <w:pPr>
        <w:pStyle w:val="TextBody"/>
        <w:bidi w:val="0"/>
        <w:spacing w:before="0" w:after="0"/>
        <w:jc w:val="left"/>
        <w:rPr>
          <w:caps w:val="false"/>
          <w:smallCaps w:val="false"/>
          <w:bdr w:val="single" w:sz="8" w:space="36" w:color="000000"/>
        </w:rPr>
      </w:pPr>
      <w:r>
        <w:rPr>
          <w:caps w:val="false"/>
          <w:smallCaps w:val="false"/>
          <w:bdr w:val="single" w:sz="8" w:space="36" w:color="000000"/>
        </w:rPr>
        <w:t> </w:t>
      </w:r>
    </w:p>
    <w:p>
      <w:pPr>
        <w:pStyle w:val="TextBody"/>
        <w:bidi w:val="0"/>
        <w:spacing w:before="0" w:after="0"/>
        <w:jc w:val="left"/>
        <w:rPr>
          <w:rFonts w:ascii="Times New Roman;Times;Serif" w:hAnsi="Times New Roman;Times;Serif"/>
          <w:b w:val="false"/>
          <w:i w:val="false"/>
          <w:caps w:val="false"/>
          <w:smallCaps w:val="false"/>
          <w:sz w:val="20"/>
          <w:bdr w:val="single" w:sz="8" w:space="36" w:color="000000"/>
        </w:rPr>
      </w:pPr>
      <w:r>
        <w:rPr>
          <w:rFonts w:ascii="Times New Roman;Times;Serif" w:hAnsi="Times New Roman;Times;Serif"/>
          <w:b w:val="false"/>
          <w:i w:val="false"/>
          <w:caps w:val="false"/>
          <w:smallCaps w:val="false"/>
          <w:sz w:val="20"/>
          <w:bdr w:val="single" w:sz="8" w:space="36" w:color="000000"/>
        </w:rPr>
        <w:t>Filed by a Party other than the Registrant ☐</w:t>
      </w:r>
    </w:p>
    <w:p>
      <w:pPr>
        <w:pStyle w:val="TextBody"/>
        <w:bidi w:val="0"/>
        <w:spacing w:before="0" w:after="0"/>
        <w:jc w:val="left"/>
        <w:rPr>
          <w:caps w:val="false"/>
          <w:smallCaps w:val="false"/>
          <w:bdr w:val="single" w:sz="8" w:space="36" w:color="000000"/>
        </w:rPr>
      </w:pPr>
      <w:r>
        <w:rPr>
          <w:caps w:val="false"/>
          <w:smallCaps w:val="false"/>
          <w:bdr w:val="single" w:sz="8" w:space="36" w:color="000000"/>
        </w:rPr>
        <w:t> </w:t>
      </w:r>
    </w:p>
    <w:p>
      <w:pPr>
        <w:pStyle w:val="TextBody"/>
        <w:bidi w:val="0"/>
        <w:spacing w:before="0" w:after="0"/>
        <w:jc w:val="left"/>
        <w:rPr>
          <w:rFonts w:ascii="Times New Roman;Times;Serif" w:hAnsi="Times New Roman;Times;Serif"/>
          <w:b w:val="false"/>
          <w:i w:val="false"/>
          <w:caps w:val="false"/>
          <w:smallCaps w:val="false"/>
          <w:sz w:val="20"/>
          <w:bdr w:val="single" w:sz="8" w:space="36" w:color="000000"/>
        </w:rPr>
      </w:pPr>
      <w:r>
        <w:rPr>
          <w:rFonts w:ascii="Times New Roman;Times;Serif" w:hAnsi="Times New Roman;Times;Serif"/>
          <w:b w:val="false"/>
          <w:i w:val="false"/>
          <w:caps w:val="false"/>
          <w:smallCaps w:val="false"/>
          <w:sz w:val="20"/>
          <w:bdr w:val="single" w:sz="8" w:space="36" w:color="000000"/>
        </w:rPr>
        <w:t>Check the appropriate box:</w:t>
      </w:r>
    </w:p>
    <w:p>
      <w:pPr>
        <w:pStyle w:val="TextBody"/>
        <w:bidi w:val="0"/>
        <w:spacing w:before="0" w:after="0"/>
        <w:jc w:val="left"/>
        <w:rPr>
          <w:caps w:val="false"/>
          <w:smallCaps w:val="false"/>
          <w:bdr w:val="single" w:sz="8" w:space="36" w:color="000000"/>
        </w:rPr>
      </w:pPr>
      <w:r>
        <w:rPr>
          <w:caps w:val="false"/>
          <w:smallCaps w:val="false"/>
          <w:bdr w:val="single" w:sz="8" w:space="36" w:color="000000"/>
        </w:rPr>
        <w:t> </w:t>
      </w:r>
    </w:p>
    <w:tbl>
      <w:tblPr>
        <w:tblW w:w="2605" w:type="dxa"/>
        <w:jc w:val="left"/>
        <w:tblInd w:w="0" w:type="dxa"/>
        <w:tblLayout w:type="fixed"/>
        <w:tblCellMar>
          <w:top w:w="0" w:type="dxa"/>
          <w:left w:w="0" w:type="dxa"/>
          <w:bottom w:w="0" w:type="dxa"/>
          <w:right w:w="0" w:type="dxa"/>
        </w:tblCellMar>
      </w:tblPr>
      <w:tblGrid>
        <w:gridCol w:w="245"/>
        <w:gridCol w:w="2360"/>
      </w:tblGrid>
      <w:tr>
        <w:trPr/>
        <w:tc>
          <w:tcPr>
            <w:tcW w:w="245" w:type="dxa"/>
            <w:tcBorders/>
            <w:vAlign w:val="center"/>
          </w:tcPr>
          <w:p>
            <w:pPr>
              <w:pStyle w:val="TableContents"/>
              <w:bidi w:val="0"/>
              <w:spacing w:lineRule="atLeast" w:line="235" w:before="0" w:after="283"/>
              <w:jc w:val="left"/>
              <w:rPr>
                <w:caps w:val="false"/>
                <w:smallCaps w:val="false"/>
              </w:rPr>
            </w:pPr>
            <w:r>
              <w:rPr>
                <w:caps w:val="false"/>
                <w:smallCaps w:val="false"/>
              </w:rPr>
              <w:t>☐</w:t>
            </w:r>
          </w:p>
        </w:tc>
        <w:tc>
          <w:tcPr>
            <w:tcW w:w="2360" w:type="dxa"/>
            <w:tcBorders/>
            <w:vAlign w:val="center"/>
          </w:tcPr>
          <w:p>
            <w:pPr>
              <w:pStyle w:val="TableContents"/>
              <w:bidi w:val="0"/>
              <w:spacing w:lineRule="atLeast" w:line="235"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bl>
    <w:p>
      <w:pPr>
        <w:pStyle w:val="TextBody"/>
        <w:bidi w:val="0"/>
        <w:jc w:val="left"/>
        <w:rPr>
          <w:bdr w:val="single" w:sz="8" w:space="36" w:color="000000"/>
        </w:rPr>
      </w:pPr>
      <w:r>
        <w:rPr>
          <w:bdr w:val="single" w:sz="8" w:space="36" w:color="000000"/>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lineRule="atLeast" w:line="235" w:before="0" w:after="283"/>
              <w:jc w:val="left"/>
              <w:rPr>
                <w:caps w:val="false"/>
                <w:smallCaps w:val="false"/>
              </w:rPr>
            </w:pPr>
            <w:r>
              <w:rPr>
                <w:caps w:val="false"/>
                <w:smallCaps w:val="false"/>
              </w:rPr>
              <w:t>☐</w:t>
            </w:r>
          </w:p>
        </w:tc>
        <w:tc>
          <w:tcPr>
            <w:tcW w:w="6710" w:type="dxa"/>
            <w:tcBorders/>
            <w:vAlign w:val="center"/>
          </w:tcPr>
          <w:p>
            <w:pPr>
              <w:pStyle w:val="TableContents"/>
              <w:bidi w:val="0"/>
              <w:spacing w:lineRule="atLeast" w:line="235"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for Use of the Commission Only (as permitted by Rule 14a-6(e)(2))</w:t>
            </w:r>
          </w:p>
        </w:tc>
      </w:tr>
    </w:tbl>
    <w:p>
      <w:pPr>
        <w:pStyle w:val="TextBody"/>
        <w:bidi w:val="0"/>
        <w:jc w:val="left"/>
        <w:rPr>
          <w:bdr w:val="single" w:sz="8" w:space="36" w:color="000000"/>
        </w:rPr>
      </w:pPr>
      <w:r>
        <w:rPr>
          <w:bdr w:val="single" w:sz="8" w:space="36" w:color="000000"/>
        </w:rPr>
        <w:t> </w:t>
      </w:r>
    </w:p>
    <w:tbl>
      <w:tblPr>
        <w:tblW w:w="2485" w:type="dxa"/>
        <w:jc w:val="left"/>
        <w:tblInd w:w="0" w:type="dxa"/>
        <w:tblLayout w:type="fixed"/>
        <w:tblCellMar>
          <w:top w:w="0" w:type="dxa"/>
          <w:left w:w="0" w:type="dxa"/>
          <w:bottom w:w="0" w:type="dxa"/>
          <w:right w:w="0" w:type="dxa"/>
        </w:tblCellMar>
      </w:tblPr>
      <w:tblGrid>
        <w:gridCol w:w="245"/>
        <w:gridCol w:w="2240"/>
      </w:tblGrid>
      <w:tr>
        <w:trPr/>
        <w:tc>
          <w:tcPr>
            <w:tcW w:w="245" w:type="dxa"/>
            <w:tcBorders/>
            <w:vAlign w:val="center"/>
          </w:tcPr>
          <w:p>
            <w:pPr>
              <w:pStyle w:val="TableContents"/>
              <w:bidi w:val="0"/>
              <w:spacing w:lineRule="atLeast" w:line="235" w:before="0" w:after="283"/>
              <w:jc w:val="left"/>
              <w:rPr>
                <w:caps w:val="false"/>
                <w:smallCaps w:val="false"/>
              </w:rPr>
            </w:pPr>
            <w:r>
              <w:rPr>
                <w:caps w:val="false"/>
                <w:smallCaps w:val="false"/>
              </w:rPr>
              <w:t>☒</w:t>
            </w:r>
          </w:p>
        </w:tc>
        <w:tc>
          <w:tcPr>
            <w:tcW w:w="2240" w:type="dxa"/>
            <w:tcBorders/>
            <w:vAlign w:val="center"/>
          </w:tcPr>
          <w:p>
            <w:pPr>
              <w:pStyle w:val="TableContents"/>
              <w:bidi w:val="0"/>
              <w:spacing w:lineRule="atLeast" w:line="235"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bl>
    <w:p>
      <w:pPr>
        <w:pStyle w:val="TextBody"/>
        <w:bidi w:val="0"/>
        <w:jc w:val="left"/>
        <w:rPr>
          <w:bdr w:val="single" w:sz="8" w:space="36" w:color="000000"/>
        </w:rPr>
      </w:pPr>
      <w:r>
        <w:rPr>
          <w:bdr w:val="single" w:sz="8" w:space="36" w:color="000000"/>
        </w:rPr>
        <w:t> </w:t>
      </w:r>
    </w:p>
    <w:tbl>
      <w:tblPr>
        <w:tblW w:w="2845" w:type="dxa"/>
        <w:jc w:val="left"/>
        <w:tblInd w:w="0" w:type="dxa"/>
        <w:tblLayout w:type="fixed"/>
        <w:tblCellMar>
          <w:top w:w="0" w:type="dxa"/>
          <w:left w:w="0" w:type="dxa"/>
          <w:bottom w:w="0" w:type="dxa"/>
          <w:right w:w="0" w:type="dxa"/>
        </w:tblCellMar>
      </w:tblPr>
      <w:tblGrid>
        <w:gridCol w:w="245"/>
        <w:gridCol w:w="2600"/>
      </w:tblGrid>
      <w:tr>
        <w:trPr/>
        <w:tc>
          <w:tcPr>
            <w:tcW w:w="245" w:type="dxa"/>
            <w:tcBorders/>
            <w:vAlign w:val="center"/>
          </w:tcPr>
          <w:p>
            <w:pPr>
              <w:pStyle w:val="TableContents"/>
              <w:bidi w:val="0"/>
              <w:spacing w:lineRule="atLeast" w:line="235" w:before="0" w:after="283"/>
              <w:jc w:val="left"/>
              <w:rPr>
                <w:caps w:val="false"/>
                <w:smallCaps w:val="false"/>
              </w:rPr>
            </w:pPr>
            <w:r>
              <w:rPr>
                <w:caps w:val="false"/>
                <w:smallCaps w:val="false"/>
              </w:rPr>
              <w:t>☐</w:t>
            </w:r>
          </w:p>
        </w:tc>
        <w:tc>
          <w:tcPr>
            <w:tcW w:w="2600" w:type="dxa"/>
            <w:tcBorders/>
            <w:vAlign w:val="center"/>
          </w:tcPr>
          <w:p>
            <w:pPr>
              <w:pStyle w:val="TableContents"/>
              <w:bidi w:val="0"/>
              <w:spacing w:lineRule="atLeast" w:line="235"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bl>
    <w:p>
      <w:pPr>
        <w:pStyle w:val="TextBody"/>
        <w:bidi w:val="0"/>
        <w:jc w:val="left"/>
        <w:rPr>
          <w:bdr w:val="single" w:sz="8" w:space="36" w:color="000000"/>
        </w:rPr>
      </w:pPr>
      <w:r>
        <w:rPr>
          <w:bdr w:val="single" w:sz="8" w:space="36" w:color="000000"/>
        </w:rPr>
        <w:t> </w:t>
      </w:r>
    </w:p>
    <w:tbl>
      <w:tblPr>
        <w:tblW w:w="3865" w:type="dxa"/>
        <w:jc w:val="left"/>
        <w:tblInd w:w="0" w:type="dxa"/>
        <w:tblLayout w:type="fixed"/>
        <w:tblCellMar>
          <w:top w:w="0" w:type="dxa"/>
          <w:left w:w="0" w:type="dxa"/>
          <w:bottom w:w="0" w:type="dxa"/>
          <w:right w:w="0" w:type="dxa"/>
        </w:tblCellMar>
      </w:tblPr>
      <w:tblGrid>
        <w:gridCol w:w="245"/>
        <w:gridCol w:w="3620"/>
      </w:tblGrid>
      <w:tr>
        <w:trPr/>
        <w:tc>
          <w:tcPr>
            <w:tcW w:w="245" w:type="dxa"/>
            <w:tcBorders/>
            <w:vAlign w:val="center"/>
          </w:tcPr>
          <w:p>
            <w:pPr>
              <w:pStyle w:val="TableContents"/>
              <w:bidi w:val="0"/>
              <w:spacing w:lineRule="atLeast" w:line="235" w:before="0" w:after="283"/>
              <w:jc w:val="left"/>
              <w:rPr>
                <w:caps w:val="false"/>
                <w:smallCaps w:val="false"/>
              </w:rPr>
            </w:pPr>
            <w:r>
              <w:rPr>
                <w:caps w:val="false"/>
                <w:smallCaps w:val="false"/>
              </w:rPr>
              <w:t>☐</w:t>
            </w:r>
          </w:p>
        </w:tc>
        <w:tc>
          <w:tcPr>
            <w:tcW w:w="3620" w:type="dxa"/>
            <w:tcBorders/>
            <w:vAlign w:val="center"/>
          </w:tcPr>
          <w:p>
            <w:pPr>
              <w:pStyle w:val="TableContents"/>
              <w:bidi w:val="0"/>
              <w:spacing w:lineRule="atLeast" w:line="235"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§240.14a-12</w:t>
            </w:r>
          </w:p>
        </w:tc>
      </w:tr>
    </w:tbl>
    <w:p>
      <w:pPr>
        <w:pStyle w:val="TextBody"/>
        <w:bidi w:val="0"/>
        <w:spacing w:before="0" w:after="0"/>
        <w:jc w:val="center"/>
        <w:rPr>
          <w:caps w:val="false"/>
          <w:smallCaps w:val="false"/>
          <w:bdr w:val="single" w:sz="8" w:space="36" w:color="000000"/>
        </w:rPr>
      </w:pPr>
      <w:r>
        <w:rPr>
          <w:caps w:val="false"/>
          <w:smallCaps w:val="false"/>
          <w:bdr w:val="single" w:sz="8" w:space="36" w:color="000000"/>
        </w:rPr>
        <w:t> </w:t>
      </w:r>
    </w:p>
    <w:p>
      <w:pPr>
        <w:pStyle w:val="TextBody"/>
        <w:bidi w:val="0"/>
        <w:spacing w:before="0" w:after="0"/>
        <w:jc w:val="center"/>
        <w:rPr>
          <w:rFonts w:ascii="Times New Roman;Times;Serif" w:hAnsi="Times New Roman;Times;Serif"/>
          <w:b/>
          <w:i w:val="false"/>
          <w:caps w:val="false"/>
          <w:smallCaps w:val="false"/>
          <w:sz w:val="48"/>
          <w:bdr w:val="single" w:sz="8" w:space="36" w:color="000000"/>
        </w:rPr>
      </w:pPr>
      <w:bookmarkStart w:id="3" w:name="xdx_906_edei--EntityRegistrantName_c2024"/>
      <w:bookmarkEnd w:id="3"/>
      <w:r>
        <w:rPr>
          <w:rFonts w:ascii="Times New Roman;Times;Serif" w:hAnsi="Times New Roman;Times;Serif"/>
          <w:b/>
          <w:i w:val="false"/>
          <w:caps w:val="false"/>
          <w:smallCaps w:val="false"/>
          <w:sz w:val="48"/>
          <w:bdr w:val="single" w:sz="8" w:space="36" w:color="000000"/>
        </w:rPr>
        <w:t>LIMONEIRA COMPANY</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8" w:space="36" w:color="000000"/>
        </w:rPr>
      </w:pPr>
      <w:r>
        <w:rPr>
          <w:rFonts w:ascii="Times New Roman;Times;Serif" w:hAnsi="Times New Roman;Times;Serif"/>
          <w:b w:val="false"/>
          <w:i w:val="false"/>
          <w:caps w:val="false"/>
          <w:smallCaps w:val="false"/>
          <w:sz w:val="20"/>
          <w:bdr w:val="single" w:sz="8" w:space="36" w:color="000000"/>
        </w:rPr>
        <w:t>(Name of Registrant as Specified in Its Charter)</w:t>
      </w:r>
    </w:p>
    <w:p>
      <w:pPr>
        <w:pStyle w:val="TextBody"/>
        <w:bidi w:val="0"/>
        <w:spacing w:before="0" w:after="0"/>
        <w:jc w:val="center"/>
        <w:rPr>
          <w:caps w:val="false"/>
          <w:smallCaps w:val="false"/>
          <w:bdr w:val="single" w:sz="8" w:space="36" w:color="000000"/>
        </w:rPr>
      </w:pPr>
      <w:r>
        <w:rPr>
          <w:caps w:val="false"/>
          <w:smallCaps w:val="false"/>
          <w:bdr w:val="single" w:sz="8" w:space="36"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8" w:space="36" w:color="000000"/>
        </w:rPr>
      </w:pPr>
      <w:r>
        <w:rPr>
          <w:rFonts w:ascii="Times New Roman;Times;Serif" w:hAnsi="Times New Roman;Times;Serif"/>
          <w:b w:val="false"/>
          <w:i w:val="false"/>
          <w:caps w:val="false"/>
          <w:smallCaps w:val="false"/>
          <w:sz w:val="20"/>
          <w:bdr w:val="single" w:sz="8" w:space="36" w:color="000000"/>
        </w:rPr>
        <w:t>N/A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8" w:space="36" w:color="000000"/>
        </w:rPr>
      </w:pPr>
      <w:r>
        <w:rPr>
          <w:rFonts w:ascii="Times New Roman;Times;Serif" w:hAnsi="Times New Roman;Times;Serif"/>
          <w:b w:val="false"/>
          <w:i w:val="false"/>
          <w:caps w:val="false"/>
          <w:smallCaps w:val="false"/>
          <w:sz w:val="20"/>
          <w:bdr w:val="single" w:sz="8" w:space="36" w:color="000000"/>
        </w:rPr>
        <w:t>(Name of Person(s) Filing Proxy Statement, if other than the Registrant)</w:t>
      </w:r>
    </w:p>
    <w:p>
      <w:pPr>
        <w:pStyle w:val="TextBody"/>
        <w:bidi w:val="0"/>
        <w:spacing w:before="0" w:after="0"/>
        <w:jc w:val="center"/>
        <w:rPr>
          <w:caps w:val="false"/>
          <w:smallCaps w:val="false"/>
          <w:bdr w:val="single" w:sz="8" w:space="36" w:color="000000"/>
        </w:rPr>
      </w:pPr>
      <w:r>
        <w:rPr>
          <w:caps w:val="false"/>
          <w:smallCaps w:val="false"/>
          <w:bdr w:val="single" w:sz="8" w:space="36" w:color="000000"/>
        </w:rPr>
        <w:t> </w:t>
      </w:r>
    </w:p>
    <w:p>
      <w:pPr>
        <w:pStyle w:val="TextBody"/>
        <w:bidi w:val="0"/>
        <w:spacing w:before="0" w:after="0"/>
        <w:jc w:val="left"/>
        <w:rPr>
          <w:rFonts w:ascii="Times New Roman;Times;Serif" w:hAnsi="Times New Roman;Times;Serif"/>
          <w:b w:val="false"/>
          <w:i w:val="false"/>
          <w:caps w:val="false"/>
          <w:smallCaps w:val="false"/>
          <w:sz w:val="20"/>
          <w:bdr w:val="single" w:sz="8" w:space="36" w:color="000000"/>
        </w:rPr>
      </w:pPr>
      <w:r>
        <w:rPr>
          <w:rFonts w:ascii="Times New Roman;Times;Serif" w:hAnsi="Times New Roman;Times;Serif"/>
          <w:b w:val="false"/>
          <w:i w:val="false"/>
          <w:caps w:val="false"/>
          <w:smallCaps w:val="false"/>
          <w:sz w:val="20"/>
          <w:bdr w:val="single" w:sz="8" w:space="36" w:color="000000"/>
        </w:rPr>
        <w:t>Payment of Filing Fee (Check the appropriate box):</w:t>
      </w:r>
    </w:p>
    <w:p>
      <w:pPr>
        <w:pStyle w:val="TextBody"/>
        <w:bidi w:val="0"/>
        <w:spacing w:before="0" w:after="0"/>
        <w:jc w:val="left"/>
        <w:rPr>
          <w:caps w:val="false"/>
          <w:smallCaps w:val="false"/>
          <w:bdr w:val="single" w:sz="8" w:space="36" w:color="000000"/>
        </w:rPr>
      </w:pPr>
      <w:r>
        <w:rPr>
          <w:caps w:val="false"/>
          <w:smallCaps w:val="false"/>
          <w:bdr w:val="single" w:sz="8" w:space="36" w:color="000000"/>
        </w:rPr>
        <w:t> </w:t>
      </w:r>
    </w:p>
    <w:tbl>
      <w:tblPr>
        <w:tblW w:w="1570" w:type="dxa"/>
        <w:jc w:val="left"/>
        <w:tblInd w:w="0" w:type="dxa"/>
        <w:tblLayout w:type="fixed"/>
        <w:tblCellMar>
          <w:top w:w="0" w:type="dxa"/>
          <w:left w:w="0" w:type="dxa"/>
          <w:bottom w:w="0" w:type="dxa"/>
          <w:right w:w="0" w:type="dxa"/>
        </w:tblCellMar>
      </w:tblPr>
      <w:tblGrid>
        <w:gridCol w:w="245"/>
        <w:gridCol w:w="1325"/>
      </w:tblGrid>
      <w:tr>
        <w:trPr/>
        <w:tc>
          <w:tcPr>
            <w:tcW w:w="245" w:type="dxa"/>
            <w:tcBorders/>
            <w:vAlign w:val="center"/>
          </w:tcPr>
          <w:p>
            <w:pPr>
              <w:pStyle w:val="TableContents"/>
              <w:bidi w:val="0"/>
              <w:spacing w:lineRule="atLeast" w:line="235" w:before="0" w:after="283"/>
              <w:jc w:val="left"/>
              <w:rPr>
                <w:caps w:val="false"/>
                <w:smallCaps w:val="false"/>
              </w:rPr>
            </w:pPr>
            <w:r>
              <w:rPr>
                <w:caps w:val="false"/>
                <w:smallCaps w:val="false"/>
              </w:rPr>
              <w:t>☒</w:t>
            </w:r>
          </w:p>
        </w:tc>
        <w:tc>
          <w:tcPr>
            <w:tcW w:w="1325" w:type="dxa"/>
            <w:tcBorders/>
            <w:vAlign w:val="center"/>
          </w:tcPr>
          <w:p>
            <w:pPr>
              <w:pStyle w:val="TableContents"/>
              <w:bidi w:val="0"/>
              <w:spacing w:lineRule="atLeast" w:line="235"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bl>
    <w:p>
      <w:pPr>
        <w:pStyle w:val="TextBody"/>
        <w:bidi w:val="0"/>
        <w:jc w:val="left"/>
        <w:rPr>
          <w:bdr w:val="single" w:sz="8" w:space="36" w:color="000000"/>
        </w:rPr>
      </w:pPr>
      <w:r>
        <w:rPr>
          <w:bdr w:val="single" w:sz="8" w:space="36" w:color="000000"/>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lineRule="atLeast" w:line="235" w:before="0" w:after="283"/>
              <w:jc w:val="left"/>
              <w:rPr>
                <w:caps w:val="false"/>
                <w:smallCaps w:val="false"/>
              </w:rPr>
            </w:pPr>
            <w:r>
              <w:rPr>
                <w:caps w:val="false"/>
                <w:smallCaps w:val="false"/>
              </w:rPr>
              <w:t>☐</w:t>
            </w:r>
          </w:p>
        </w:tc>
        <w:tc>
          <w:tcPr>
            <w:tcW w:w="3860" w:type="dxa"/>
            <w:tcBorders/>
            <w:vAlign w:val="center"/>
          </w:tcPr>
          <w:p>
            <w:pPr>
              <w:pStyle w:val="TableContents"/>
              <w:bidi w:val="0"/>
              <w:spacing w:lineRule="atLeast" w:line="235"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bl>
    <w:p>
      <w:pPr>
        <w:pStyle w:val="TextBody"/>
        <w:bidi w:val="0"/>
        <w:jc w:val="left"/>
        <w:rPr>
          <w:bdr w:val="single" w:sz="8" w:space="36" w:color="000000"/>
        </w:rPr>
      </w:pPr>
      <w:r>
        <w:rPr>
          <w:bdr w:val="single" w:sz="8" w:space="36" w:color="000000"/>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lineRule="atLeast" w:line="235" w:before="0" w:after="283"/>
              <w:jc w:val="left"/>
              <w:rPr>
                <w:caps w:val="false"/>
                <w:smallCaps w:val="false"/>
              </w:rPr>
            </w:pPr>
            <w:r>
              <w:rPr>
                <w:caps w:val="false"/>
                <w:smallCaps w:val="false"/>
              </w:rPr>
              <w:t>☐</w:t>
            </w:r>
          </w:p>
        </w:tc>
        <w:tc>
          <w:tcPr>
            <w:tcW w:w="8300" w:type="dxa"/>
            <w:tcBorders/>
            <w:vAlign w:val="center"/>
          </w:tcPr>
          <w:p>
            <w:pPr>
              <w:pStyle w:val="TableContents"/>
              <w:bidi w:val="0"/>
              <w:spacing w:lineRule="atLeast" w:line="235"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r>
    </w:tbl>
    <w:p>
      <w:pPr>
        <w:pStyle w:val="TextBody"/>
        <w:bidi w:val="0"/>
        <w:jc w:val="left"/>
        <w:rPr>
          <w:bdr w:val="single" w:sz="8" w:space="36" w:color="000000"/>
        </w:rPr>
      </w:pPr>
      <w:r>
        <w:rPr>
          <w:bdr w:val="single" w:sz="8" w:space="36" w:color="000000"/>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8572500" cy="11134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00" cy="11134725"/>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bdr w:val="single" w:sz="8" w:space="1" w:color="336699"/>
        </w:rPr>
      </w:pPr>
      <w:r>
        <w:rPr>
          <w:caps w:val="false"/>
          <w:smallCaps w:val="false"/>
          <w:color w:val="FF0000"/>
          <w:bdr w:val="single" w:sz="8" w:space="1" w:color="336699"/>
        </w:rPr>
        <w:t> </w:t>
      </w:r>
    </w:p>
    <w:p>
      <w:pPr>
        <w:pStyle w:val="TextBody"/>
        <w:bidi w:val="0"/>
        <w:spacing w:before="0" w:after="0"/>
        <w:jc w:val="center"/>
        <w:rPr>
          <w:caps w:val="false"/>
          <w:smallCaps w:val="false"/>
          <w:color w:val="FF0000"/>
          <w:bdr w:val="single" w:sz="8" w:space="1" w:color="336699"/>
        </w:rPr>
      </w:pPr>
      <w:r>
        <w:rPr>
          <w:caps w:val="false"/>
          <w:smallCaps w:val="false"/>
          <w:color w:val="FF0000"/>
          <w:bdr w:val="single" w:sz="8" w:space="1" w:color="336699"/>
        </w:rPr>
        <w:drawing>
          <wp:inline distT="0" distB="0" distL="0" distR="0">
            <wp:extent cx="3000375" cy="495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000375" cy="495300"/>
                    </a:xfrm>
                    <a:prstGeom prst="rect">
                      <a:avLst/>
                    </a:prstGeom>
                  </pic:spPr>
                </pic:pic>
              </a:graphicData>
            </a:graphic>
          </wp:inline>
        </w:drawing>
      </w:r>
    </w:p>
    <w:p>
      <w:pPr>
        <w:pStyle w:val="TextBody"/>
        <w:bidi w:val="0"/>
        <w:spacing w:before="0" w:after="0"/>
        <w:ind w:left="0" w:right="0" w:hanging="0"/>
        <w:jc w:val="left"/>
        <w:rPr>
          <w:caps w:val="false"/>
          <w:smallCaps w:val="false"/>
          <w:color w:val="FF0000"/>
          <w:bdr w:val="single" w:sz="8" w:space="1" w:color="336699"/>
        </w:rPr>
      </w:pPr>
      <w:r>
        <w:rPr>
          <w:caps w:val="false"/>
          <w:smallCaps w:val="false"/>
          <w:color w:val="FF0000"/>
          <w:bdr w:val="single" w:sz="8" w:space="1" w:color="336699"/>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336699"/>
        </w:rPr>
      </w:pPr>
      <w:r>
        <w:rPr>
          <w:rFonts w:ascii="Arial;Helvetica;Sans-Serif" w:hAnsi="Arial;Helvetica;Sans-Serif"/>
          <w:b w:val="false"/>
          <w:i w:val="false"/>
          <w:caps w:val="false"/>
          <w:smallCaps w:val="false"/>
          <w:sz w:val="18"/>
          <w:bdr w:val="single" w:sz="8" w:space="1" w:color="336699"/>
        </w:rPr>
        <w:t>Dear Fellow Stockholder:</w:t>
      </w:r>
    </w:p>
    <w:p>
      <w:pPr>
        <w:pStyle w:val="TextBody"/>
        <w:bidi w:val="0"/>
        <w:spacing w:before="0" w:after="0"/>
        <w:ind w:left="0" w:right="0" w:hanging="0"/>
        <w:jc w:val="left"/>
        <w:rPr>
          <w:caps w:val="false"/>
          <w:smallCaps w:val="false"/>
          <w:bdr w:val="single" w:sz="8" w:space="1" w:color="336699"/>
        </w:rPr>
      </w:pPr>
      <w:r>
        <w:rPr>
          <w:caps w:val="false"/>
          <w:smallCaps w:val="false"/>
          <w:bdr w:val="single" w:sz="8" w:space="1" w:color="336699"/>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336699"/>
        </w:rPr>
      </w:pPr>
      <w:r>
        <w:rPr>
          <w:rFonts w:ascii="Arial;Helvetica;Sans-Serif" w:hAnsi="Arial;Helvetica;Sans-Serif"/>
          <w:b w:val="false"/>
          <w:i w:val="false"/>
          <w:caps w:val="false"/>
          <w:smallCaps w:val="false"/>
          <w:sz w:val="18"/>
          <w:bdr w:val="single" w:sz="8" w:space="1" w:color="336699"/>
        </w:rPr>
        <w:t>On behalf of the Board of Directors, it is my pleasure to invite you to attend the 2026 Annual Meeting of Stockholders (the “Annual Meeting”) of Limoneira Company, a Delaware corporation (the “Company” or “Limoneira”). The meeting will be held on March 25,2026, at 10:00 a.m., Pacific Time, at the Museum of Ventura County Agriculture Museum, 926 Railroad Avenue, Santa Paula, California 93060.</w:t>
      </w:r>
    </w:p>
    <w:p>
      <w:pPr>
        <w:pStyle w:val="TextBody"/>
        <w:bidi w:val="0"/>
        <w:spacing w:before="0" w:after="0"/>
        <w:ind w:left="0" w:right="0" w:hanging="0"/>
        <w:jc w:val="left"/>
        <w:rPr>
          <w:caps w:val="false"/>
          <w:smallCaps w:val="false"/>
          <w:bdr w:val="single" w:sz="8" w:space="1" w:color="336699"/>
        </w:rPr>
      </w:pPr>
      <w:r>
        <w:rPr>
          <w:caps w:val="false"/>
          <w:smallCaps w:val="false"/>
          <w:bdr w:val="single" w:sz="8" w:space="1" w:color="336699"/>
        </w:rPr>
        <w:t> </w:t>
      </w:r>
    </w:p>
    <w:p>
      <w:pPr>
        <w:pStyle w:val="TextBody"/>
        <w:bidi w:val="0"/>
        <w:spacing w:before="0" w:after="0"/>
        <w:ind w:left="0" w:right="0" w:hanging="0"/>
        <w:jc w:val="both"/>
        <w:rPr>
          <w:rFonts w:ascii="Arial;Helvetica;Sans-Serif" w:hAnsi="Arial;Helvetica;Sans-Serif"/>
          <w:b w:val="false"/>
          <w:i w:val="false"/>
          <w:caps w:val="false"/>
          <w:smallCaps w:val="false"/>
          <w:sz w:val="18"/>
          <w:bdr w:val="single" w:sz="8" w:space="1" w:color="336699"/>
        </w:rPr>
      </w:pPr>
      <w:r>
        <w:rPr>
          <w:rFonts w:ascii="Arial;Helvetica;Sans-Serif" w:hAnsi="Arial;Helvetica;Sans-Serif"/>
          <w:b w:val="false"/>
          <w:i w:val="false"/>
          <w:caps w:val="false"/>
          <w:smallCaps w:val="false"/>
          <w:sz w:val="18"/>
          <w:bdr w:val="single" w:sz="8" w:space="1" w:color="336699"/>
        </w:rPr>
        <w:t>Despite our best intentions and diligent efforts, the Company experienced disappointing financial performance in fiscal year 2025. An oversupply of lemons, less than optimal utilization in our usually reliable packing house, along with a smaller than expected avocado crop, was an adverse trifecta and the root cause of our underperformance.</w:t>
      </w:r>
    </w:p>
    <w:p>
      <w:pPr>
        <w:pStyle w:val="TextBody"/>
        <w:bidi w:val="0"/>
        <w:spacing w:before="0" w:after="0"/>
        <w:ind w:left="0" w:right="0" w:hanging="0"/>
        <w:jc w:val="both"/>
        <w:rPr>
          <w:caps w:val="false"/>
          <w:smallCaps w:val="false"/>
          <w:bdr w:val="single" w:sz="8" w:space="1" w:color="336699"/>
        </w:rPr>
      </w:pPr>
      <w:r>
        <w:rPr>
          <w:caps w:val="false"/>
          <w:smallCaps w:val="false"/>
          <w:bdr w:val="single" w:sz="8" w:space="1" w:color="336699"/>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336699"/>
        </w:rPr>
      </w:pPr>
      <w:r>
        <w:rPr>
          <w:rFonts w:ascii="Arial;Helvetica;Sans-Serif" w:hAnsi="Arial;Helvetica;Sans-Serif"/>
          <w:b w:val="false"/>
          <w:i w:val="false"/>
          <w:caps w:val="false"/>
          <w:smallCaps w:val="false"/>
          <w:sz w:val="18"/>
          <w:bdr w:val="single" w:sz="8" w:space="1" w:color="336699"/>
        </w:rPr>
        <w:t>Nevertheless, we continued to progress and improve our industry farming practices in our orchards while we planted still more avocados. On the horizon, we see our non-bearing avocado trees entering into full avocado production, and we hope to see rewards from these efforts in the years ahead.</w:t>
      </w:r>
    </w:p>
    <w:p>
      <w:pPr>
        <w:pStyle w:val="TextBody"/>
        <w:bidi w:val="0"/>
        <w:spacing w:before="0" w:after="0"/>
        <w:ind w:left="0" w:right="0" w:hanging="0"/>
        <w:jc w:val="left"/>
        <w:rPr>
          <w:caps w:val="false"/>
          <w:smallCaps w:val="false"/>
          <w:bdr w:val="single" w:sz="8" w:space="1" w:color="336699"/>
        </w:rPr>
      </w:pPr>
      <w:r>
        <w:rPr>
          <w:caps w:val="false"/>
          <w:smallCaps w:val="false"/>
          <w:bdr w:val="single" w:sz="8" w:space="1" w:color="336699"/>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336699"/>
        </w:rPr>
      </w:pPr>
      <w:r>
        <w:rPr>
          <w:rFonts w:ascii="Arial;Helvetica;Sans-Serif" w:hAnsi="Arial;Helvetica;Sans-Serif"/>
          <w:b w:val="false"/>
          <w:i w:val="false"/>
          <w:caps w:val="false"/>
          <w:smallCaps w:val="false"/>
          <w:sz w:val="18"/>
          <w:bdr w:val="single" w:sz="8" w:space="1" w:color="336699"/>
        </w:rPr>
        <w:t>Most notably, fiscal year 2025 was marked by our rejoinder with Sunkist. We believe this move will aid our effort to more efficiently and cost-effectively grow, pack and sell our lemons. We look forward to realizing improved margins while market conditions remain competitive, and we plan to remove unnecessary costs from our business.</w:t>
      </w:r>
    </w:p>
    <w:p>
      <w:pPr>
        <w:pStyle w:val="TextBody"/>
        <w:bidi w:val="0"/>
        <w:spacing w:before="0" w:after="0"/>
        <w:ind w:left="0" w:right="0" w:hanging="0"/>
        <w:jc w:val="left"/>
        <w:rPr>
          <w:caps w:val="false"/>
          <w:smallCaps w:val="false"/>
          <w:bdr w:val="single" w:sz="8" w:space="1" w:color="336699"/>
        </w:rPr>
      </w:pPr>
      <w:r>
        <w:rPr>
          <w:caps w:val="false"/>
          <w:smallCaps w:val="false"/>
          <w:bdr w:val="single" w:sz="8" w:space="1" w:color="336699"/>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336699"/>
        </w:rPr>
      </w:pPr>
      <w:r>
        <w:rPr>
          <w:rFonts w:ascii="Arial;Helvetica;Sans-Serif" w:hAnsi="Arial;Helvetica;Sans-Serif"/>
          <w:b w:val="false"/>
          <w:i w:val="false"/>
          <w:caps w:val="false"/>
          <w:smallCaps w:val="false"/>
          <w:sz w:val="18"/>
          <w:bdr w:val="single" w:sz="8" w:space="1" w:color="336699"/>
        </w:rPr>
        <w:t>While we must refine and improve our farming enterprise in fiscal year 2026, we are simultaneously preparing to roll out Phase 3 of our Harvest Project. We are also progressing our land transition strategy for Limco Del Mar, a 220-acre property wholly enveloped within the boundaries of the City of Ventura. Thus, as we endeavor to improve our sustainable farming operations, we seek to play our part in meeting the region’s dire need for new housing. To that end, we increased our ownership interest in Limco Del Mar from 28% to 55% and engaged professionals, planning experts and stakeholders for input which will help inform our design approach.</w:t>
      </w:r>
    </w:p>
    <w:p>
      <w:pPr>
        <w:pStyle w:val="TextBody"/>
        <w:bidi w:val="0"/>
        <w:spacing w:before="0" w:after="0"/>
        <w:ind w:left="0" w:right="0" w:hanging="0"/>
        <w:jc w:val="left"/>
        <w:rPr>
          <w:caps w:val="false"/>
          <w:smallCaps w:val="false"/>
          <w:bdr w:val="single" w:sz="8" w:space="1" w:color="336699"/>
        </w:rPr>
      </w:pPr>
      <w:r>
        <w:rPr>
          <w:caps w:val="false"/>
          <w:smallCaps w:val="false"/>
          <w:bdr w:val="single" w:sz="8" w:space="1" w:color="336699"/>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336699"/>
        </w:rPr>
      </w:pPr>
      <w:r>
        <w:rPr>
          <w:rFonts w:ascii="Arial;Helvetica;Sans-Serif" w:hAnsi="Arial;Helvetica;Sans-Serif"/>
          <w:b w:val="false"/>
          <w:i w:val="false"/>
          <w:caps w:val="false"/>
          <w:smallCaps w:val="false"/>
          <w:sz w:val="18"/>
          <w:bdr w:val="single" w:sz="8" w:space="1" w:color="336699"/>
        </w:rPr>
        <w:t>We believe community outreach and stockholder feedback, along with a strong and effective Board of Directors, are essential. The feedback we received throughout this challenging year has been invaluable in helping us chart a path forward. We are also pleased that, despite the challenges, we retooled our approach to more efficiently farm, our sustainable water supplies continued to meet our needs, and our intrinsic assets continue to increase in value, year over year. Management is methodically examining all the ways we can better leverage these assets in the best interests of our stockholders in fiscal year 2026 and beyond.</w:t>
      </w:r>
    </w:p>
    <w:p>
      <w:pPr>
        <w:pStyle w:val="TextBody"/>
        <w:bidi w:val="0"/>
        <w:spacing w:before="0" w:after="0"/>
        <w:ind w:left="0" w:right="0" w:hanging="0"/>
        <w:jc w:val="left"/>
        <w:rPr>
          <w:caps w:val="false"/>
          <w:smallCaps w:val="false"/>
          <w:bdr w:val="single" w:sz="8" w:space="1" w:color="336699"/>
        </w:rPr>
      </w:pPr>
      <w:r>
        <w:rPr>
          <w:caps w:val="false"/>
          <w:smallCaps w:val="false"/>
          <w:bdr w:val="single" w:sz="8" w:space="1" w:color="336699"/>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336699"/>
        </w:rPr>
      </w:pPr>
      <w:r>
        <w:rPr>
          <w:rFonts w:ascii="Arial;Helvetica;Sans-Serif" w:hAnsi="Arial;Helvetica;Sans-Serif"/>
          <w:b w:val="false"/>
          <w:i w:val="false"/>
          <w:caps w:val="false"/>
          <w:smallCaps w:val="false"/>
          <w:sz w:val="18"/>
          <w:bdr w:val="single" w:sz="8" w:space="1" w:color="336699"/>
        </w:rPr>
        <w:t>Enclosed please find our Notice of 2026 Annual Meeting of Stockholders and proxy statement, including a proxy card and our annual report. The proxy statement contains important information about the business to be conducted at the Annual Meeting, the proposals we will consider and how you can vote your shares. Please be sure to carefully follow the instructions contained in these proxy materials.</w:t>
      </w:r>
    </w:p>
    <w:p>
      <w:pPr>
        <w:pStyle w:val="TextBody"/>
        <w:bidi w:val="0"/>
        <w:spacing w:before="0" w:after="0"/>
        <w:ind w:left="0" w:right="0" w:hanging="0"/>
        <w:jc w:val="left"/>
        <w:rPr>
          <w:caps w:val="false"/>
          <w:smallCaps w:val="false"/>
          <w:bdr w:val="single" w:sz="8" w:space="1" w:color="336699"/>
        </w:rPr>
      </w:pPr>
      <w:r>
        <w:rPr>
          <w:caps w:val="false"/>
          <w:smallCaps w:val="false"/>
          <w:bdr w:val="single" w:sz="8" w:space="1" w:color="336699"/>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336699"/>
        </w:rPr>
      </w:pPr>
      <w:r>
        <w:rPr>
          <w:rFonts w:ascii="Arial;Helvetica;Sans-Serif" w:hAnsi="Arial;Helvetica;Sans-Serif"/>
          <w:b w:val="false"/>
          <w:i w:val="false"/>
          <w:caps w:val="false"/>
          <w:smallCaps w:val="false"/>
          <w:sz w:val="18"/>
          <w:bdr w:val="single" w:sz="8" w:space="1" w:color="336699"/>
        </w:rPr>
        <w:t>Your vote is very important to us. We encourage you to promptly vote your shares by telephone, Internet or by completing, signing, dating and returning the enclosed proxy card, which contains instructions on how you would like your shares to be voted. Please submit your proxy card regardless of whether you will attend the Annual Meeting. This will help us ensure that your vote is represented at the Annual Meeting.</w:t>
      </w:r>
    </w:p>
    <w:p>
      <w:pPr>
        <w:pStyle w:val="TextBody"/>
        <w:bidi w:val="0"/>
        <w:spacing w:before="0" w:after="0"/>
        <w:ind w:left="0" w:right="0" w:hanging="0"/>
        <w:jc w:val="left"/>
        <w:rPr>
          <w:caps w:val="false"/>
          <w:smallCaps w:val="false"/>
          <w:bdr w:val="single" w:sz="8" w:space="1" w:color="336699"/>
        </w:rPr>
      </w:pPr>
      <w:r>
        <w:rPr>
          <w:caps w:val="false"/>
          <w:smallCaps w:val="false"/>
          <w:bdr w:val="single" w:sz="8" w:space="1" w:color="336699"/>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336699"/>
        </w:rPr>
      </w:pPr>
      <w:r>
        <w:rPr>
          <w:rFonts w:ascii="Arial;Helvetica;Sans-Serif" w:hAnsi="Arial;Helvetica;Sans-Serif"/>
          <w:b w:val="false"/>
          <w:i w:val="false"/>
          <w:caps w:val="false"/>
          <w:smallCaps w:val="false"/>
          <w:sz w:val="18"/>
          <w:bdr w:val="single" w:sz="8" w:space="1" w:color="336699"/>
        </w:rPr>
        <w:t>Sincerely,</w:t>
      </w:r>
    </w:p>
    <w:p>
      <w:pPr>
        <w:pStyle w:val="TextBody"/>
        <w:bidi w:val="0"/>
        <w:spacing w:before="0" w:after="0"/>
        <w:ind w:left="0" w:right="0" w:hanging="0"/>
        <w:jc w:val="left"/>
        <w:rPr>
          <w:caps w:val="false"/>
          <w:smallCaps w:val="false"/>
          <w:bdr w:val="single" w:sz="8" w:space="1" w:color="336699"/>
        </w:rPr>
      </w:pPr>
      <w:r>
        <w:rPr>
          <w:caps w:val="false"/>
          <w:smallCaps w:val="false"/>
          <w:bdr w:val="single" w:sz="8" w:space="1" w:color="336699"/>
        </w:rPr>
        <w:t> </w:t>
      </w:r>
    </w:p>
    <w:p>
      <w:pPr>
        <w:pStyle w:val="TextBody"/>
        <w:bidi w:val="0"/>
        <w:spacing w:before="0" w:after="0"/>
        <w:ind w:left="0" w:right="0" w:hanging="0"/>
        <w:jc w:val="left"/>
        <w:rPr>
          <w:caps w:val="false"/>
          <w:smallCaps w:val="false"/>
          <w:bdr w:val="single" w:sz="8" w:space="1" w:color="336699"/>
        </w:rPr>
      </w:pPr>
      <w:r>
        <w:rPr>
          <w:caps w:val="false"/>
          <w:smallCaps w:val="false"/>
          <w:bdr w:val="single" w:sz="8" w:space="1" w:color="336699"/>
        </w:rPr>
        <w:drawing>
          <wp:inline distT="0" distB="0" distL="0" distR="0">
            <wp:extent cx="2190750" cy="666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90750" cy="666750"/>
                    </a:xfrm>
                    <a:prstGeom prst="rect">
                      <a:avLst/>
                    </a:prstGeom>
                  </pic:spPr>
                </pic:pic>
              </a:graphicData>
            </a:graphic>
          </wp:inline>
        </w:drawing>
      </w:r>
    </w:p>
    <w:p>
      <w:pPr>
        <w:pStyle w:val="TextBody"/>
        <w:bidi w:val="0"/>
        <w:spacing w:before="0" w:after="0"/>
        <w:ind w:left="0" w:right="0" w:hanging="0"/>
        <w:jc w:val="left"/>
        <w:rPr>
          <w:caps w:val="false"/>
          <w:smallCaps w:val="false"/>
          <w:bdr w:val="single" w:sz="8" w:space="1" w:color="336699"/>
        </w:rPr>
      </w:pPr>
      <w:r>
        <w:rPr>
          <w:caps w:val="false"/>
          <w:smallCaps w:val="false"/>
          <w:bdr w:val="single" w:sz="8" w:space="1" w:color="336699"/>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336699"/>
        </w:rPr>
      </w:pPr>
      <w:r>
        <w:rPr>
          <w:rFonts w:ascii="Arial;Helvetica;Sans-Serif" w:hAnsi="Arial;Helvetica;Sans-Serif"/>
          <w:b w:val="false"/>
          <w:i w:val="false"/>
          <w:caps w:val="false"/>
          <w:smallCaps w:val="false"/>
          <w:sz w:val="18"/>
          <w:bdr w:val="single" w:sz="8" w:space="1" w:color="336699"/>
        </w:rPr>
        <w:t>Scott S. Slater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336699"/>
        </w:rPr>
      </w:pPr>
      <w:r>
        <w:rPr>
          <w:rFonts w:ascii="Arial;Helvetica;Sans-Serif" w:hAnsi="Arial;Helvetica;Sans-Serif"/>
          <w:b w:val="false"/>
          <w:i w:val="false"/>
          <w:caps w:val="false"/>
          <w:smallCaps w:val="false"/>
          <w:sz w:val="18"/>
          <w:bdr w:val="single" w:sz="8" w:space="1" w:color="336699"/>
        </w:rPr>
        <w:t>Chairperson of the Board of Directors</w:t>
      </w:r>
    </w:p>
    <w:p>
      <w:pPr>
        <w:pStyle w:val="TextBody"/>
        <w:bidi w:val="0"/>
        <w:spacing w:before="0" w:after="0"/>
        <w:ind w:left="0" w:right="0" w:hanging="0"/>
        <w:jc w:val="left"/>
        <w:rPr>
          <w:caps w:val="false"/>
          <w:smallCaps w:val="false"/>
          <w:bdr w:val="single" w:sz="8" w:space="1" w:color="336699"/>
        </w:rPr>
      </w:pPr>
      <w:r>
        <w:rPr>
          <w:caps w:val="false"/>
          <w:smallCaps w:val="false"/>
          <w:bdr w:val="single" w:sz="8" w:space="1" w:color="336699"/>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bdr w:val="single" w:sz="8" w:space="1" w:color="336699"/>
        </w:rPr>
      </w:pPr>
      <w:r>
        <w:rPr>
          <w:caps w:val="false"/>
          <w:smallCaps w:val="false"/>
          <w:color w:val="FF0000"/>
          <w:bdr w:val="single" w:sz="8" w:space="1" w:color="336699"/>
        </w:rPr>
        <w:t> </w:t>
      </w:r>
    </w:p>
    <w:p>
      <w:pPr>
        <w:pStyle w:val="TextBody"/>
        <w:bidi w:val="0"/>
        <w:spacing w:before="0" w:after="0"/>
        <w:jc w:val="center"/>
        <w:rPr>
          <w:caps w:val="false"/>
          <w:smallCaps w:val="false"/>
          <w:color w:val="FF0000"/>
          <w:bdr w:val="single" w:sz="8" w:space="1" w:color="336699"/>
        </w:rPr>
      </w:pPr>
      <w:r>
        <w:rPr>
          <w:caps w:val="false"/>
          <w:smallCaps w:val="false"/>
          <w:color w:val="FF0000"/>
          <w:bdr w:val="single" w:sz="8" w:space="1" w:color="336699"/>
        </w:rPr>
        <w:drawing>
          <wp:inline distT="0" distB="0" distL="0" distR="0">
            <wp:extent cx="3000375" cy="495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000375" cy="495300"/>
                    </a:xfrm>
                    <a:prstGeom prst="rect">
                      <a:avLst/>
                    </a:prstGeom>
                  </pic:spPr>
                </pic:pic>
              </a:graphicData>
            </a:graphic>
          </wp:inline>
        </w:drawing>
      </w:r>
    </w:p>
    <w:p>
      <w:pPr>
        <w:pStyle w:val="TextBody"/>
        <w:bidi w:val="0"/>
        <w:spacing w:before="0" w:after="0"/>
        <w:ind w:left="0" w:right="0" w:hanging="0"/>
        <w:jc w:val="left"/>
        <w:rPr>
          <w:caps w:val="false"/>
          <w:smallCaps w:val="false"/>
          <w:color w:val="FF0000"/>
          <w:bdr w:val="single" w:sz="8" w:space="1" w:color="336699"/>
        </w:rPr>
      </w:pPr>
      <w:r>
        <w:rPr>
          <w:caps w:val="false"/>
          <w:smallCaps w:val="false"/>
          <w:color w:val="FF0000"/>
          <w:bdr w:val="single" w:sz="8" w:space="1" w:color="336699"/>
        </w:rPr>
        <w:t> </w:t>
      </w:r>
    </w:p>
    <w:p>
      <w:pPr>
        <w:pStyle w:val="TextBody"/>
        <w:bidi w:val="0"/>
        <w:spacing w:before="0" w:after="0"/>
        <w:ind w:left="0" w:right="0" w:hanging="0"/>
        <w:jc w:val="left"/>
        <w:rPr>
          <w:rFonts w:ascii="Arial;Helvetica;Sans-Serif" w:hAnsi="Arial;Helvetica;Sans-Serif"/>
          <w:b/>
          <w:i w:val="false"/>
          <w:caps w:val="false"/>
          <w:smallCaps w:val="false"/>
          <w:color w:val="008DCF"/>
          <w:sz w:val="26"/>
          <w:bdr w:val="single" w:sz="8" w:space="1" w:color="336699"/>
        </w:rPr>
      </w:pPr>
      <w:r>
        <w:rPr>
          <w:rFonts w:ascii="Arial;Helvetica;Sans-Serif" w:hAnsi="Arial;Helvetica;Sans-Serif"/>
          <w:b/>
          <w:i w:val="false"/>
          <w:caps w:val="false"/>
          <w:smallCaps w:val="false"/>
          <w:color w:val="008DCF"/>
          <w:sz w:val="26"/>
          <w:bdr w:val="single" w:sz="8" w:space="1" w:color="336699"/>
        </w:rPr>
        <w:t>NOTICE OF ANNUAL MEETING OF STOCKHOLDERS </w:t>
      </w:r>
    </w:p>
    <w:p>
      <w:pPr>
        <w:pStyle w:val="TextBody"/>
        <w:bidi w:val="0"/>
        <w:spacing w:before="0" w:after="0"/>
        <w:ind w:left="0" w:right="0" w:hanging="0"/>
        <w:jc w:val="left"/>
        <w:rPr>
          <w:rFonts w:ascii="Arial;Helvetica;Sans-Serif" w:hAnsi="Arial;Helvetica;Sans-Serif"/>
          <w:b/>
          <w:i w:val="false"/>
          <w:caps w:val="false"/>
          <w:smallCaps w:val="false"/>
          <w:color w:val="008DCF"/>
          <w:sz w:val="20"/>
          <w:bdr w:val="single" w:sz="8" w:space="1" w:color="336699"/>
        </w:rPr>
      </w:pPr>
      <w:r>
        <w:rPr>
          <w:rFonts w:ascii="Arial;Helvetica;Sans-Serif" w:hAnsi="Arial;Helvetica;Sans-Serif"/>
          <w:b/>
          <w:i w:val="false"/>
          <w:caps w:val="false"/>
          <w:smallCaps w:val="false"/>
          <w:color w:val="008DCF"/>
          <w:sz w:val="20"/>
          <w:bdr w:val="single" w:sz="8" w:space="1" w:color="336699"/>
        </w:rPr>
        <w:t>To Be Held Wednesday, March 25, 2026</w:t>
      </w:r>
    </w:p>
    <w:p>
      <w:pPr>
        <w:pStyle w:val="TextBody"/>
        <w:bidi w:val="0"/>
        <w:spacing w:before="0" w:after="0"/>
        <w:ind w:left="0" w:right="0" w:hanging="0"/>
        <w:jc w:val="left"/>
        <w:rPr>
          <w:caps w:val="false"/>
          <w:smallCaps w:val="false"/>
          <w:color w:val="008DCF"/>
          <w:bdr w:val="single" w:sz="8" w:space="1" w:color="336699"/>
        </w:rPr>
      </w:pPr>
      <w:r>
        <w:rPr>
          <w:caps w:val="false"/>
          <w:smallCaps w:val="false"/>
          <w:color w:val="008DCF"/>
          <w:bdr w:val="single" w:sz="8" w:space="1" w:color="336699"/>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336699"/>
        </w:rPr>
      </w:pPr>
      <w:r>
        <w:rPr>
          <w:rFonts w:ascii="Arial;Helvetica;Sans-Serif" w:hAnsi="Arial;Helvetica;Sans-Serif"/>
          <w:b w:val="false"/>
          <w:i w:val="false"/>
          <w:caps w:val="false"/>
          <w:smallCaps w:val="false"/>
          <w:sz w:val="18"/>
          <w:bdr w:val="single" w:sz="8" w:space="1" w:color="336699"/>
        </w:rPr>
        <w:t>Limoneira Company’s 2026 Annual Meeting of Stockholders (the “Annual Meeting”) will be held on Wednesday, March 25, 2026, at 10:00 a.m., Pacific Time, at the Museum of Ventura County Agriculture Museum, 926 Railroad Avenue, Santa Paula, California 93060, for the following purposes:</w:t>
      </w:r>
    </w:p>
    <w:p>
      <w:pPr>
        <w:pStyle w:val="TextBody"/>
        <w:bidi w:val="0"/>
        <w:spacing w:before="0" w:after="0"/>
        <w:ind w:left="0" w:right="0" w:hanging="0"/>
        <w:jc w:val="left"/>
        <w:rPr>
          <w:caps w:val="false"/>
          <w:smallCaps w:val="false"/>
          <w:bdr w:val="single" w:sz="8" w:space="1" w:color="336699"/>
        </w:rPr>
      </w:pPr>
      <w:r>
        <w:rPr>
          <w:caps w:val="false"/>
          <w:smallCaps w:val="false"/>
          <w:bdr w:val="single" w:sz="8" w:space="1" w:color="336699"/>
        </w:rPr>
        <w:t> </w:t>
      </w:r>
    </w:p>
    <w:tbl>
      <w:tblPr>
        <w:tblW w:w="8058" w:type="dxa"/>
        <w:jc w:val="left"/>
        <w:tblInd w:w="0" w:type="dxa"/>
        <w:tblLayout w:type="fixed"/>
        <w:tblCellMar>
          <w:top w:w="0" w:type="dxa"/>
          <w:left w:w="0" w:type="dxa"/>
          <w:bottom w:w="0" w:type="dxa"/>
          <w:right w:w="0" w:type="dxa"/>
        </w:tblCellMar>
      </w:tblPr>
      <w:tblGrid>
        <w:gridCol w:w="38"/>
        <w:gridCol w:w="170"/>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50" w:type="dxa"/>
            <w:tcBorders/>
            <w:vAlign w:val="center"/>
          </w:tcPr>
          <w:p>
            <w:pPr>
              <w:pStyle w:val="TableContents"/>
              <w:bidi w:val="0"/>
              <w:spacing w:before="0" w:after="283"/>
              <w:jc w:val="left"/>
              <w:rPr>
                <w:sz w:val="18"/>
              </w:rPr>
            </w:pPr>
            <w:r>
              <w:rPr>
                <w:sz w:val="18"/>
              </w:rPr>
              <w:t>to elect two (2) Class III directors to the Board of Directors, each to serve for a three-year term (“Proposal 1”);</w:t>
            </w:r>
          </w:p>
        </w:tc>
      </w:tr>
    </w:tbl>
    <w:p>
      <w:pPr>
        <w:pStyle w:val="TextBody"/>
        <w:bidi w:val="0"/>
        <w:spacing w:before="0" w:after="0"/>
        <w:ind w:left="0" w:right="0" w:hanging="0"/>
        <w:jc w:val="left"/>
        <w:rPr>
          <w:caps w:val="false"/>
          <w:smallCaps w:val="false"/>
          <w:bdr w:val="single" w:sz="8" w:space="1" w:color="336699"/>
        </w:rPr>
      </w:pPr>
      <w:r>
        <w:rPr>
          <w:caps w:val="false"/>
          <w:smallCaps w:val="false"/>
          <w:bdr w:val="single" w:sz="8" w:space="1" w:color="336699"/>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18"/>
              </w:rPr>
            </w:pPr>
            <w:r>
              <w:rPr>
                <w:sz w:val="18"/>
              </w:rPr>
              <w:t>to vote on an advisory resolution to approve the compensation of the Named Executive Officers as disclosed in this proxy statement (“Proposal 2”);</w:t>
            </w:r>
          </w:p>
        </w:tc>
      </w:tr>
    </w:tbl>
    <w:p>
      <w:pPr>
        <w:pStyle w:val="TextBody"/>
        <w:bidi w:val="0"/>
        <w:spacing w:before="0" w:after="0"/>
        <w:ind w:left="0" w:right="0" w:hanging="0"/>
        <w:jc w:val="left"/>
        <w:rPr>
          <w:caps w:val="false"/>
          <w:smallCaps w:val="false"/>
          <w:bdr w:val="single" w:sz="8" w:space="1" w:color="336699"/>
        </w:rPr>
      </w:pPr>
      <w:r>
        <w:rPr>
          <w:caps w:val="false"/>
          <w:smallCaps w:val="false"/>
          <w:bdr w:val="single" w:sz="8" w:space="1" w:color="336699"/>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18"/>
              </w:rPr>
            </w:pPr>
            <w:r>
              <w:rPr>
                <w:sz w:val="18"/>
              </w:rPr>
              <w:t>to ratify the appointment of Deloitte &amp; Touche LLP to serve as the independent registered public accounting firm for Limoneira Company for the fiscal year ending October 31, 2026 (“Proposal 3”); and</w:t>
            </w:r>
          </w:p>
        </w:tc>
      </w:tr>
    </w:tbl>
    <w:p>
      <w:pPr>
        <w:pStyle w:val="TextBody"/>
        <w:bidi w:val="0"/>
        <w:spacing w:before="0" w:after="0"/>
        <w:ind w:left="0" w:right="0" w:hanging="0"/>
        <w:jc w:val="left"/>
        <w:rPr>
          <w:caps w:val="false"/>
          <w:smallCaps w:val="false"/>
          <w:bdr w:val="single" w:sz="8" w:space="1" w:color="336699"/>
        </w:rPr>
      </w:pPr>
      <w:r>
        <w:rPr>
          <w:caps w:val="false"/>
          <w:smallCaps w:val="false"/>
          <w:bdr w:val="single" w:sz="8" w:space="1" w:color="336699"/>
        </w:rPr>
        <w:t> </w:t>
      </w:r>
    </w:p>
    <w:tbl>
      <w:tblPr>
        <w:tblW w:w="8598" w:type="dxa"/>
        <w:jc w:val="left"/>
        <w:tblInd w:w="0" w:type="dxa"/>
        <w:tblLayout w:type="fixed"/>
        <w:tblCellMar>
          <w:top w:w="0" w:type="dxa"/>
          <w:left w:w="0" w:type="dxa"/>
          <w:bottom w:w="0" w:type="dxa"/>
          <w:right w:w="0" w:type="dxa"/>
        </w:tblCellMar>
      </w:tblPr>
      <w:tblGrid>
        <w:gridCol w:w="38"/>
        <w:gridCol w:w="170"/>
        <w:gridCol w:w="8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90" w:type="dxa"/>
            <w:tcBorders/>
            <w:vAlign w:val="center"/>
          </w:tcPr>
          <w:p>
            <w:pPr>
              <w:pStyle w:val="TableContents"/>
              <w:bidi w:val="0"/>
              <w:spacing w:before="0" w:after="283"/>
              <w:jc w:val="left"/>
              <w:rPr>
                <w:sz w:val="18"/>
              </w:rPr>
            </w:pPr>
            <w:r>
              <w:rPr>
                <w:sz w:val="18"/>
              </w:rPr>
              <w:t>to transact such other business as may properly come before the meeting or any adjournment or postponement thereof.</w:t>
            </w:r>
          </w:p>
        </w:tc>
      </w:tr>
    </w:tbl>
    <w:p>
      <w:pPr>
        <w:pStyle w:val="TextBody"/>
        <w:bidi w:val="0"/>
        <w:spacing w:before="0" w:after="0"/>
        <w:ind w:left="0" w:right="0" w:hanging="0"/>
        <w:jc w:val="left"/>
        <w:rPr>
          <w:caps w:val="false"/>
          <w:smallCaps w:val="false"/>
          <w:bdr w:val="single" w:sz="8" w:space="1" w:color="336699"/>
        </w:rPr>
      </w:pPr>
      <w:r>
        <w:rPr>
          <w:caps w:val="false"/>
          <w:smallCaps w:val="false"/>
          <w:bdr w:val="single" w:sz="8" w:space="1" w:color="336699"/>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336699"/>
        </w:rPr>
      </w:pPr>
      <w:r>
        <w:rPr>
          <w:rFonts w:ascii="Arial;Helvetica;Sans-Serif" w:hAnsi="Arial;Helvetica;Sans-Serif"/>
          <w:b w:val="false"/>
          <w:i w:val="false"/>
          <w:caps w:val="false"/>
          <w:smallCaps w:val="false"/>
          <w:sz w:val="18"/>
          <w:bdr w:val="single" w:sz="8" w:space="1" w:color="336699"/>
        </w:rPr>
        <w:t>These matters are more fully described in the enclosed proxy statement. The Board of Directors recommends that you vote “FOR” ALL the director nominees, “FOR” the advisory approval of the compensation of the Named Executive Officers, and “FOR” the ratification of the independent registered public accounting firm.</w:t>
      </w:r>
    </w:p>
    <w:p>
      <w:pPr>
        <w:pStyle w:val="TextBody"/>
        <w:bidi w:val="0"/>
        <w:spacing w:before="0" w:after="0"/>
        <w:ind w:left="0" w:right="0" w:hanging="0"/>
        <w:jc w:val="left"/>
        <w:rPr>
          <w:caps w:val="false"/>
          <w:smallCaps w:val="false"/>
          <w:bdr w:val="single" w:sz="8" w:space="1" w:color="336699"/>
        </w:rPr>
      </w:pPr>
      <w:r>
        <w:rPr>
          <w:caps w:val="false"/>
          <w:smallCaps w:val="false"/>
          <w:bdr w:val="single" w:sz="8" w:space="1" w:color="336699"/>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336699"/>
        </w:rPr>
      </w:pPr>
      <w:r>
        <w:rPr>
          <w:rFonts w:ascii="Arial;Helvetica;Sans-Serif" w:hAnsi="Arial;Helvetica;Sans-Serif"/>
          <w:b w:val="false"/>
          <w:i w:val="false"/>
          <w:caps w:val="false"/>
          <w:smallCaps w:val="false"/>
          <w:sz w:val="18"/>
          <w:bdr w:val="single" w:sz="8" w:space="1" w:color="336699"/>
        </w:rPr>
        <w:t>Stockholders of record at the close of business on January 30, 2026, the record date, will be entitled to notice of, and to vote at, the Annual Meeting and at any subsequent adjournments or postponements. A list of stockholders entitled to vote at the Annual Meeting will be available for inspection for ten (10) days preceding the Annual Meeting at our principal executive offices at 1141 Cummings Road, Santa Paula, California 93060. We will begin mailing the Notice of Annual Meeting, proxy statement and proxy card on or about February 18, 2026, to stockholders of record at the close of business on January 30, 2026.</w:t>
      </w:r>
    </w:p>
    <w:p>
      <w:pPr>
        <w:pStyle w:val="TextBody"/>
        <w:bidi w:val="0"/>
        <w:spacing w:before="0" w:after="0"/>
        <w:ind w:left="0" w:right="0" w:hanging="0"/>
        <w:jc w:val="left"/>
        <w:rPr>
          <w:caps w:val="false"/>
          <w:smallCaps w:val="false"/>
          <w:bdr w:val="single" w:sz="8" w:space="1" w:color="336699"/>
        </w:rPr>
      </w:pPr>
      <w:r>
        <w:rPr>
          <w:caps w:val="false"/>
          <w:smallCaps w:val="false"/>
          <w:bdr w:val="single" w:sz="8" w:space="1" w:color="336699"/>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336699"/>
        </w:rPr>
      </w:pPr>
      <w:r>
        <w:rPr>
          <w:rFonts w:ascii="Arial;Helvetica;Sans-Serif" w:hAnsi="Arial;Helvetica;Sans-Serif"/>
          <w:b w:val="false"/>
          <w:i w:val="false"/>
          <w:caps w:val="false"/>
          <w:smallCaps w:val="false"/>
          <w:sz w:val="18"/>
          <w:bdr w:val="single" w:sz="8" w:space="1" w:color="336699"/>
        </w:rPr>
        <w:t>To be sure that your shares are properly represented at the meeting, whether or not you attend, please promptly vote your shares either by telephone, Internet or by completing, signing, dating and returning the enclosed proxy card in the accompanying pre-addressed envelope. We must receive your proxy card no later than 11:59 p.m., Pacific Time, on Tuesday, March 24, 2026.</w:t>
      </w:r>
    </w:p>
    <w:p>
      <w:pPr>
        <w:pStyle w:val="TextBody"/>
        <w:bidi w:val="0"/>
        <w:spacing w:before="0" w:after="0"/>
        <w:ind w:left="0" w:right="0" w:hanging="0"/>
        <w:jc w:val="left"/>
        <w:rPr>
          <w:caps w:val="false"/>
          <w:smallCaps w:val="false"/>
          <w:bdr w:val="single" w:sz="8" w:space="1" w:color="336699"/>
        </w:rPr>
      </w:pPr>
      <w:r>
        <w:rPr>
          <w:caps w:val="false"/>
          <w:smallCaps w:val="false"/>
          <w:bdr w:val="single" w:sz="8" w:space="1" w:color="336699"/>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336699"/>
        </w:rPr>
      </w:pPr>
      <w:r>
        <w:rPr>
          <w:rFonts w:ascii="Arial;Helvetica;Sans-Serif" w:hAnsi="Arial;Helvetica;Sans-Serif"/>
          <w:b w:val="false"/>
          <w:i w:val="false"/>
          <w:caps w:val="false"/>
          <w:smallCaps w:val="false"/>
          <w:sz w:val="18"/>
          <w:bdr w:val="single" w:sz="8" w:space="1" w:color="336699"/>
        </w:rPr>
        <w:t>You will be required to bring certain documents with you to be admitted to the Annual Meeting. Please carefully read the sections in the proxy materials on attending and voting at the Annual Meeting to ensure that you comply with these requirements.</w:t>
      </w:r>
    </w:p>
    <w:p>
      <w:pPr>
        <w:pStyle w:val="TextBody"/>
        <w:bidi w:val="0"/>
        <w:spacing w:before="0" w:after="0"/>
        <w:ind w:left="0" w:right="0" w:hanging="0"/>
        <w:jc w:val="left"/>
        <w:rPr>
          <w:caps w:val="false"/>
          <w:smallCaps w:val="false"/>
          <w:bdr w:val="single" w:sz="8" w:space="1" w:color="336699"/>
        </w:rPr>
      </w:pPr>
      <w:r>
        <w:rPr>
          <w:caps w:val="false"/>
          <w:smallCaps w:val="false"/>
          <w:bdr w:val="single" w:sz="8" w:space="1" w:color="336699"/>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336699"/>
        </w:rPr>
      </w:pPr>
      <w:r>
        <w:rPr>
          <w:rFonts w:ascii="Arial;Helvetica;Sans-Serif" w:hAnsi="Arial;Helvetica;Sans-Serif"/>
          <w:b w:val="false"/>
          <w:i w:val="false"/>
          <w:caps w:val="false"/>
          <w:smallCaps w:val="false"/>
          <w:sz w:val="18"/>
          <w:bdr w:val="single" w:sz="8" w:space="1" w:color="336699"/>
        </w:rPr>
        <w:t>By order of the Board of Directors.</w:t>
      </w:r>
    </w:p>
    <w:p>
      <w:pPr>
        <w:pStyle w:val="TextBody"/>
        <w:bidi w:val="0"/>
        <w:spacing w:before="0" w:after="0"/>
        <w:ind w:left="0" w:right="0" w:hanging="0"/>
        <w:jc w:val="left"/>
        <w:rPr>
          <w:caps w:val="false"/>
          <w:smallCaps w:val="false"/>
          <w:bdr w:val="single" w:sz="8" w:space="1" w:color="336699"/>
        </w:rPr>
      </w:pPr>
      <w:r>
        <w:rPr>
          <w:caps w:val="false"/>
          <w:smallCaps w:val="false"/>
          <w:bdr w:val="single" w:sz="8" w:space="1" w:color="336699"/>
        </w:rPr>
        <w:t> </w:t>
      </w:r>
    </w:p>
    <w:p>
      <w:pPr>
        <w:pStyle w:val="TextBody"/>
        <w:bidi w:val="0"/>
        <w:spacing w:before="0" w:after="0"/>
        <w:ind w:left="0" w:right="0" w:hanging="0"/>
        <w:jc w:val="left"/>
        <w:rPr>
          <w:caps w:val="false"/>
          <w:smallCaps w:val="false"/>
          <w:bdr w:val="single" w:sz="8" w:space="1" w:color="336699"/>
        </w:rPr>
      </w:pPr>
      <w:r>
        <w:rPr>
          <w:caps w:val="false"/>
          <w:smallCaps w:val="false"/>
          <w:bdr w:val="single" w:sz="8" w:space="1" w:color="336699"/>
        </w:rPr>
        <w:drawing>
          <wp:inline distT="0" distB="0" distL="0" distR="0">
            <wp:extent cx="2381250" cy="7810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381250" cy="781050"/>
                    </a:xfrm>
                    <a:prstGeom prst="rect">
                      <a:avLst/>
                    </a:prstGeom>
                  </pic:spPr>
                </pic:pic>
              </a:graphicData>
            </a:graphic>
          </wp:inline>
        </w:drawing>
      </w:r>
    </w:p>
    <w:p>
      <w:pPr>
        <w:pStyle w:val="TextBody"/>
        <w:bidi w:val="0"/>
        <w:spacing w:before="0" w:after="0"/>
        <w:ind w:left="0" w:right="0" w:hanging="0"/>
        <w:jc w:val="left"/>
        <w:rPr>
          <w:caps w:val="false"/>
          <w:smallCaps w:val="false"/>
          <w:bdr w:val="single" w:sz="8" w:space="1" w:color="336699"/>
        </w:rPr>
      </w:pPr>
      <w:r>
        <w:rPr>
          <w:caps w:val="false"/>
          <w:smallCaps w:val="false"/>
          <w:bdr w:val="single" w:sz="8" w:space="1" w:color="336699"/>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336699"/>
        </w:rPr>
      </w:pPr>
      <w:r>
        <w:rPr>
          <w:rFonts w:ascii="Arial;Helvetica;Sans-Serif" w:hAnsi="Arial;Helvetica;Sans-Serif"/>
          <w:b w:val="false"/>
          <w:i w:val="false"/>
          <w:caps w:val="false"/>
          <w:smallCaps w:val="false"/>
          <w:sz w:val="18"/>
          <w:bdr w:val="single" w:sz="8" w:space="1" w:color="336699"/>
        </w:rPr>
        <w:t>Amy Fukutomi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336699"/>
        </w:rPr>
      </w:pPr>
      <w:r>
        <w:rPr>
          <w:rFonts w:ascii="Arial;Helvetica;Sans-Serif" w:hAnsi="Arial;Helvetica;Sans-Serif"/>
          <w:b w:val="false"/>
          <w:i w:val="false"/>
          <w:caps w:val="false"/>
          <w:smallCaps w:val="false"/>
          <w:sz w:val="18"/>
          <w:bdr w:val="single" w:sz="8" w:space="1" w:color="336699"/>
        </w:rPr>
        <w:t>Vice President of Human Resources, Compliance &amp; Corporate Secretary</w:t>
      </w:r>
    </w:p>
    <w:p>
      <w:pPr>
        <w:pStyle w:val="TextBody"/>
        <w:bidi w:val="0"/>
        <w:spacing w:before="0" w:after="0"/>
        <w:ind w:left="0" w:right="0" w:hanging="0"/>
        <w:jc w:val="left"/>
        <w:rPr>
          <w:caps w:val="false"/>
          <w:smallCaps w:val="false"/>
          <w:bdr w:val="single" w:sz="8" w:space="1" w:color="336699"/>
        </w:rPr>
      </w:pPr>
      <w:r>
        <w:rPr>
          <w:caps w:val="false"/>
          <w:smallCaps w:val="false"/>
          <w:bdr w:val="single" w:sz="8" w:space="1" w:color="336699"/>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195" w:type="dxa"/>
        <w:jc w:val="left"/>
        <w:tblInd w:w="-10" w:type="dxa"/>
        <w:tblLayout w:type="fixed"/>
        <w:tblCellMar>
          <w:top w:w="200" w:type="dxa"/>
          <w:left w:w="300" w:type="dxa"/>
          <w:bottom w:w="0" w:type="dxa"/>
          <w:right w:w="0" w:type="dxa"/>
        </w:tblCellMar>
      </w:tblPr>
      <w:tblGrid>
        <w:gridCol w:w="6980"/>
        <w:gridCol w:w="215"/>
      </w:tblGrid>
      <w:tr>
        <w:trPr/>
        <w:tc>
          <w:tcPr>
            <w:tcW w:w="6980" w:type="dxa"/>
            <w:tcBorders>
              <w:top w:val="single" w:sz="8" w:space="0" w:color="66CCFF"/>
              <w:left w:val="single" w:sz="8" w:space="0" w:color="66CCFF"/>
            </w:tcBorders>
            <w:shd w:fill="003366" w:val="clear"/>
            <w:vAlign w:val="center"/>
          </w:tcPr>
          <w:p>
            <w:pPr>
              <w:pStyle w:val="TableContents"/>
              <w:bidi w:val="0"/>
              <w:spacing w:before="0" w:after="283"/>
              <w:jc w:val="left"/>
              <w:rPr>
                <w:rFonts w:ascii="Arial;Helvetica;Sans-Serif" w:hAnsi="Arial;Helvetica;Sans-Serif"/>
                <w:b/>
                <w:color w:val="FFFFFF"/>
                <w:sz w:val="30"/>
              </w:rPr>
            </w:pPr>
            <w:r>
              <w:rPr>
                <w:rFonts w:ascii="Arial;Helvetica;Sans-Serif" w:hAnsi="Arial;Helvetica;Sans-Serif"/>
                <w:b/>
                <w:color w:val="FFFFFF"/>
                <w:sz w:val="30"/>
              </w:rPr>
              <w:t>Table of Contents</w:t>
            </w:r>
          </w:p>
        </w:tc>
        <w:tc>
          <w:tcPr>
            <w:tcW w:w="215" w:type="dxa"/>
            <w:tcBorders>
              <w:top w:val="single" w:sz="8" w:space="0" w:color="66CCFF"/>
              <w:right w:val="single" w:sz="8" w:space="0" w:color="66CCFF"/>
            </w:tcBorders>
            <w:shd w:fill="003366" w:val="clear"/>
            <w:tcMar>
              <w:top w:w="28" w:type="dxa"/>
              <w:left w:w="0" w:type="dxa"/>
              <w:right w:w="300" w:type="dxa"/>
            </w:tcMar>
            <w:vAlign w:val="center"/>
          </w:tcPr>
          <w:p>
            <w:pPr>
              <w:pStyle w:val="TableContents"/>
              <w:bidi w:val="0"/>
              <w:spacing w:before="0" w:after="283"/>
              <w:jc w:val="right"/>
              <w:rPr/>
            </w:pPr>
            <w:r>
              <w:rPr/>
              <w:t> </w:t>
            </w:r>
          </w:p>
        </w:tc>
      </w:tr>
      <w:tr>
        <w:trPr/>
        <w:tc>
          <w:tcPr>
            <w:tcW w:w="6980" w:type="dxa"/>
            <w:tcBorders>
              <w:left w:val="single" w:sz="8" w:space="0" w:color="66CCFF"/>
              <w:bottom w:val="single" w:sz="8" w:space="0" w:color="E5F5FD"/>
            </w:tcBorders>
            <w:tcMar>
              <w:top w:w="0" w:type="dxa"/>
              <w:bottom w:w="28" w:type="dxa"/>
            </w:tcMar>
            <w:vAlign w:val="center"/>
          </w:tcPr>
          <w:p>
            <w:pPr>
              <w:pStyle w:val="TableContents"/>
              <w:bidi w:val="0"/>
              <w:spacing w:before="0" w:after="283"/>
              <w:jc w:val="left"/>
              <w:rPr/>
            </w:pPr>
            <w:r>
              <w:rPr/>
              <w:t> </w:t>
            </w:r>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pPr>
            <w:r>
              <w:rPr/>
              <w:t> </w:t>
            </w:r>
          </w:p>
        </w:tc>
      </w:tr>
      <w:tr>
        <w:trPr/>
        <w:tc>
          <w:tcPr>
            <w:tcW w:w="6980" w:type="dxa"/>
            <w:tcBorders>
              <w:left w:val="single" w:sz="8" w:space="0" w:color="66CCFF"/>
              <w:bottom w:val="single" w:sz="8" w:space="0" w:color="E5F5FD"/>
            </w:tcBorders>
            <w:tcMar>
              <w:top w:w="0" w:type="dxa"/>
              <w:bottom w:w="28" w:type="dxa"/>
            </w:tcMar>
            <w:vAlign w:val="center"/>
          </w:tcPr>
          <w:p>
            <w:pPr>
              <w:pStyle w:val="TableContents"/>
              <w:bidi w:val="0"/>
              <w:spacing w:before="0" w:after="283"/>
              <w:jc w:val="left"/>
              <w:rPr/>
            </w:pPr>
            <w:hyperlink w:anchor="lmnrdef14aa001">
              <w:r>
                <w:rPr>
                  <w:rStyle w:val="InternetLink"/>
                  <w:rFonts w:ascii="Arial;Helvetica;Sans-Serif" w:hAnsi="Arial;Helvetica;Sans-Serif"/>
                  <w:b/>
                  <w:sz w:val="20"/>
                </w:rPr>
                <w:t>Proxy Statement for Annual Meeting of Stockholders</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w:t>
            </w:r>
          </w:p>
        </w:tc>
      </w:tr>
      <w:tr>
        <w:trPr/>
        <w:tc>
          <w:tcPr>
            <w:tcW w:w="6980" w:type="dxa"/>
            <w:tcBorders>
              <w:left w:val="single" w:sz="8" w:space="0" w:color="66CCFF"/>
              <w:bottom w:val="single" w:sz="8" w:space="0" w:color="E5F5FD"/>
            </w:tcBorders>
            <w:tcMar>
              <w:top w:w="0" w:type="dxa"/>
              <w:bottom w:w="28" w:type="dxa"/>
            </w:tcMar>
            <w:vAlign w:val="center"/>
          </w:tcPr>
          <w:p>
            <w:pPr>
              <w:pStyle w:val="TableContents"/>
              <w:bidi w:val="0"/>
              <w:spacing w:before="0" w:after="283"/>
              <w:jc w:val="left"/>
              <w:rPr/>
            </w:pPr>
            <w:hyperlink w:anchor="lmnrdef14aa002">
              <w:r>
                <w:rPr>
                  <w:rStyle w:val="InternetLink"/>
                  <w:rFonts w:ascii="Arial;Helvetica;Sans-Serif" w:hAnsi="Arial;Helvetica;Sans-Serif"/>
                  <w:sz w:val="16"/>
                </w:rPr>
                <w:t>Purpose of Meeting</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w:t>
            </w:r>
          </w:p>
        </w:tc>
      </w:tr>
      <w:tr>
        <w:trPr/>
        <w:tc>
          <w:tcPr>
            <w:tcW w:w="6980" w:type="dxa"/>
            <w:tcBorders>
              <w:left w:val="single" w:sz="8" w:space="0" w:color="66CCFF"/>
              <w:bottom w:val="single" w:sz="8" w:space="0" w:color="E5F5FD"/>
            </w:tcBorders>
            <w:tcMar>
              <w:top w:w="0" w:type="dxa"/>
              <w:bottom w:w="28" w:type="dxa"/>
            </w:tcMar>
            <w:vAlign w:val="center"/>
          </w:tcPr>
          <w:p>
            <w:pPr>
              <w:pStyle w:val="TableContents"/>
              <w:bidi w:val="0"/>
              <w:spacing w:before="0" w:after="283"/>
              <w:jc w:val="left"/>
              <w:rPr/>
            </w:pPr>
            <w:hyperlink w:anchor="lmnrdef14aa003">
              <w:r>
                <w:rPr>
                  <w:rStyle w:val="InternetLink"/>
                  <w:rFonts w:ascii="Arial;Helvetica;Sans-Serif" w:hAnsi="Arial;Helvetica;Sans-Serif"/>
                  <w:b/>
                  <w:sz w:val="20"/>
                </w:rPr>
                <w:t>Questions and Answers About Attending and Voting at the Annual Meeting</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w:t>
            </w:r>
          </w:p>
        </w:tc>
      </w:tr>
      <w:tr>
        <w:trPr/>
        <w:tc>
          <w:tcPr>
            <w:tcW w:w="6980" w:type="dxa"/>
            <w:tcBorders>
              <w:left w:val="single" w:sz="8" w:space="0" w:color="66CCFF"/>
              <w:bottom w:val="single" w:sz="8" w:space="0" w:color="E5F5FD"/>
            </w:tcBorders>
            <w:tcMar>
              <w:top w:w="0" w:type="dxa"/>
              <w:bottom w:w="28" w:type="dxa"/>
            </w:tcMar>
            <w:vAlign w:val="center"/>
          </w:tcPr>
          <w:p>
            <w:pPr>
              <w:pStyle w:val="TableContents"/>
              <w:bidi w:val="0"/>
              <w:spacing w:before="0" w:after="283"/>
              <w:jc w:val="left"/>
              <w:rPr/>
            </w:pPr>
            <w:hyperlink w:anchor="lmnrdef14aa004">
              <w:r>
                <w:rPr>
                  <w:rStyle w:val="InternetLink"/>
                  <w:rFonts w:ascii="Arial;Helvetica;Sans-Serif" w:hAnsi="Arial;Helvetica;Sans-Serif"/>
                  <w:b/>
                  <w:sz w:val="20"/>
                </w:rPr>
                <w:t>Fiscal Year Highlights</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10</w:t>
            </w:r>
          </w:p>
        </w:tc>
      </w:tr>
      <w:tr>
        <w:trPr/>
        <w:tc>
          <w:tcPr>
            <w:tcW w:w="6980" w:type="dxa"/>
            <w:tcBorders>
              <w:left w:val="single" w:sz="8" w:space="0" w:color="66CCFF"/>
              <w:bottom w:val="single" w:sz="8" w:space="0" w:color="E5F5FD"/>
            </w:tcBorders>
            <w:tcMar>
              <w:top w:w="0" w:type="dxa"/>
              <w:bottom w:w="28" w:type="dxa"/>
            </w:tcMar>
            <w:vAlign w:val="center"/>
          </w:tcPr>
          <w:p>
            <w:pPr>
              <w:pStyle w:val="TableContents"/>
              <w:bidi w:val="0"/>
              <w:spacing w:before="0" w:after="283"/>
              <w:jc w:val="left"/>
              <w:rPr/>
            </w:pPr>
            <w:hyperlink w:anchor="lmnrdef14aa005">
              <w:r>
                <w:rPr>
                  <w:rStyle w:val="InternetLink"/>
                  <w:rFonts w:ascii="Arial;Helvetica;Sans-Serif" w:hAnsi="Arial;Helvetica;Sans-Serif"/>
                  <w:sz w:val="16"/>
                </w:rPr>
                <w:t>Business Performance / Fiscal Year 2025 Achievements / Recent Events</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10</w:t>
            </w:r>
          </w:p>
        </w:tc>
      </w:tr>
      <w:tr>
        <w:trPr/>
        <w:tc>
          <w:tcPr>
            <w:tcW w:w="6980" w:type="dxa"/>
            <w:tcBorders>
              <w:left w:val="single" w:sz="8" w:space="0" w:color="66CCFF"/>
              <w:bottom w:val="single" w:sz="8" w:space="0" w:color="E5F5FD"/>
            </w:tcBorders>
            <w:tcMar>
              <w:top w:w="0" w:type="dxa"/>
              <w:bottom w:w="28" w:type="dxa"/>
            </w:tcMar>
            <w:vAlign w:val="center"/>
          </w:tcPr>
          <w:p>
            <w:pPr>
              <w:pStyle w:val="TableContents"/>
              <w:bidi w:val="0"/>
              <w:spacing w:before="0" w:after="283"/>
              <w:jc w:val="left"/>
              <w:rPr/>
            </w:pPr>
            <w:hyperlink w:anchor="lmnrdef14aa006">
              <w:r>
                <w:rPr>
                  <w:rStyle w:val="InternetLink"/>
                  <w:rFonts w:ascii="Arial;Helvetica;Sans-Serif" w:hAnsi="Arial;Helvetica;Sans-Serif"/>
                  <w:b/>
                  <w:sz w:val="20"/>
                </w:rPr>
                <w:t>Environmental, Social and Governance Initiatives</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w:t>
            </w:r>
          </w:p>
        </w:tc>
      </w:tr>
      <w:tr>
        <w:trPr/>
        <w:tc>
          <w:tcPr>
            <w:tcW w:w="6980" w:type="dxa"/>
            <w:tcBorders>
              <w:left w:val="single" w:sz="8" w:space="0" w:color="66CCFF"/>
              <w:bottom w:val="single" w:sz="8" w:space="0" w:color="E5F5FD"/>
            </w:tcBorders>
            <w:tcMar>
              <w:top w:w="0" w:type="dxa"/>
              <w:bottom w:w="28" w:type="dxa"/>
            </w:tcMar>
            <w:vAlign w:val="center"/>
          </w:tcPr>
          <w:p>
            <w:pPr>
              <w:pStyle w:val="TableContents"/>
              <w:bidi w:val="0"/>
              <w:spacing w:before="0" w:after="283"/>
              <w:jc w:val="left"/>
              <w:rPr/>
            </w:pPr>
            <w:hyperlink w:anchor="lmnrdef14aa007">
              <w:r>
                <w:rPr>
                  <w:rStyle w:val="InternetLink"/>
                  <w:rFonts w:ascii="Arial;Helvetica;Sans-Serif" w:hAnsi="Arial;Helvetica;Sans-Serif"/>
                  <w:b/>
                  <w:sz w:val="20"/>
                </w:rPr>
                <w:t>Corporate Governance and Related Matters</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16</w:t>
            </w:r>
          </w:p>
        </w:tc>
      </w:tr>
      <w:tr>
        <w:trPr/>
        <w:tc>
          <w:tcPr>
            <w:tcW w:w="6980" w:type="dxa"/>
            <w:tcBorders>
              <w:left w:val="single" w:sz="8" w:space="0" w:color="66CCFF"/>
              <w:bottom w:val="single" w:sz="8" w:space="0" w:color="E5F5FD"/>
            </w:tcBorders>
            <w:tcMar>
              <w:top w:w="0" w:type="dxa"/>
              <w:bottom w:w="28" w:type="dxa"/>
            </w:tcMar>
            <w:vAlign w:val="center"/>
          </w:tcPr>
          <w:p>
            <w:pPr>
              <w:pStyle w:val="TableContents"/>
              <w:bidi w:val="0"/>
              <w:spacing w:before="0" w:after="283"/>
              <w:jc w:val="left"/>
              <w:rPr/>
            </w:pPr>
            <w:hyperlink w:anchor="lmnrdef14aa008">
              <w:r>
                <w:rPr>
                  <w:rStyle w:val="InternetLink"/>
                  <w:rFonts w:ascii="Arial;Helvetica;Sans-Serif" w:hAnsi="Arial;Helvetica;Sans-Serif"/>
                  <w:sz w:val="16"/>
                </w:rPr>
                <w:t>Corporate Governance Policies</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16</w:t>
            </w:r>
          </w:p>
        </w:tc>
      </w:tr>
      <w:tr>
        <w:trPr/>
        <w:tc>
          <w:tcPr>
            <w:tcW w:w="6980" w:type="dxa"/>
            <w:tcBorders>
              <w:left w:val="single" w:sz="8" w:space="0" w:color="66CCFF"/>
              <w:bottom w:val="single" w:sz="8" w:space="0" w:color="E5F5FD"/>
            </w:tcBorders>
            <w:tcMar>
              <w:top w:w="0" w:type="dxa"/>
              <w:bottom w:w="28" w:type="dxa"/>
            </w:tcMar>
            <w:vAlign w:val="center"/>
          </w:tcPr>
          <w:p>
            <w:pPr>
              <w:pStyle w:val="TableContents"/>
              <w:bidi w:val="0"/>
              <w:spacing w:before="0" w:after="283"/>
              <w:jc w:val="left"/>
              <w:rPr/>
            </w:pPr>
            <w:hyperlink w:anchor="lmnrdef14aa009">
              <w:r>
                <w:rPr>
                  <w:rStyle w:val="InternetLink"/>
                  <w:rFonts w:ascii="Arial;Helvetica;Sans-Serif" w:hAnsi="Arial;Helvetica;Sans-Serif"/>
                  <w:sz w:val="16"/>
                </w:rPr>
                <w:t>Board of Directors Highlights</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16</w:t>
            </w:r>
          </w:p>
        </w:tc>
      </w:tr>
      <w:tr>
        <w:trPr/>
        <w:tc>
          <w:tcPr>
            <w:tcW w:w="6980" w:type="dxa"/>
            <w:tcBorders>
              <w:left w:val="single" w:sz="8" w:space="0" w:color="66CCFF"/>
              <w:bottom w:val="single" w:sz="8" w:space="0" w:color="E5F5FD"/>
            </w:tcBorders>
            <w:tcMar>
              <w:top w:w="0" w:type="dxa"/>
              <w:bottom w:w="28" w:type="dxa"/>
            </w:tcMar>
            <w:vAlign w:val="center"/>
          </w:tcPr>
          <w:p>
            <w:pPr>
              <w:pStyle w:val="TableContents"/>
              <w:bidi w:val="0"/>
              <w:spacing w:before="0" w:after="283"/>
              <w:jc w:val="left"/>
              <w:rPr/>
            </w:pPr>
            <w:hyperlink w:anchor="lmnrdef14aa010">
              <w:r>
                <w:rPr>
                  <w:rStyle w:val="InternetLink"/>
                  <w:rFonts w:ascii="Arial;Helvetica;Sans-Serif" w:hAnsi="Arial;Helvetica;Sans-Serif"/>
                  <w:sz w:val="16"/>
                </w:rPr>
                <w:t>Board of Directors Structure</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16</w:t>
            </w:r>
          </w:p>
        </w:tc>
      </w:tr>
      <w:tr>
        <w:trPr/>
        <w:tc>
          <w:tcPr>
            <w:tcW w:w="6980" w:type="dxa"/>
            <w:tcBorders>
              <w:left w:val="single" w:sz="8" w:space="0" w:color="66CCFF"/>
              <w:bottom w:val="single" w:sz="8" w:space="0" w:color="E5F5FD"/>
            </w:tcBorders>
            <w:tcMar>
              <w:top w:w="0" w:type="dxa"/>
              <w:bottom w:w="28" w:type="dxa"/>
            </w:tcMar>
            <w:vAlign w:val="center"/>
          </w:tcPr>
          <w:p>
            <w:pPr>
              <w:pStyle w:val="TableContents"/>
              <w:bidi w:val="0"/>
              <w:spacing w:before="0" w:after="283"/>
              <w:jc w:val="left"/>
              <w:rPr/>
            </w:pPr>
            <w:hyperlink w:anchor="lmnrdef14aa011">
              <w:r>
                <w:rPr>
                  <w:rStyle w:val="InternetLink"/>
                  <w:rFonts w:ascii="Arial;Helvetica;Sans-Serif" w:hAnsi="Arial;Helvetica;Sans-Serif"/>
                  <w:sz w:val="16"/>
                </w:rPr>
                <w:t>Board of Directors Oversight Responsibilities</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17</w:t>
            </w:r>
          </w:p>
        </w:tc>
      </w:tr>
      <w:tr>
        <w:trPr/>
        <w:tc>
          <w:tcPr>
            <w:tcW w:w="6980" w:type="dxa"/>
            <w:tcBorders>
              <w:left w:val="single" w:sz="8" w:space="0" w:color="66CCFF"/>
              <w:bottom w:val="single" w:sz="8" w:space="0" w:color="E5F5FD"/>
            </w:tcBorders>
            <w:tcMar>
              <w:top w:w="0" w:type="dxa"/>
              <w:left w:w="540" w:type="dxa"/>
              <w:bottom w:w="28" w:type="dxa"/>
            </w:tcMar>
            <w:vAlign w:val="center"/>
          </w:tcPr>
          <w:p>
            <w:pPr>
              <w:pStyle w:val="TableContents"/>
              <w:bidi w:val="0"/>
              <w:spacing w:before="0" w:after="283"/>
              <w:jc w:val="left"/>
              <w:rPr/>
            </w:pPr>
            <w:hyperlink w:anchor="lmnrdef14aa012">
              <w:r>
                <w:rPr>
                  <w:rStyle w:val="InternetLink"/>
                  <w:rFonts w:ascii="Arial;Helvetica;Sans-Serif" w:hAnsi="Arial;Helvetica;Sans-Serif"/>
                  <w:i/>
                  <w:sz w:val="16"/>
                </w:rPr>
                <w:t>Leadership Structure</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17</w:t>
            </w:r>
          </w:p>
        </w:tc>
      </w:tr>
      <w:tr>
        <w:trPr/>
        <w:tc>
          <w:tcPr>
            <w:tcW w:w="6980" w:type="dxa"/>
            <w:tcBorders>
              <w:left w:val="single" w:sz="8" w:space="0" w:color="66CCFF"/>
              <w:bottom w:val="single" w:sz="8" w:space="0" w:color="E5F5FD"/>
            </w:tcBorders>
            <w:tcMar>
              <w:top w:w="0" w:type="dxa"/>
              <w:left w:w="540" w:type="dxa"/>
              <w:bottom w:w="28" w:type="dxa"/>
            </w:tcMar>
            <w:vAlign w:val="center"/>
          </w:tcPr>
          <w:p>
            <w:pPr>
              <w:pStyle w:val="TableContents"/>
              <w:bidi w:val="0"/>
              <w:spacing w:before="0" w:after="283"/>
              <w:jc w:val="left"/>
              <w:rPr/>
            </w:pPr>
            <w:hyperlink w:anchor="lmnrdef14aa013">
              <w:r>
                <w:rPr>
                  <w:rStyle w:val="InternetLink"/>
                  <w:rFonts w:ascii="Arial;Helvetica;Sans-Serif" w:hAnsi="Arial;Helvetica;Sans-Serif"/>
                  <w:i/>
                  <w:sz w:val="16"/>
                </w:rPr>
                <w:t>Risk Oversight</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17</w:t>
            </w:r>
          </w:p>
        </w:tc>
      </w:tr>
      <w:tr>
        <w:trPr/>
        <w:tc>
          <w:tcPr>
            <w:tcW w:w="6980" w:type="dxa"/>
            <w:tcBorders>
              <w:left w:val="single" w:sz="8" w:space="0" w:color="66CCFF"/>
              <w:bottom w:val="single" w:sz="8" w:space="0" w:color="E5F5FD"/>
            </w:tcBorders>
            <w:tcMar>
              <w:top w:w="0" w:type="dxa"/>
              <w:left w:w="540" w:type="dxa"/>
              <w:bottom w:w="28" w:type="dxa"/>
            </w:tcMar>
            <w:vAlign w:val="center"/>
          </w:tcPr>
          <w:p>
            <w:pPr>
              <w:pStyle w:val="TableContents"/>
              <w:bidi w:val="0"/>
              <w:spacing w:before="0" w:after="283"/>
              <w:jc w:val="left"/>
              <w:rPr/>
            </w:pPr>
            <w:hyperlink w:anchor="lmnrdef14aa014">
              <w:r>
                <w:rPr>
                  <w:rStyle w:val="InternetLink"/>
                  <w:rFonts w:ascii="Arial;Helvetica;Sans-Serif" w:hAnsi="Arial;Helvetica;Sans-Serif"/>
                  <w:i/>
                  <w:sz w:val="16"/>
                </w:rPr>
                <w:t>Code of Ethics</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17</w:t>
            </w:r>
          </w:p>
        </w:tc>
      </w:tr>
      <w:tr>
        <w:trPr/>
        <w:tc>
          <w:tcPr>
            <w:tcW w:w="6980" w:type="dxa"/>
            <w:tcBorders>
              <w:left w:val="single" w:sz="8" w:space="0" w:color="66CCFF"/>
              <w:bottom w:val="single" w:sz="8" w:space="0" w:color="E5F5FD"/>
            </w:tcBorders>
            <w:tcMar>
              <w:top w:w="0" w:type="dxa"/>
              <w:left w:w="540" w:type="dxa"/>
              <w:bottom w:w="28" w:type="dxa"/>
            </w:tcMar>
            <w:vAlign w:val="center"/>
          </w:tcPr>
          <w:p>
            <w:pPr>
              <w:pStyle w:val="TableContents"/>
              <w:bidi w:val="0"/>
              <w:spacing w:before="0" w:after="283"/>
              <w:jc w:val="left"/>
              <w:rPr/>
            </w:pPr>
            <w:hyperlink w:anchor="lmnrdef14aa015">
              <w:r>
                <w:rPr>
                  <w:rStyle w:val="InternetLink"/>
                  <w:rFonts w:ascii="Arial;Helvetica;Sans-Serif" w:hAnsi="Arial;Helvetica;Sans-Serif"/>
                  <w:i/>
                  <w:sz w:val="16"/>
                </w:rPr>
                <w:t>Code of Business Conduct and Ethics for Directors</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17</w:t>
            </w:r>
          </w:p>
        </w:tc>
      </w:tr>
      <w:tr>
        <w:trPr/>
        <w:tc>
          <w:tcPr>
            <w:tcW w:w="6980" w:type="dxa"/>
            <w:tcBorders>
              <w:left w:val="single" w:sz="8" w:space="0" w:color="66CCFF"/>
              <w:bottom w:val="single" w:sz="8" w:space="0" w:color="E5F5FD"/>
            </w:tcBorders>
            <w:tcMar>
              <w:top w:w="0" w:type="dxa"/>
              <w:left w:w="540" w:type="dxa"/>
              <w:bottom w:w="28" w:type="dxa"/>
            </w:tcMar>
            <w:vAlign w:val="center"/>
          </w:tcPr>
          <w:p>
            <w:pPr>
              <w:pStyle w:val="TableContents"/>
              <w:bidi w:val="0"/>
              <w:spacing w:before="0" w:after="283"/>
              <w:jc w:val="left"/>
              <w:rPr/>
            </w:pPr>
            <w:hyperlink w:anchor="lmnrdef14aa016">
              <w:r>
                <w:rPr>
                  <w:rStyle w:val="InternetLink"/>
                  <w:rFonts w:ascii="Arial;Helvetica;Sans-Serif" w:hAnsi="Arial;Helvetica;Sans-Serif"/>
                  <w:i/>
                  <w:sz w:val="16"/>
                </w:rPr>
                <w:t>Corporate Governance Guidelines</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17</w:t>
            </w:r>
          </w:p>
        </w:tc>
      </w:tr>
      <w:tr>
        <w:trPr/>
        <w:tc>
          <w:tcPr>
            <w:tcW w:w="6980" w:type="dxa"/>
            <w:tcBorders>
              <w:left w:val="single" w:sz="8" w:space="0" w:color="66CCFF"/>
              <w:bottom w:val="single" w:sz="8" w:space="0" w:color="E5F5FD"/>
            </w:tcBorders>
            <w:tcMar>
              <w:top w:w="0" w:type="dxa"/>
              <w:left w:w="540" w:type="dxa"/>
              <w:bottom w:w="28" w:type="dxa"/>
            </w:tcMar>
            <w:vAlign w:val="center"/>
          </w:tcPr>
          <w:p>
            <w:pPr>
              <w:pStyle w:val="TableContents"/>
              <w:bidi w:val="0"/>
              <w:spacing w:before="0" w:after="283"/>
              <w:jc w:val="left"/>
              <w:rPr/>
            </w:pPr>
            <w:hyperlink w:anchor="lmnrdef14aa017">
              <w:r>
                <w:rPr>
                  <w:rStyle w:val="InternetLink"/>
                  <w:rFonts w:ascii="Arial;Helvetica;Sans-Serif" w:hAnsi="Arial;Helvetica;Sans-Serif"/>
                  <w:i/>
                  <w:sz w:val="16"/>
                </w:rPr>
                <w:t>Stock Ownership Guidelines</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18</w:t>
            </w:r>
          </w:p>
        </w:tc>
      </w:tr>
      <w:tr>
        <w:trPr/>
        <w:tc>
          <w:tcPr>
            <w:tcW w:w="6980" w:type="dxa"/>
            <w:tcBorders>
              <w:left w:val="single" w:sz="8" w:space="0" w:color="66CCFF"/>
              <w:bottom w:val="single" w:sz="8" w:space="0" w:color="E5F5FD"/>
            </w:tcBorders>
            <w:tcMar>
              <w:top w:w="0" w:type="dxa"/>
              <w:left w:w="540" w:type="dxa"/>
              <w:bottom w:w="28" w:type="dxa"/>
            </w:tcMar>
            <w:vAlign w:val="center"/>
          </w:tcPr>
          <w:p>
            <w:pPr>
              <w:pStyle w:val="TableContents"/>
              <w:bidi w:val="0"/>
              <w:spacing w:before="0" w:after="283"/>
              <w:jc w:val="left"/>
              <w:rPr/>
            </w:pPr>
            <w:hyperlink w:anchor="lmnrdef14aa018">
              <w:r>
                <w:rPr>
                  <w:rStyle w:val="InternetLink"/>
                  <w:rFonts w:ascii="Arial;Helvetica;Sans-Serif" w:hAnsi="Arial;Helvetica;Sans-Serif"/>
                  <w:i/>
                  <w:sz w:val="16"/>
                </w:rPr>
                <w:t>Policy Regarding Recoupment of Incentive Compensation (Clawback Policy)</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18</w:t>
            </w:r>
          </w:p>
        </w:tc>
      </w:tr>
      <w:tr>
        <w:trPr/>
        <w:tc>
          <w:tcPr>
            <w:tcW w:w="6980" w:type="dxa"/>
            <w:tcBorders>
              <w:left w:val="single" w:sz="8" w:space="0" w:color="66CCFF"/>
              <w:bottom w:val="single" w:sz="8" w:space="0" w:color="E5F5FD"/>
            </w:tcBorders>
            <w:tcMar>
              <w:top w:w="0" w:type="dxa"/>
              <w:left w:w="540" w:type="dxa"/>
              <w:bottom w:w="28" w:type="dxa"/>
            </w:tcMar>
            <w:vAlign w:val="center"/>
          </w:tcPr>
          <w:p>
            <w:pPr>
              <w:pStyle w:val="TableContents"/>
              <w:bidi w:val="0"/>
              <w:spacing w:before="0" w:after="283"/>
              <w:jc w:val="left"/>
              <w:rPr/>
            </w:pPr>
            <w:hyperlink w:anchor="lmnrdef14aa019">
              <w:r>
                <w:rPr>
                  <w:rStyle w:val="InternetLink"/>
                  <w:rFonts w:ascii="Arial;Helvetica;Sans-Serif" w:hAnsi="Arial;Helvetica;Sans-Serif"/>
                  <w:i/>
                  <w:sz w:val="16"/>
                </w:rPr>
                <w:t>Hedging and Pledging Policies</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18</w:t>
            </w:r>
          </w:p>
        </w:tc>
      </w:tr>
      <w:tr>
        <w:trPr/>
        <w:tc>
          <w:tcPr>
            <w:tcW w:w="6980" w:type="dxa"/>
            <w:tcBorders>
              <w:left w:val="single" w:sz="8" w:space="0" w:color="66CCFF"/>
              <w:bottom w:val="single" w:sz="8" w:space="0" w:color="E5F5FD"/>
            </w:tcBorders>
            <w:tcMar>
              <w:top w:w="0" w:type="dxa"/>
              <w:bottom w:w="28" w:type="dxa"/>
            </w:tcMar>
            <w:vAlign w:val="center"/>
          </w:tcPr>
          <w:p>
            <w:pPr>
              <w:pStyle w:val="TableContents"/>
              <w:bidi w:val="0"/>
              <w:spacing w:before="0" w:after="283"/>
              <w:jc w:val="left"/>
              <w:rPr/>
            </w:pPr>
            <w:hyperlink w:anchor="lmnrdef14aa020">
              <w:r>
                <w:rPr>
                  <w:rStyle w:val="InternetLink"/>
                  <w:rFonts w:ascii="Arial;Helvetica;Sans-Serif" w:hAnsi="Arial;Helvetica;Sans-Serif"/>
                  <w:sz w:val="16"/>
                </w:rPr>
                <w:t>Board of Directors Meetings and Attendance</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18</w:t>
            </w:r>
          </w:p>
        </w:tc>
      </w:tr>
      <w:tr>
        <w:trPr/>
        <w:tc>
          <w:tcPr>
            <w:tcW w:w="6980" w:type="dxa"/>
            <w:tcBorders>
              <w:left w:val="single" w:sz="8" w:space="0" w:color="66CCFF"/>
              <w:bottom w:val="single" w:sz="8" w:space="0" w:color="E5F5FD"/>
            </w:tcBorders>
            <w:tcMar>
              <w:top w:w="0" w:type="dxa"/>
              <w:bottom w:w="28" w:type="dxa"/>
            </w:tcMar>
            <w:vAlign w:val="center"/>
          </w:tcPr>
          <w:p>
            <w:pPr>
              <w:pStyle w:val="TableContents"/>
              <w:bidi w:val="0"/>
              <w:spacing w:before="0" w:after="283"/>
              <w:jc w:val="left"/>
              <w:rPr/>
            </w:pPr>
            <w:hyperlink w:anchor="lmnrdef14aa021">
              <w:r>
                <w:rPr>
                  <w:rStyle w:val="InternetLink"/>
                  <w:rFonts w:ascii="Arial;Helvetica;Sans-Serif" w:hAnsi="Arial;Helvetica;Sans-Serif"/>
                  <w:sz w:val="16"/>
                </w:rPr>
                <w:t>Director Independence</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18</w:t>
            </w:r>
          </w:p>
        </w:tc>
      </w:tr>
      <w:tr>
        <w:trPr/>
        <w:tc>
          <w:tcPr>
            <w:tcW w:w="6980" w:type="dxa"/>
            <w:tcBorders>
              <w:left w:val="single" w:sz="8" w:space="0" w:color="66CCFF"/>
              <w:bottom w:val="single" w:sz="8" w:space="0" w:color="E5F5FD"/>
            </w:tcBorders>
            <w:tcMar>
              <w:top w:w="0" w:type="dxa"/>
              <w:bottom w:w="28" w:type="dxa"/>
            </w:tcMar>
            <w:vAlign w:val="center"/>
          </w:tcPr>
          <w:p>
            <w:pPr>
              <w:pStyle w:val="TableContents"/>
              <w:bidi w:val="0"/>
              <w:spacing w:before="0" w:after="283"/>
              <w:jc w:val="left"/>
              <w:rPr/>
            </w:pPr>
            <w:hyperlink w:anchor="lmnrdef14aa022">
              <w:r>
                <w:rPr>
                  <w:rStyle w:val="InternetLink"/>
                  <w:rFonts w:ascii="Arial;Helvetica;Sans-Serif" w:hAnsi="Arial;Helvetica;Sans-Serif"/>
                  <w:sz w:val="16"/>
                </w:rPr>
                <w:t>Committees of the Board of Directors</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19</w:t>
            </w:r>
          </w:p>
        </w:tc>
      </w:tr>
      <w:tr>
        <w:trPr/>
        <w:tc>
          <w:tcPr>
            <w:tcW w:w="6980" w:type="dxa"/>
            <w:tcBorders>
              <w:left w:val="single" w:sz="8" w:space="0" w:color="66CCFF"/>
              <w:bottom w:val="single" w:sz="8" w:space="0" w:color="E5F5FD"/>
            </w:tcBorders>
            <w:tcMar>
              <w:top w:w="0" w:type="dxa"/>
              <w:left w:w="540" w:type="dxa"/>
              <w:bottom w:w="28" w:type="dxa"/>
            </w:tcMar>
            <w:vAlign w:val="center"/>
          </w:tcPr>
          <w:p>
            <w:pPr>
              <w:pStyle w:val="TableContents"/>
              <w:bidi w:val="0"/>
              <w:spacing w:before="0" w:after="283"/>
              <w:jc w:val="left"/>
              <w:rPr/>
            </w:pPr>
            <w:hyperlink w:anchor="lmnrdef14aa023">
              <w:r>
                <w:rPr>
                  <w:rStyle w:val="InternetLink"/>
                  <w:rFonts w:ascii="Arial;Helvetica;Sans-Serif" w:hAnsi="Arial;Helvetica;Sans-Serif"/>
                  <w:i/>
                  <w:sz w:val="16"/>
                </w:rPr>
                <w:t>Committee Overview</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19</w:t>
            </w:r>
          </w:p>
        </w:tc>
      </w:tr>
      <w:tr>
        <w:trPr/>
        <w:tc>
          <w:tcPr>
            <w:tcW w:w="6980" w:type="dxa"/>
            <w:tcBorders>
              <w:left w:val="single" w:sz="8" w:space="0" w:color="66CCFF"/>
              <w:bottom w:val="single" w:sz="8" w:space="0" w:color="E5F5FD"/>
            </w:tcBorders>
            <w:tcMar>
              <w:top w:w="0" w:type="dxa"/>
              <w:left w:w="540" w:type="dxa"/>
              <w:bottom w:w="28" w:type="dxa"/>
            </w:tcMar>
            <w:vAlign w:val="center"/>
          </w:tcPr>
          <w:p>
            <w:pPr>
              <w:pStyle w:val="TableContents"/>
              <w:bidi w:val="0"/>
              <w:spacing w:before="0" w:after="283"/>
              <w:jc w:val="left"/>
              <w:rPr/>
            </w:pPr>
            <w:hyperlink w:anchor="lmnrdef14aa024">
              <w:r>
                <w:rPr>
                  <w:rStyle w:val="InternetLink"/>
                  <w:rFonts w:ascii="Arial;Helvetica;Sans-Serif" w:hAnsi="Arial;Helvetica;Sans-Serif"/>
                  <w:i/>
                  <w:sz w:val="16"/>
                </w:rPr>
                <w:t>Audit and Finance Committee</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19</w:t>
            </w:r>
          </w:p>
        </w:tc>
      </w:tr>
      <w:tr>
        <w:trPr/>
        <w:tc>
          <w:tcPr>
            <w:tcW w:w="6980" w:type="dxa"/>
            <w:tcBorders>
              <w:left w:val="single" w:sz="8" w:space="0" w:color="66CCFF"/>
              <w:bottom w:val="single" w:sz="8" w:space="0" w:color="E5F5FD"/>
            </w:tcBorders>
            <w:tcMar>
              <w:top w:w="0" w:type="dxa"/>
              <w:left w:w="540" w:type="dxa"/>
              <w:bottom w:w="28" w:type="dxa"/>
            </w:tcMar>
            <w:vAlign w:val="center"/>
          </w:tcPr>
          <w:p>
            <w:pPr>
              <w:pStyle w:val="TableContents"/>
              <w:bidi w:val="0"/>
              <w:spacing w:before="0" w:after="283"/>
              <w:jc w:val="left"/>
              <w:rPr/>
            </w:pPr>
            <w:hyperlink w:anchor="lmnrdef14aa025">
              <w:r>
                <w:rPr>
                  <w:rStyle w:val="InternetLink"/>
                  <w:rFonts w:ascii="Arial;Helvetica;Sans-Serif" w:hAnsi="Arial;Helvetica;Sans-Serif"/>
                  <w:i/>
                  <w:sz w:val="16"/>
                </w:rPr>
                <w:t>Compensation Committee</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20</w:t>
            </w:r>
          </w:p>
        </w:tc>
      </w:tr>
      <w:tr>
        <w:trPr/>
        <w:tc>
          <w:tcPr>
            <w:tcW w:w="6980" w:type="dxa"/>
            <w:tcBorders>
              <w:left w:val="single" w:sz="8" w:space="0" w:color="66CCFF"/>
              <w:bottom w:val="single" w:sz="8" w:space="0" w:color="E5F5FD"/>
            </w:tcBorders>
            <w:tcMar>
              <w:top w:w="0" w:type="dxa"/>
              <w:left w:w="540" w:type="dxa"/>
              <w:bottom w:w="28" w:type="dxa"/>
            </w:tcMar>
            <w:vAlign w:val="center"/>
          </w:tcPr>
          <w:p>
            <w:pPr>
              <w:pStyle w:val="TableContents"/>
              <w:bidi w:val="0"/>
              <w:spacing w:before="0" w:after="283"/>
              <w:jc w:val="left"/>
              <w:rPr/>
            </w:pPr>
            <w:hyperlink w:anchor="lmnrdef14aa026">
              <w:r>
                <w:rPr>
                  <w:rStyle w:val="InternetLink"/>
                  <w:rFonts w:ascii="Arial;Helvetica;Sans-Serif" w:hAnsi="Arial;Helvetica;Sans-Serif"/>
                  <w:i/>
                  <w:sz w:val="16"/>
                </w:rPr>
                <w:t>Nominating and Corporate Governance Committee</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21</w:t>
            </w:r>
          </w:p>
        </w:tc>
      </w:tr>
      <w:tr>
        <w:trPr/>
        <w:tc>
          <w:tcPr>
            <w:tcW w:w="6980" w:type="dxa"/>
            <w:tcBorders>
              <w:left w:val="single" w:sz="8" w:space="0" w:color="66CCFF"/>
              <w:bottom w:val="single" w:sz="8" w:space="0" w:color="E5F5FD"/>
            </w:tcBorders>
            <w:tcMar>
              <w:top w:w="0" w:type="dxa"/>
              <w:left w:w="540" w:type="dxa"/>
              <w:bottom w:w="28" w:type="dxa"/>
            </w:tcMar>
            <w:vAlign w:val="center"/>
          </w:tcPr>
          <w:p>
            <w:pPr>
              <w:pStyle w:val="TableContents"/>
              <w:bidi w:val="0"/>
              <w:spacing w:before="0" w:after="283"/>
              <w:jc w:val="left"/>
              <w:rPr/>
            </w:pPr>
            <w:hyperlink w:anchor="lmnrdef14aa027">
              <w:r>
                <w:rPr>
                  <w:rStyle w:val="InternetLink"/>
                  <w:rFonts w:ascii="Arial;Helvetica;Sans-Serif" w:hAnsi="Arial;Helvetica;Sans-Serif"/>
                  <w:i/>
                  <w:sz w:val="16"/>
                </w:rPr>
                <w:t>Risk Management Committee</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21</w:t>
            </w:r>
          </w:p>
        </w:tc>
      </w:tr>
      <w:tr>
        <w:trPr/>
        <w:tc>
          <w:tcPr>
            <w:tcW w:w="6980" w:type="dxa"/>
            <w:tcBorders>
              <w:left w:val="single" w:sz="8" w:space="0" w:color="66CCFF"/>
              <w:bottom w:val="single" w:sz="8" w:space="0" w:color="E5F5FD"/>
            </w:tcBorders>
            <w:tcMar>
              <w:top w:w="0" w:type="dxa"/>
              <w:bottom w:w="28" w:type="dxa"/>
            </w:tcMar>
            <w:vAlign w:val="center"/>
          </w:tcPr>
          <w:p>
            <w:pPr>
              <w:pStyle w:val="TableContents"/>
              <w:bidi w:val="0"/>
              <w:spacing w:before="0" w:after="283"/>
              <w:jc w:val="left"/>
              <w:rPr/>
            </w:pPr>
            <w:hyperlink w:anchor="lmnrdef14aa028">
              <w:r>
                <w:rPr>
                  <w:rStyle w:val="InternetLink"/>
                  <w:rFonts w:ascii="Arial;Helvetica;Sans-Serif" w:hAnsi="Arial;Helvetica;Sans-Serif"/>
                  <w:sz w:val="16"/>
                </w:rPr>
                <w:t>Director Compensation</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21</w:t>
            </w:r>
          </w:p>
        </w:tc>
      </w:tr>
      <w:tr>
        <w:trPr/>
        <w:tc>
          <w:tcPr>
            <w:tcW w:w="6980" w:type="dxa"/>
            <w:tcBorders>
              <w:left w:val="single" w:sz="8" w:space="0" w:color="66CCFF"/>
              <w:bottom w:val="single" w:sz="8" w:space="0" w:color="E5F5FD"/>
            </w:tcBorders>
            <w:tcMar>
              <w:top w:w="0" w:type="dxa"/>
              <w:bottom w:w="28" w:type="dxa"/>
            </w:tcMar>
            <w:vAlign w:val="center"/>
          </w:tcPr>
          <w:p>
            <w:pPr>
              <w:pStyle w:val="TableContents"/>
              <w:bidi w:val="0"/>
              <w:spacing w:before="0" w:after="283"/>
              <w:jc w:val="left"/>
              <w:rPr/>
            </w:pPr>
            <w:hyperlink w:anchor="lmnrdef14aa029">
              <w:r>
                <w:rPr>
                  <w:rStyle w:val="InternetLink"/>
                  <w:rFonts w:ascii="Arial;Helvetica;Sans-Serif" w:hAnsi="Arial;Helvetica;Sans-Serif"/>
                  <w:b/>
                  <w:sz w:val="20"/>
                </w:rPr>
                <w:t>Proposal 1: Election of Directors</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24</w:t>
            </w:r>
          </w:p>
        </w:tc>
      </w:tr>
      <w:tr>
        <w:trPr/>
        <w:tc>
          <w:tcPr>
            <w:tcW w:w="6980" w:type="dxa"/>
            <w:tcBorders>
              <w:left w:val="single" w:sz="8" w:space="0" w:color="66CCFF"/>
              <w:bottom w:val="single" w:sz="8" w:space="0" w:color="E5F5FD"/>
            </w:tcBorders>
            <w:tcMar>
              <w:top w:w="0" w:type="dxa"/>
              <w:bottom w:w="28" w:type="dxa"/>
            </w:tcMar>
            <w:vAlign w:val="center"/>
          </w:tcPr>
          <w:p>
            <w:pPr>
              <w:pStyle w:val="TableContents"/>
              <w:bidi w:val="0"/>
              <w:spacing w:before="0" w:after="283"/>
              <w:jc w:val="left"/>
              <w:rPr/>
            </w:pPr>
            <w:hyperlink w:anchor="lmnrdef14aa030">
              <w:r>
                <w:rPr>
                  <w:rStyle w:val="InternetLink"/>
                  <w:rFonts w:ascii="Arial;Helvetica;Sans-Serif" w:hAnsi="Arial;Helvetica;Sans-Serif"/>
                  <w:sz w:val="16"/>
                </w:rPr>
                <w:t>Nominations of Directors</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24</w:t>
            </w:r>
          </w:p>
        </w:tc>
      </w:tr>
      <w:tr>
        <w:trPr/>
        <w:tc>
          <w:tcPr>
            <w:tcW w:w="6980" w:type="dxa"/>
            <w:tcBorders>
              <w:left w:val="single" w:sz="8" w:space="0" w:color="66CCFF"/>
              <w:bottom w:val="single" w:sz="8" w:space="0" w:color="E5F5FD"/>
            </w:tcBorders>
            <w:tcMar>
              <w:top w:w="0" w:type="dxa"/>
              <w:left w:w="540" w:type="dxa"/>
              <w:bottom w:w="28" w:type="dxa"/>
            </w:tcMar>
            <w:vAlign w:val="center"/>
          </w:tcPr>
          <w:p>
            <w:pPr>
              <w:pStyle w:val="TableContents"/>
              <w:bidi w:val="0"/>
              <w:spacing w:before="0" w:after="283"/>
              <w:jc w:val="left"/>
              <w:rPr/>
            </w:pPr>
            <w:hyperlink w:anchor="lmnrdef14aa031">
              <w:r>
                <w:rPr>
                  <w:rStyle w:val="InternetLink"/>
                  <w:rFonts w:ascii="Arial;Helvetica;Sans-Serif" w:hAnsi="Arial;Helvetica;Sans-Serif"/>
                  <w:i/>
                  <w:sz w:val="16"/>
                </w:rPr>
                <w:t>Board of Directors Refreshment</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24</w:t>
            </w:r>
          </w:p>
        </w:tc>
      </w:tr>
      <w:tr>
        <w:trPr/>
        <w:tc>
          <w:tcPr>
            <w:tcW w:w="6980" w:type="dxa"/>
            <w:tcBorders>
              <w:left w:val="single" w:sz="8" w:space="0" w:color="66CCFF"/>
              <w:bottom w:val="single" w:sz="8" w:space="0" w:color="E5F5FD"/>
            </w:tcBorders>
            <w:tcMar>
              <w:top w:w="0" w:type="dxa"/>
              <w:left w:w="540" w:type="dxa"/>
              <w:bottom w:w="28" w:type="dxa"/>
            </w:tcMar>
            <w:vAlign w:val="center"/>
          </w:tcPr>
          <w:p>
            <w:pPr>
              <w:pStyle w:val="TableContents"/>
              <w:bidi w:val="0"/>
              <w:spacing w:before="0" w:after="283"/>
              <w:jc w:val="left"/>
              <w:rPr/>
            </w:pPr>
            <w:hyperlink w:anchor="lmnrdef14aa032">
              <w:r>
                <w:rPr>
                  <w:rStyle w:val="InternetLink"/>
                  <w:rFonts w:ascii="Arial;Helvetica;Sans-Serif" w:hAnsi="Arial;Helvetica;Sans-Serif"/>
                  <w:i/>
                  <w:sz w:val="16"/>
                </w:rPr>
                <w:t>Nominations of Directors</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24</w:t>
            </w:r>
          </w:p>
        </w:tc>
      </w:tr>
      <w:tr>
        <w:trPr/>
        <w:tc>
          <w:tcPr>
            <w:tcW w:w="6980" w:type="dxa"/>
            <w:tcBorders>
              <w:left w:val="single" w:sz="8" w:space="0" w:color="66CCFF"/>
              <w:bottom w:val="single" w:sz="8" w:space="0" w:color="E5F5FD"/>
            </w:tcBorders>
            <w:tcMar>
              <w:top w:w="0" w:type="dxa"/>
              <w:left w:w="540" w:type="dxa"/>
              <w:bottom w:w="28" w:type="dxa"/>
            </w:tcMar>
            <w:vAlign w:val="center"/>
          </w:tcPr>
          <w:p>
            <w:pPr>
              <w:pStyle w:val="TableContents"/>
              <w:bidi w:val="0"/>
              <w:spacing w:before="0" w:after="283"/>
              <w:jc w:val="left"/>
              <w:rPr/>
            </w:pPr>
            <w:hyperlink w:anchor="lmnrdef14aa033">
              <w:r>
                <w:rPr>
                  <w:rStyle w:val="InternetLink"/>
                  <w:rFonts w:ascii="Arial;Helvetica;Sans-Serif" w:hAnsi="Arial;Helvetica;Sans-Serif"/>
                  <w:i/>
                  <w:sz w:val="16"/>
                </w:rPr>
                <w:t>Board of Directors and Director Evaluation and Review Process</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25</w:t>
            </w:r>
          </w:p>
        </w:tc>
      </w:tr>
      <w:tr>
        <w:trPr/>
        <w:tc>
          <w:tcPr>
            <w:tcW w:w="6980" w:type="dxa"/>
            <w:tcBorders>
              <w:left w:val="single" w:sz="8" w:space="0" w:color="66CCFF"/>
              <w:bottom w:val="single" w:sz="8" w:space="0" w:color="E5F5FD"/>
            </w:tcBorders>
            <w:tcMar>
              <w:top w:w="0" w:type="dxa"/>
              <w:left w:w="540" w:type="dxa"/>
              <w:bottom w:w="28" w:type="dxa"/>
            </w:tcMar>
            <w:vAlign w:val="center"/>
          </w:tcPr>
          <w:p>
            <w:pPr>
              <w:pStyle w:val="TableContents"/>
              <w:bidi w:val="0"/>
              <w:spacing w:before="0" w:after="283"/>
              <w:jc w:val="left"/>
              <w:rPr/>
            </w:pPr>
            <w:hyperlink w:anchor="lmnrdef14aa034">
              <w:r>
                <w:rPr>
                  <w:rStyle w:val="InternetLink"/>
                  <w:rFonts w:ascii="Arial;Helvetica;Sans-Serif" w:hAnsi="Arial;Helvetica;Sans-Serif"/>
                  <w:i/>
                  <w:sz w:val="16"/>
                </w:rPr>
                <w:t>Board of Directors Experience</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25</w:t>
            </w:r>
          </w:p>
        </w:tc>
      </w:tr>
      <w:tr>
        <w:trPr/>
        <w:tc>
          <w:tcPr>
            <w:tcW w:w="6980" w:type="dxa"/>
            <w:tcBorders>
              <w:left w:val="single" w:sz="8" w:space="0" w:color="66CCFF"/>
              <w:bottom w:val="single" w:sz="8" w:space="0" w:color="E5F5FD"/>
            </w:tcBorders>
            <w:tcMar>
              <w:top w:w="0" w:type="dxa"/>
              <w:left w:w="540" w:type="dxa"/>
              <w:bottom w:w="28" w:type="dxa"/>
            </w:tcMar>
            <w:vAlign w:val="center"/>
          </w:tcPr>
          <w:p>
            <w:pPr>
              <w:pStyle w:val="TableContents"/>
              <w:bidi w:val="0"/>
              <w:spacing w:before="0" w:after="283"/>
              <w:jc w:val="left"/>
              <w:rPr/>
            </w:pPr>
            <w:hyperlink w:anchor="lmnrdef14aa035">
              <w:r>
                <w:rPr>
                  <w:rStyle w:val="InternetLink"/>
                  <w:rFonts w:ascii="Arial;Helvetica;Sans-Serif" w:hAnsi="Arial;Helvetica;Sans-Serif"/>
                  <w:i/>
                  <w:sz w:val="16"/>
                </w:rPr>
                <w:t>Director Education</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26</w:t>
            </w:r>
          </w:p>
        </w:tc>
      </w:tr>
      <w:tr>
        <w:trPr/>
        <w:tc>
          <w:tcPr>
            <w:tcW w:w="6980" w:type="dxa"/>
            <w:tcBorders>
              <w:left w:val="single" w:sz="8" w:space="0" w:color="66CCFF"/>
              <w:bottom w:val="single" w:sz="8" w:space="0" w:color="E5F5FD"/>
            </w:tcBorders>
            <w:tcMar>
              <w:top w:w="0" w:type="dxa"/>
              <w:bottom w:w="28" w:type="dxa"/>
            </w:tcMar>
            <w:vAlign w:val="center"/>
          </w:tcPr>
          <w:p>
            <w:pPr>
              <w:pStyle w:val="TableContents"/>
              <w:bidi w:val="0"/>
              <w:spacing w:before="0" w:after="283"/>
              <w:jc w:val="left"/>
              <w:rPr/>
            </w:pPr>
            <w:hyperlink w:anchor="lmnrdef14aa036">
              <w:r>
                <w:rPr>
                  <w:rStyle w:val="InternetLink"/>
                  <w:rFonts w:ascii="Arial;Helvetica;Sans-Serif" w:hAnsi="Arial;Helvetica;Sans-Serif"/>
                  <w:sz w:val="16"/>
                </w:rPr>
                <w:t>Nominees for Election to the Board of Directors</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26</w:t>
            </w:r>
          </w:p>
        </w:tc>
      </w:tr>
      <w:tr>
        <w:trPr/>
        <w:tc>
          <w:tcPr>
            <w:tcW w:w="6980" w:type="dxa"/>
            <w:tcBorders>
              <w:left w:val="single" w:sz="8" w:space="0" w:color="66CCFF"/>
              <w:bottom w:val="single" w:sz="8" w:space="0" w:color="E5F5FD"/>
            </w:tcBorders>
            <w:tcMar>
              <w:top w:w="0" w:type="dxa"/>
              <w:bottom w:w="28" w:type="dxa"/>
            </w:tcMar>
            <w:vAlign w:val="center"/>
          </w:tcPr>
          <w:p>
            <w:pPr>
              <w:pStyle w:val="TableContents"/>
              <w:bidi w:val="0"/>
              <w:spacing w:before="0" w:after="283"/>
              <w:jc w:val="left"/>
              <w:rPr/>
            </w:pPr>
            <w:hyperlink w:anchor="lmnrdef14aa037">
              <w:r>
                <w:rPr>
                  <w:rStyle w:val="InternetLink"/>
                  <w:rFonts w:ascii="Arial;Helvetica;Sans-Serif" w:hAnsi="Arial;Helvetica;Sans-Serif"/>
                  <w:sz w:val="16"/>
                </w:rPr>
                <w:t>Required Vote for Election of Directors</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28</w:t>
            </w:r>
          </w:p>
        </w:tc>
      </w:tr>
      <w:tr>
        <w:trPr/>
        <w:tc>
          <w:tcPr>
            <w:tcW w:w="6980" w:type="dxa"/>
            <w:tcBorders>
              <w:left w:val="single" w:sz="8" w:space="0" w:color="66CCFF"/>
              <w:bottom w:val="single" w:sz="8" w:space="0" w:color="E5F5FD"/>
            </w:tcBorders>
            <w:tcMar>
              <w:top w:w="0" w:type="dxa"/>
              <w:bottom w:w="28" w:type="dxa"/>
            </w:tcMar>
            <w:vAlign w:val="center"/>
          </w:tcPr>
          <w:p>
            <w:pPr>
              <w:pStyle w:val="TableContents"/>
              <w:bidi w:val="0"/>
              <w:spacing w:before="0" w:after="283"/>
              <w:jc w:val="left"/>
              <w:rPr/>
            </w:pPr>
            <w:hyperlink w:anchor="lmnrdef14aa038">
              <w:r>
                <w:rPr>
                  <w:rStyle w:val="InternetLink"/>
                  <w:rFonts w:ascii="Arial;Helvetica;Sans-Serif" w:hAnsi="Arial;Helvetica;Sans-Serif"/>
                  <w:sz w:val="16"/>
                </w:rPr>
                <w:t>Recommendation of the Board of Directors</w:t>
              </w:r>
            </w:hyperlink>
          </w:p>
        </w:tc>
        <w:tc>
          <w:tcPr>
            <w:tcW w:w="215" w:type="dxa"/>
            <w:tcBorders>
              <w:bottom w:val="single" w:sz="8" w:space="0" w:color="E5F5FD"/>
              <w:right w:val="single" w:sz="8" w:space="0" w:color="66CCFF"/>
            </w:tcBorders>
            <w:tcMar>
              <w:top w:w="0" w:type="dxa"/>
              <w:left w:w="0" w:type="dxa"/>
              <w:bottom w:w="28"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28</w:t>
            </w:r>
          </w:p>
        </w:tc>
      </w:tr>
      <w:tr>
        <w:trPr/>
        <w:tc>
          <w:tcPr>
            <w:tcW w:w="6980" w:type="dxa"/>
            <w:tcBorders>
              <w:left w:val="single" w:sz="8" w:space="0" w:color="66CCFF"/>
              <w:bottom w:val="single" w:sz="8" w:space="0" w:color="66CCFF"/>
            </w:tcBorders>
            <w:tcMar>
              <w:top w:w="0" w:type="dxa"/>
              <w:bottom w:w="28" w:type="dxa"/>
            </w:tcMar>
            <w:vAlign w:val="center"/>
          </w:tcPr>
          <w:p>
            <w:pPr>
              <w:pStyle w:val="TableContents"/>
              <w:bidi w:val="0"/>
              <w:spacing w:before="0" w:after="283"/>
              <w:jc w:val="left"/>
              <w:rPr/>
            </w:pPr>
            <w:r>
              <w:rPr/>
              <w:t> </w:t>
            </w:r>
          </w:p>
        </w:tc>
        <w:tc>
          <w:tcPr>
            <w:tcW w:w="215" w:type="dxa"/>
            <w:tcBorders>
              <w:bottom w:val="single" w:sz="8" w:space="0" w:color="66CCFF"/>
              <w:right w:val="single" w:sz="8" w:space="0" w:color="66CCFF"/>
            </w:tcBorders>
            <w:tcMar>
              <w:top w:w="0" w:type="dxa"/>
              <w:left w:w="0" w:type="dxa"/>
              <w:bottom w:w="28" w:type="dxa"/>
              <w:right w:w="300" w:type="dxa"/>
            </w:tcMar>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270" w:type="dxa"/>
        <w:jc w:val="left"/>
        <w:tblInd w:w="0" w:type="dxa"/>
        <w:tblLayout w:type="fixed"/>
        <w:tblCellMar>
          <w:top w:w="0" w:type="dxa"/>
          <w:left w:w="0" w:type="dxa"/>
          <w:bottom w:w="0" w:type="dxa"/>
          <w:right w:w="0" w:type="dxa"/>
        </w:tblCellMar>
      </w:tblPr>
      <w:tblGrid>
        <w:gridCol w:w="1490"/>
        <w:gridCol w:w="125"/>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125"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1</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10" w:type="dxa"/>
        <w:tblLayout w:type="fixed"/>
        <w:tblCellMar>
          <w:top w:w="28" w:type="dxa"/>
          <w:left w:w="300" w:type="dxa"/>
          <w:bottom w:w="28" w:type="dxa"/>
          <w:right w:w="0" w:type="dxa"/>
        </w:tblCellMar>
      </w:tblPr>
      <w:tblGrid>
        <w:gridCol w:w="7100"/>
        <w:gridCol w:w="215"/>
      </w:tblGrid>
      <w:tr>
        <w:trPr/>
        <w:tc>
          <w:tcPr>
            <w:tcW w:w="7100" w:type="dxa"/>
            <w:tcBorders>
              <w:top w:val="single" w:sz="8" w:space="0" w:color="66CCFF"/>
              <w:left w:val="single" w:sz="8" w:space="0" w:color="66CCFF"/>
              <w:bottom w:val="single" w:sz="8" w:space="0" w:color="E5F5FD"/>
            </w:tcBorders>
            <w:vAlign w:val="center"/>
          </w:tcPr>
          <w:p>
            <w:pPr>
              <w:pStyle w:val="TableContents"/>
              <w:bidi w:val="0"/>
              <w:spacing w:before="0" w:after="283"/>
              <w:jc w:val="left"/>
              <w:rPr/>
            </w:pPr>
            <w:r>
              <w:rPr/>
              <w:t> </w:t>
            </w:r>
          </w:p>
        </w:tc>
        <w:tc>
          <w:tcPr>
            <w:tcW w:w="215" w:type="dxa"/>
            <w:tcBorders>
              <w:top w:val="single" w:sz="8" w:space="0" w:color="66CCFF"/>
              <w:bottom w:val="single" w:sz="8" w:space="0" w:color="E5F5FD"/>
              <w:right w:val="single" w:sz="8" w:space="0" w:color="66CCFF"/>
            </w:tcBorders>
            <w:tcMar>
              <w:left w:w="0" w:type="dxa"/>
              <w:right w:w="300" w:type="dxa"/>
            </w:tcMar>
            <w:vAlign w:val="center"/>
          </w:tcPr>
          <w:p>
            <w:pPr>
              <w:pStyle w:val="TableContents"/>
              <w:bidi w:val="0"/>
              <w:spacing w:before="0" w:after="283"/>
              <w:jc w:val="right"/>
              <w:rPr/>
            </w:pPr>
            <w:r>
              <w:rPr/>
              <w:t> </w:t>
            </w:r>
          </w:p>
        </w:tc>
      </w:tr>
      <w:tr>
        <w:trPr/>
        <w:tc>
          <w:tcPr>
            <w:tcW w:w="710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39">
              <w:r>
                <w:rPr>
                  <w:rStyle w:val="InternetLink"/>
                  <w:sz w:val="16"/>
                </w:rPr>
                <w:t>Directors Not Up for Re-Election</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28</w:t>
            </w:r>
          </w:p>
        </w:tc>
      </w:tr>
      <w:tr>
        <w:trPr/>
        <w:tc>
          <w:tcPr>
            <w:tcW w:w="710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40">
              <w:r>
                <w:rPr>
                  <w:rStyle w:val="InternetLink"/>
                  <w:rFonts w:ascii="Arial;Helvetica;Sans-Serif" w:hAnsi="Arial;Helvetica;Sans-Serif"/>
                  <w:b/>
                  <w:sz w:val="20"/>
                </w:rPr>
                <w:t>Executive Compensation</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31</w:t>
            </w:r>
          </w:p>
        </w:tc>
      </w:tr>
      <w:tr>
        <w:trPr/>
        <w:tc>
          <w:tcPr>
            <w:tcW w:w="710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41">
              <w:r>
                <w:rPr>
                  <w:rStyle w:val="InternetLink"/>
                  <w:rFonts w:ascii="Arial;Helvetica;Sans-Serif" w:hAnsi="Arial;Helvetica;Sans-Serif"/>
                  <w:sz w:val="16"/>
                </w:rPr>
                <w:t>Compensation Discussion and Analysis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31</w:t>
            </w:r>
          </w:p>
        </w:tc>
      </w:tr>
      <w:tr>
        <w:trPr/>
        <w:tc>
          <w:tcPr>
            <w:tcW w:w="710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42">
              <w:r>
                <w:rPr>
                  <w:rStyle w:val="InternetLink"/>
                  <w:rFonts w:ascii="Arial;Helvetica;Sans-Serif" w:hAnsi="Arial;Helvetica;Sans-Serif"/>
                  <w:sz w:val="16"/>
                </w:rPr>
                <w:t>Certain Information Regarding Our Executive Officers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31</w:t>
            </w:r>
          </w:p>
        </w:tc>
      </w:tr>
      <w:tr>
        <w:trPr/>
        <w:tc>
          <w:tcPr>
            <w:tcW w:w="710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43">
              <w:r>
                <w:rPr>
                  <w:rStyle w:val="InternetLink"/>
                  <w:rFonts w:ascii="Arial;Helvetica;Sans-Serif" w:hAnsi="Arial;Helvetica;Sans-Serif"/>
                  <w:sz w:val="16"/>
                </w:rPr>
                <w:t>Executive Officers Who Are Not Directors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31</w:t>
            </w:r>
          </w:p>
        </w:tc>
      </w:tr>
      <w:tr>
        <w:trPr/>
        <w:tc>
          <w:tcPr>
            <w:tcW w:w="710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44">
              <w:r>
                <w:rPr>
                  <w:rStyle w:val="InternetLink"/>
                  <w:rFonts w:ascii="Arial;Helvetica;Sans-Serif" w:hAnsi="Arial;Helvetica;Sans-Serif"/>
                  <w:sz w:val="16"/>
                </w:rPr>
                <w:t>Key Executive Compensation Objectives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32</w:t>
            </w:r>
          </w:p>
        </w:tc>
      </w:tr>
      <w:tr>
        <w:trPr/>
        <w:tc>
          <w:tcPr>
            <w:tcW w:w="710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45">
              <w:r>
                <w:rPr>
                  <w:rStyle w:val="InternetLink"/>
                  <w:rFonts w:ascii="Arial;Helvetica;Sans-Serif" w:hAnsi="Arial;Helvetica;Sans-Serif"/>
                  <w:sz w:val="16"/>
                </w:rPr>
                <w:t>Stockholder Engagement and Key Accomplishments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33</w:t>
            </w:r>
          </w:p>
        </w:tc>
      </w:tr>
      <w:tr>
        <w:trPr/>
        <w:tc>
          <w:tcPr>
            <w:tcW w:w="7100" w:type="dxa"/>
            <w:tcBorders>
              <w:left w:val="single" w:sz="8" w:space="0" w:color="66CCFF"/>
              <w:bottom w:val="single" w:sz="8" w:space="0" w:color="E5F5FD"/>
            </w:tcBorders>
            <w:tcMar>
              <w:top w:w="0" w:type="dxa"/>
              <w:left w:w="540" w:type="dxa"/>
            </w:tcMar>
            <w:vAlign w:val="center"/>
          </w:tcPr>
          <w:p>
            <w:pPr>
              <w:pStyle w:val="TableContents"/>
              <w:bidi w:val="0"/>
              <w:spacing w:before="0" w:after="283"/>
              <w:jc w:val="left"/>
              <w:rPr/>
            </w:pPr>
            <w:hyperlink w:anchor="lmnrdef14aa046">
              <w:r>
                <w:rPr>
                  <w:rStyle w:val="InternetLink"/>
                  <w:rFonts w:ascii="Arial;Helvetica;Sans-Serif" w:hAnsi="Arial;Helvetica;Sans-Serif"/>
                  <w:i/>
                  <w:sz w:val="16"/>
                </w:rPr>
                <w:t>Fiscal Year 2025</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34</w:t>
            </w:r>
          </w:p>
        </w:tc>
      </w:tr>
      <w:tr>
        <w:trPr/>
        <w:tc>
          <w:tcPr>
            <w:tcW w:w="7100" w:type="dxa"/>
            <w:tcBorders>
              <w:left w:val="single" w:sz="8" w:space="0" w:color="66CCFF"/>
              <w:bottom w:val="single" w:sz="8" w:space="0" w:color="E5F5FD"/>
            </w:tcBorders>
            <w:tcMar>
              <w:top w:w="0" w:type="dxa"/>
              <w:left w:w="540" w:type="dxa"/>
            </w:tcMar>
            <w:vAlign w:val="center"/>
          </w:tcPr>
          <w:p>
            <w:pPr>
              <w:pStyle w:val="TableContents"/>
              <w:bidi w:val="0"/>
              <w:spacing w:before="0" w:after="283"/>
              <w:jc w:val="left"/>
              <w:rPr/>
            </w:pPr>
            <w:hyperlink w:anchor="lmnrdef14aa047">
              <w:r>
                <w:rPr>
                  <w:rStyle w:val="InternetLink"/>
                  <w:rFonts w:ascii="Arial;Helvetica;Sans-Serif" w:hAnsi="Arial;Helvetica;Sans-Serif"/>
                  <w:i/>
                  <w:sz w:val="16"/>
                </w:rPr>
                <w:t>Fiscal Year 2024</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34</w:t>
            </w:r>
          </w:p>
        </w:tc>
      </w:tr>
      <w:tr>
        <w:trPr/>
        <w:tc>
          <w:tcPr>
            <w:tcW w:w="710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48">
              <w:r>
                <w:rPr>
                  <w:rStyle w:val="InternetLink"/>
                  <w:rFonts w:ascii="Arial;Helvetica;Sans-Serif" w:hAnsi="Arial;Helvetica;Sans-Serif"/>
                  <w:sz w:val="16"/>
                </w:rPr>
                <w:t>Key Compensation Program Decisions and Developments for Fiscal Year 2025</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34</w:t>
            </w:r>
          </w:p>
        </w:tc>
      </w:tr>
      <w:tr>
        <w:trPr/>
        <w:tc>
          <w:tcPr>
            <w:tcW w:w="7100" w:type="dxa"/>
            <w:tcBorders>
              <w:left w:val="single" w:sz="8" w:space="0" w:color="66CCFF"/>
              <w:bottom w:val="single" w:sz="8" w:space="0" w:color="E5F5FD"/>
            </w:tcBorders>
            <w:tcMar>
              <w:top w:w="0" w:type="dxa"/>
              <w:left w:w="540" w:type="dxa"/>
            </w:tcMar>
            <w:vAlign w:val="center"/>
          </w:tcPr>
          <w:p>
            <w:pPr>
              <w:pStyle w:val="TableContents"/>
              <w:bidi w:val="0"/>
              <w:spacing w:before="0" w:after="283"/>
              <w:jc w:val="left"/>
              <w:rPr/>
            </w:pPr>
            <w:hyperlink w:anchor="lmnrdef14aa049">
              <w:r>
                <w:rPr>
                  <w:rStyle w:val="InternetLink"/>
                  <w:rFonts w:ascii="Arial;Helvetica;Sans-Serif" w:hAnsi="Arial;Helvetica;Sans-Serif"/>
                  <w:i/>
                  <w:sz w:val="16"/>
                </w:rPr>
                <w:t>Benchmarking</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34</w:t>
            </w:r>
          </w:p>
        </w:tc>
      </w:tr>
      <w:tr>
        <w:trPr/>
        <w:tc>
          <w:tcPr>
            <w:tcW w:w="7100" w:type="dxa"/>
            <w:tcBorders>
              <w:left w:val="single" w:sz="8" w:space="0" w:color="66CCFF"/>
              <w:bottom w:val="single" w:sz="8" w:space="0" w:color="E5F5FD"/>
            </w:tcBorders>
            <w:tcMar>
              <w:top w:w="0" w:type="dxa"/>
              <w:left w:w="540" w:type="dxa"/>
            </w:tcMar>
            <w:vAlign w:val="center"/>
          </w:tcPr>
          <w:p>
            <w:pPr>
              <w:pStyle w:val="TableContents"/>
              <w:bidi w:val="0"/>
              <w:spacing w:before="0" w:after="283"/>
              <w:jc w:val="left"/>
              <w:rPr/>
            </w:pPr>
            <w:hyperlink w:anchor="lmnrdef14aa050">
              <w:r>
                <w:rPr>
                  <w:rStyle w:val="InternetLink"/>
                  <w:rFonts w:ascii="Arial;Helvetica;Sans-Serif" w:hAnsi="Arial;Helvetica;Sans-Serif"/>
                  <w:i/>
                  <w:sz w:val="16"/>
                </w:rPr>
                <w:t>Philosophy</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34</w:t>
            </w:r>
          </w:p>
        </w:tc>
      </w:tr>
      <w:tr>
        <w:trPr/>
        <w:tc>
          <w:tcPr>
            <w:tcW w:w="7100" w:type="dxa"/>
            <w:tcBorders>
              <w:left w:val="single" w:sz="8" w:space="0" w:color="66CCFF"/>
              <w:bottom w:val="single" w:sz="8" w:space="0" w:color="E5F5FD"/>
            </w:tcBorders>
            <w:tcMar>
              <w:top w:w="0" w:type="dxa"/>
              <w:left w:w="540" w:type="dxa"/>
            </w:tcMar>
            <w:vAlign w:val="center"/>
          </w:tcPr>
          <w:p>
            <w:pPr>
              <w:pStyle w:val="TableContents"/>
              <w:bidi w:val="0"/>
              <w:spacing w:before="0" w:after="283"/>
              <w:jc w:val="left"/>
              <w:rPr/>
            </w:pPr>
            <w:hyperlink w:anchor="lmnrdef14aa051">
              <w:r>
                <w:rPr>
                  <w:rStyle w:val="InternetLink"/>
                  <w:rFonts w:ascii="Arial;Helvetica;Sans-Serif" w:hAnsi="Arial;Helvetica;Sans-Serif"/>
                  <w:i/>
                  <w:sz w:val="16"/>
                </w:rPr>
                <w:t>Fiscal Year 2025 Compensation Structure</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35</w:t>
            </w:r>
          </w:p>
        </w:tc>
      </w:tr>
      <w:tr>
        <w:trPr/>
        <w:tc>
          <w:tcPr>
            <w:tcW w:w="7100" w:type="dxa"/>
            <w:tcBorders>
              <w:left w:val="single" w:sz="8" w:space="0" w:color="66CCFF"/>
              <w:bottom w:val="single" w:sz="8" w:space="0" w:color="E5F5FD"/>
            </w:tcBorders>
            <w:tcMar>
              <w:top w:w="0" w:type="dxa"/>
              <w:left w:w="540" w:type="dxa"/>
            </w:tcMar>
            <w:vAlign w:val="center"/>
          </w:tcPr>
          <w:p>
            <w:pPr>
              <w:pStyle w:val="TableContents"/>
              <w:bidi w:val="0"/>
              <w:spacing w:before="0" w:after="283"/>
              <w:jc w:val="left"/>
              <w:rPr/>
            </w:pPr>
            <w:hyperlink w:anchor="lmnrdef14aa052">
              <w:r>
                <w:rPr>
                  <w:rStyle w:val="InternetLink"/>
                  <w:rFonts w:ascii="Arial;Helvetica;Sans-Serif" w:hAnsi="Arial;Helvetica;Sans-Serif"/>
                  <w:i/>
                  <w:sz w:val="16"/>
                </w:rPr>
                <w:t>Changes for Fiscal Year 2026 Compensation Structure</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36</w:t>
            </w:r>
          </w:p>
        </w:tc>
      </w:tr>
      <w:tr>
        <w:trPr/>
        <w:tc>
          <w:tcPr>
            <w:tcW w:w="710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53">
              <w:r>
                <w:rPr>
                  <w:rStyle w:val="InternetLink"/>
                  <w:rFonts w:ascii="Arial;Helvetica;Sans-Serif" w:hAnsi="Arial;Helvetica;Sans-Serif"/>
                  <w:sz w:val="16"/>
                </w:rPr>
                <w:t>Oversight of Executive Compensation</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36</w:t>
            </w:r>
          </w:p>
        </w:tc>
      </w:tr>
      <w:tr>
        <w:trPr/>
        <w:tc>
          <w:tcPr>
            <w:tcW w:w="7100" w:type="dxa"/>
            <w:tcBorders>
              <w:left w:val="single" w:sz="8" w:space="0" w:color="66CCFF"/>
              <w:bottom w:val="single" w:sz="8" w:space="0" w:color="E5F5FD"/>
            </w:tcBorders>
            <w:tcMar>
              <w:top w:w="0" w:type="dxa"/>
              <w:left w:w="540" w:type="dxa"/>
            </w:tcMar>
            <w:vAlign w:val="center"/>
          </w:tcPr>
          <w:p>
            <w:pPr>
              <w:pStyle w:val="TableContents"/>
              <w:bidi w:val="0"/>
              <w:spacing w:before="0" w:after="283"/>
              <w:jc w:val="left"/>
              <w:rPr/>
            </w:pPr>
            <w:hyperlink w:anchor="lmnrdef14aa054">
              <w:r>
                <w:rPr>
                  <w:rStyle w:val="InternetLink"/>
                  <w:rFonts w:ascii="Arial;Helvetica;Sans-Serif" w:hAnsi="Arial;Helvetica;Sans-Serif"/>
                  <w:i/>
                  <w:sz w:val="16"/>
                </w:rPr>
                <w:t>The Role of the Compensation Committee in Setting Compensation</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36</w:t>
            </w:r>
          </w:p>
        </w:tc>
      </w:tr>
      <w:tr>
        <w:trPr/>
        <w:tc>
          <w:tcPr>
            <w:tcW w:w="7100" w:type="dxa"/>
            <w:tcBorders>
              <w:left w:val="single" w:sz="8" w:space="0" w:color="66CCFF"/>
              <w:bottom w:val="single" w:sz="8" w:space="0" w:color="E5F5FD"/>
            </w:tcBorders>
            <w:tcMar>
              <w:top w:w="0" w:type="dxa"/>
              <w:left w:w="540" w:type="dxa"/>
            </w:tcMar>
            <w:vAlign w:val="center"/>
          </w:tcPr>
          <w:p>
            <w:pPr>
              <w:pStyle w:val="TableContents"/>
              <w:bidi w:val="0"/>
              <w:spacing w:before="0" w:after="283"/>
              <w:jc w:val="left"/>
              <w:rPr/>
            </w:pPr>
            <w:hyperlink w:anchor="lmnrdef14aa055">
              <w:r>
                <w:rPr>
                  <w:rStyle w:val="InternetLink"/>
                  <w:rFonts w:ascii="Arial;Helvetica;Sans-Serif" w:hAnsi="Arial;Helvetica;Sans-Serif"/>
                  <w:i/>
                  <w:sz w:val="16"/>
                </w:rPr>
                <w:t>The Role of Executives in Setting Compensation</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36</w:t>
            </w:r>
          </w:p>
        </w:tc>
      </w:tr>
      <w:tr>
        <w:trPr/>
        <w:tc>
          <w:tcPr>
            <w:tcW w:w="710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56">
              <w:r>
                <w:rPr>
                  <w:rStyle w:val="InternetLink"/>
                  <w:rFonts w:ascii="Arial;Helvetica;Sans-Serif" w:hAnsi="Arial;Helvetica;Sans-Serif"/>
                  <w:sz w:val="16"/>
                </w:rPr>
                <w:t>Risk Assessment</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37</w:t>
            </w:r>
          </w:p>
        </w:tc>
      </w:tr>
      <w:tr>
        <w:trPr/>
        <w:tc>
          <w:tcPr>
            <w:tcW w:w="710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57">
              <w:r>
                <w:rPr>
                  <w:rStyle w:val="InternetLink"/>
                  <w:rFonts w:ascii="Arial;Helvetica;Sans-Serif" w:hAnsi="Arial;Helvetica;Sans-Serif"/>
                  <w:sz w:val="16"/>
                </w:rPr>
                <w:t>Elements of Compensation</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37</w:t>
            </w:r>
          </w:p>
        </w:tc>
      </w:tr>
      <w:tr>
        <w:trPr/>
        <w:tc>
          <w:tcPr>
            <w:tcW w:w="7100" w:type="dxa"/>
            <w:tcBorders>
              <w:left w:val="single" w:sz="8" w:space="0" w:color="66CCFF"/>
              <w:bottom w:val="single" w:sz="8" w:space="0" w:color="E5F5FD"/>
            </w:tcBorders>
            <w:tcMar>
              <w:top w:w="0" w:type="dxa"/>
              <w:left w:w="540" w:type="dxa"/>
            </w:tcMar>
            <w:vAlign w:val="center"/>
          </w:tcPr>
          <w:p>
            <w:pPr>
              <w:pStyle w:val="TableContents"/>
              <w:bidi w:val="0"/>
              <w:spacing w:before="0" w:after="283"/>
              <w:jc w:val="left"/>
              <w:rPr/>
            </w:pPr>
            <w:hyperlink w:anchor="lmnrdef14aa058">
              <w:r>
                <w:rPr>
                  <w:rStyle w:val="InternetLink"/>
                  <w:rFonts w:ascii="Arial;Helvetica;Sans-Serif" w:hAnsi="Arial;Helvetica;Sans-Serif"/>
                  <w:i/>
                  <w:sz w:val="16"/>
                </w:rPr>
                <w:t>Base Salaries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37</w:t>
            </w:r>
          </w:p>
        </w:tc>
      </w:tr>
      <w:tr>
        <w:trPr/>
        <w:tc>
          <w:tcPr>
            <w:tcW w:w="7100" w:type="dxa"/>
            <w:tcBorders>
              <w:left w:val="single" w:sz="8" w:space="0" w:color="66CCFF"/>
              <w:bottom w:val="single" w:sz="8" w:space="0" w:color="E5F5FD"/>
            </w:tcBorders>
            <w:tcMar>
              <w:top w:w="0" w:type="dxa"/>
              <w:left w:w="540" w:type="dxa"/>
            </w:tcMar>
            <w:vAlign w:val="center"/>
          </w:tcPr>
          <w:p>
            <w:pPr>
              <w:pStyle w:val="TableContents"/>
              <w:bidi w:val="0"/>
              <w:spacing w:before="0" w:after="283"/>
              <w:jc w:val="left"/>
              <w:rPr/>
            </w:pPr>
            <w:hyperlink w:anchor="lmnrdef14aa059">
              <w:r>
                <w:rPr>
                  <w:rStyle w:val="InternetLink"/>
                  <w:rFonts w:ascii="Arial;Helvetica;Sans-Serif" w:hAnsi="Arial;Helvetica;Sans-Serif"/>
                  <w:i/>
                  <w:sz w:val="16"/>
                </w:rPr>
                <w:t>Annual Performance Compensation Award</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37</w:t>
            </w:r>
          </w:p>
        </w:tc>
      </w:tr>
      <w:tr>
        <w:trPr/>
        <w:tc>
          <w:tcPr>
            <w:tcW w:w="7100" w:type="dxa"/>
            <w:tcBorders>
              <w:left w:val="single" w:sz="8" w:space="0" w:color="66CCFF"/>
              <w:bottom w:val="single" w:sz="8" w:space="0" w:color="E5F5FD"/>
            </w:tcBorders>
            <w:tcMar>
              <w:top w:w="0" w:type="dxa"/>
              <w:left w:w="540" w:type="dxa"/>
            </w:tcMar>
            <w:vAlign w:val="center"/>
          </w:tcPr>
          <w:p>
            <w:pPr>
              <w:pStyle w:val="TableContents"/>
              <w:bidi w:val="0"/>
              <w:spacing w:before="0" w:after="283"/>
              <w:jc w:val="left"/>
              <w:rPr/>
            </w:pPr>
            <w:hyperlink w:anchor="lmnrdef14aa060">
              <w:r>
                <w:rPr>
                  <w:rStyle w:val="InternetLink"/>
                  <w:rFonts w:ascii="Arial;Helvetica;Sans-Serif" w:hAnsi="Arial;Helvetica;Sans-Serif"/>
                  <w:i/>
                  <w:sz w:val="16"/>
                </w:rPr>
                <w:t>Annual Equity Incentive Awards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38</w:t>
            </w:r>
          </w:p>
        </w:tc>
      </w:tr>
      <w:tr>
        <w:trPr/>
        <w:tc>
          <w:tcPr>
            <w:tcW w:w="7100" w:type="dxa"/>
            <w:tcBorders>
              <w:left w:val="single" w:sz="8" w:space="0" w:color="66CCFF"/>
              <w:bottom w:val="single" w:sz="8" w:space="0" w:color="E5F5FD"/>
            </w:tcBorders>
            <w:tcMar>
              <w:top w:w="0" w:type="dxa"/>
              <w:left w:w="540" w:type="dxa"/>
            </w:tcMar>
            <w:vAlign w:val="center"/>
          </w:tcPr>
          <w:p>
            <w:pPr>
              <w:pStyle w:val="TableContents"/>
              <w:bidi w:val="0"/>
              <w:spacing w:before="0" w:after="283"/>
              <w:jc w:val="left"/>
              <w:rPr/>
            </w:pPr>
            <w:hyperlink w:anchor="lmnrdef14aa061">
              <w:r>
                <w:rPr>
                  <w:rStyle w:val="InternetLink"/>
                  <w:rFonts w:ascii="Arial;Helvetica;Sans-Serif" w:hAnsi="Arial;Helvetica;Sans-Serif"/>
                  <w:i/>
                  <w:sz w:val="16"/>
                </w:rPr>
                <w:t>Performance Share-Based Awards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39</w:t>
            </w:r>
          </w:p>
        </w:tc>
      </w:tr>
      <w:tr>
        <w:trPr/>
        <w:tc>
          <w:tcPr>
            <w:tcW w:w="7100" w:type="dxa"/>
            <w:tcBorders>
              <w:left w:val="single" w:sz="8" w:space="0" w:color="66CCFF"/>
              <w:bottom w:val="single" w:sz="8" w:space="0" w:color="E5F5FD"/>
            </w:tcBorders>
            <w:tcMar>
              <w:top w:w="0" w:type="dxa"/>
              <w:left w:w="540" w:type="dxa"/>
            </w:tcMar>
            <w:vAlign w:val="center"/>
          </w:tcPr>
          <w:p>
            <w:pPr>
              <w:pStyle w:val="TableContents"/>
              <w:bidi w:val="0"/>
              <w:spacing w:before="0" w:after="283"/>
              <w:jc w:val="left"/>
              <w:rPr/>
            </w:pPr>
            <w:hyperlink w:anchor="lmnrdef14aa062">
              <w:r>
                <w:rPr>
                  <w:rStyle w:val="InternetLink"/>
                  <w:rFonts w:ascii="Arial;Helvetica;Sans-Serif" w:hAnsi="Arial;Helvetica;Sans-Serif"/>
                  <w:i/>
                  <w:sz w:val="16"/>
                </w:rPr>
                <w:t>Restricted Share Awards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39</w:t>
            </w:r>
          </w:p>
        </w:tc>
      </w:tr>
      <w:tr>
        <w:trPr/>
        <w:tc>
          <w:tcPr>
            <w:tcW w:w="7100" w:type="dxa"/>
            <w:tcBorders>
              <w:left w:val="single" w:sz="8" w:space="0" w:color="66CCFF"/>
              <w:bottom w:val="single" w:sz="8" w:space="0" w:color="E5F5FD"/>
            </w:tcBorders>
            <w:tcMar>
              <w:top w:w="0" w:type="dxa"/>
              <w:left w:w="540" w:type="dxa"/>
            </w:tcMar>
            <w:vAlign w:val="center"/>
          </w:tcPr>
          <w:p>
            <w:pPr>
              <w:pStyle w:val="TableContents"/>
              <w:bidi w:val="0"/>
              <w:spacing w:before="0" w:after="283"/>
              <w:jc w:val="left"/>
              <w:rPr/>
            </w:pPr>
            <w:hyperlink w:anchor="lmnrdef14aa063">
              <w:r>
                <w:rPr>
                  <w:rStyle w:val="InternetLink"/>
                  <w:rFonts w:ascii="Arial;Helvetica;Sans-Serif" w:hAnsi="Arial;Helvetica;Sans-Serif"/>
                  <w:i/>
                  <w:sz w:val="16"/>
                </w:rPr>
                <w:t>Strategic Special Project Bonus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39</w:t>
            </w:r>
          </w:p>
        </w:tc>
      </w:tr>
      <w:tr>
        <w:trPr/>
        <w:tc>
          <w:tcPr>
            <w:tcW w:w="7100" w:type="dxa"/>
            <w:tcBorders>
              <w:left w:val="single" w:sz="8" w:space="0" w:color="66CCFF"/>
              <w:bottom w:val="single" w:sz="8" w:space="0" w:color="E5F5FD"/>
            </w:tcBorders>
            <w:tcMar>
              <w:top w:w="0" w:type="dxa"/>
              <w:left w:w="540" w:type="dxa"/>
            </w:tcMar>
            <w:vAlign w:val="center"/>
          </w:tcPr>
          <w:p>
            <w:pPr>
              <w:pStyle w:val="TableContents"/>
              <w:bidi w:val="0"/>
              <w:spacing w:before="0" w:after="283"/>
              <w:jc w:val="left"/>
              <w:rPr/>
            </w:pPr>
            <w:hyperlink w:anchor="lmnrdef14aa064">
              <w:r>
                <w:rPr>
                  <w:rStyle w:val="InternetLink"/>
                  <w:rFonts w:ascii="Arial;Helvetica;Sans-Serif" w:hAnsi="Arial;Helvetica;Sans-Serif"/>
                  <w:i/>
                  <w:sz w:val="16"/>
                </w:rPr>
                <w:t>Change In Control, Separation or Severance Benefits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40</w:t>
            </w:r>
          </w:p>
        </w:tc>
      </w:tr>
      <w:tr>
        <w:trPr/>
        <w:tc>
          <w:tcPr>
            <w:tcW w:w="7100" w:type="dxa"/>
            <w:tcBorders>
              <w:left w:val="single" w:sz="8" w:space="0" w:color="66CCFF"/>
              <w:bottom w:val="single" w:sz="8" w:space="0" w:color="E5F5FD"/>
            </w:tcBorders>
            <w:tcMar>
              <w:top w:w="0" w:type="dxa"/>
              <w:left w:w="540" w:type="dxa"/>
            </w:tcMar>
            <w:vAlign w:val="center"/>
          </w:tcPr>
          <w:p>
            <w:pPr>
              <w:pStyle w:val="TableContents"/>
              <w:bidi w:val="0"/>
              <w:spacing w:before="0" w:after="283"/>
              <w:jc w:val="left"/>
              <w:rPr/>
            </w:pPr>
            <w:hyperlink w:anchor="lmnrdef14aa065">
              <w:r>
                <w:rPr>
                  <w:rStyle w:val="InternetLink"/>
                  <w:rFonts w:ascii="Arial;Helvetica;Sans-Serif" w:hAnsi="Arial;Helvetica;Sans-Serif"/>
                  <w:i/>
                  <w:sz w:val="16"/>
                </w:rPr>
                <w:t>Transaction Bonus Program</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40</w:t>
            </w:r>
          </w:p>
        </w:tc>
      </w:tr>
      <w:tr>
        <w:trPr/>
        <w:tc>
          <w:tcPr>
            <w:tcW w:w="7100" w:type="dxa"/>
            <w:tcBorders>
              <w:left w:val="single" w:sz="8" w:space="0" w:color="66CCFF"/>
              <w:bottom w:val="single" w:sz="8" w:space="0" w:color="E5F5FD"/>
            </w:tcBorders>
            <w:tcMar>
              <w:top w:w="0" w:type="dxa"/>
              <w:left w:w="540" w:type="dxa"/>
            </w:tcMar>
            <w:vAlign w:val="center"/>
          </w:tcPr>
          <w:p>
            <w:pPr>
              <w:pStyle w:val="TableContents"/>
              <w:bidi w:val="0"/>
              <w:spacing w:before="0" w:after="283"/>
              <w:jc w:val="left"/>
              <w:rPr/>
            </w:pPr>
            <w:hyperlink w:anchor="lmnrdef14aa066">
              <w:r>
                <w:rPr>
                  <w:rStyle w:val="InternetLink"/>
                  <w:rFonts w:ascii="Arial;Helvetica;Sans-Serif" w:hAnsi="Arial;Helvetica;Sans-Serif"/>
                  <w:i/>
                  <w:sz w:val="16"/>
                </w:rPr>
                <w:t>Retirement Plans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41</w:t>
            </w:r>
          </w:p>
        </w:tc>
      </w:tr>
      <w:tr>
        <w:trPr/>
        <w:tc>
          <w:tcPr>
            <w:tcW w:w="7100" w:type="dxa"/>
            <w:tcBorders>
              <w:left w:val="single" w:sz="8" w:space="0" w:color="66CCFF"/>
              <w:bottom w:val="single" w:sz="8" w:space="0" w:color="E5F5FD"/>
            </w:tcBorders>
            <w:tcMar>
              <w:top w:w="0" w:type="dxa"/>
              <w:left w:w="540" w:type="dxa"/>
            </w:tcMar>
            <w:vAlign w:val="center"/>
          </w:tcPr>
          <w:p>
            <w:pPr>
              <w:pStyle w:val="TableContents"/>
              <w:bidi w:val="0"/>
              <w:spacing w:before="0" w:after="283"/>
              <w:jc w:val="left"/>
              <w:rPr/>
            </w:pPr>
            <w:hyperlink w:anchor="lmnrdef14aa067">
              <w:r>
                <w:rPr>
                  <w:rStyle w:val="InternetLink"/>
                  <w:rFonts w:ascii="Arial;Helvetica;Sans-Serif" w:hAnsi="Arial;Helvetica;Sans-Serif"/>
                  <w:i/>
                  <w:sz w:val="16"/>
                </w:rPr>
                <w:t>Nonqualified Deferred Compensation</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41</w:t>
            </w:r>
          </w:p>
        </w:tc>
      </w:tr>
      <w:tr>
        <w:trPr/>
        <w:tc>
          <w:tcPr>
            <w:tcW w:w="7100" w:type="dxa"/>
            <w:tcBorders>
              <w:left w:val="single" w:sz="8" w:space="0" w:color="66CCFF"/>
              <w:bottom w:val="single" w:sz="8" w:space="0" w:color="E5F5FD"/>
            </w:tcBorders>
            <w:tcMar>
              <w:top w:w="0" w:type="dxa"/>
              <w:left w:w="540" w:type="dxa"/>
            </w:tcMar>
            <w:vAlign w:val="center"/>
          </w:tcPr>
          <w:p>
            <w:pPr>
              <w:pStyle w:val="TableContents"/>
              <w:bidi w:val="0"/>
              <w:spacing w:before="0" w:after="283"/>
              <w:jc w:val="left"/>
              <w:rPr/>
            </w:pPr>
            <w:hyperlink w:anchor="lmnrdef14aa068">
              <w:r>
                <w:rPr>
                  <w:rStyle w:val="InternetLink"/>
                  <w:rFonts w:ascii="Arial;Helvetica;Sans-Serif" w:hAnsi="Arial;Helvetica;Sans-Serif"/>
                  <w:i/>
                  <w:sz w:val="16"/>
                </w:rPr>
                <w:t>Options and Stock Appreciation Rights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41</w:t>
            </w:r>
          </w:p>
        </w:tc>
      </w:tr>
      <w:tr>
        <w:trPr/>
        <w:tc>
          <w:tcPr>
            <w:tcW w:w="7100" w:type="dxa"/>
            <w:tcBorders>
              <w:left w:val="single" w:sz="8" w:space="0" w:color="66CCFF"/>
              <w:bottom w:val="single" w:sz="8" w:space="0" w:color="E5F5FD"/>
            </w:tcBorders>
            <w:tcMar>
              <w:top w:w="0" w:type="dxa"/>
              <w:left w:w="540" w:type="dxa"/>
            </w:tcMar>
            <w:vAlign w:val="center"/>
          </w:tcPr>
          <w:p>
            <w:pPr>
              <w:pStyle w:val="TableContents"/>
              <w:bidi w:val="0"/>
              <w:spacing w:before="0" w:after="283"/>
              <w:jc w:val="left"/>
              <w:rPr/>
            </w:pPr>
            <w:hyperlink w:anchor="lmnrdef14aa069">
              <w:r>
                <w:rPr>
                  <w:rStyle w:val="InternetLink"/>
                  <w:rFonts w:ascii="Arial;Helvetica;Sans-Serif" w:hAnsi="Arial;Helvetica;Sans-Serif"/>
                  <w:i/>
                  <w:sz w:val="16"/>
                </w:rPr>
                <w:t>Performance-Based Awards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41</w:t>
            </w:r>
          </w:p>
        </w:tc>
      </w:tr>
      <w:tr>
        <w:trPr/>
        <w:tc>
          <w:tcPr>
            <w:tcW w:w="7100" w:type="dxa"/>
            <w:tcBorders>
              <w:left w:val="single" w:sz="8" w:space="0" w:color="66CCFF"/>
              <w:bottom w:val="single" w:sz="8" w:space="0" w:color="E5F5FD"/>
            </w:tcBorders>
            <w:tcMar>
              <w:top w:w="0" w:type="dxa"/>
              <w:left w:w="540" w:type="dxa"/>
            </w:tcMar>
            <w:vAlign w:val="center"/>
          </w:tcPr>
          <w:p>
            <w:pPr>
              <w:pStyle w:val="TableContents"/>
              <w:bidi w:val="0"/>
              <w:spacing w:before="0" w:after="283"/>
              <w:jc w:val="left"/>
              <w:rPr/>
            </w:pPr>
            <w:hyperlink w:anchor="lmnrdef14aa070">
              <w:r>
                <w:rPr>
                  <w:rStyle w:val="InternetLink"/>
                  <w:rFonts w:ascii="Arial;Helvetica;Sans-Serif" w:hAnsi="Arial;Helvetica;Sans-Serif"/>
                  <w:i/>
                  <w:sz w:val="16"/>
                </w:rPr>
                <w:t>Restricted Stock Awards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42</w:t>
            </w:r>
          </w:p>
        </w:tc>
      </w:tr>
      <w:tr>
        <w:trPr/>
        <w:tc>
          <w:tcPr>
            <w:tcW w:w="7100" w:type="dxa"/>
            <w:tcBorders>
              <w:left w:val="single" w:sz="8" w:space="0" w:color="66CCFF"/>
              <w:bottom w:val="single" w:sz="8" w:space="0" w:color="E5F5FD"/>
            </w:tcBorders>
            <w:tcMar>
              <w:top w:w="0" w:type="dxa"/>
              <w:left w:w="540" w:type="dxa"/>
            </w:tcMar>
            <w:vAlign w:val="center"/>
          </w:tcPr>
          <w:p>
            <w:pPr>
              <w:pStyle w:val="TableContents"/>
              <w:bidi w:val="0"/>
              <w:spacing w:before="0" w:after="283"/>
              <w:jc w:val="left"/>
              <w:rPr/>
            </w:pPr>
            <w:hyperlink w:anchor="lmnrdef14aa071">
              <w:r>
                <w:rPr>
                  <w:rStyle w:val="InternetLink"/>
                  <w:rFonts w:ascii="Arial;Helvetica;Sans-Serif" w:hAnsi="Arial;Helvetica;Sans-Serif"/>
                  <w:i/>
                  <w:sz w:val="16"/>
                </w:rPr>
                <w:t>Estimated Potential Incremental Payments Upon Change in Control or Certain Termination Events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43</w:t>
            </w:r>
          </w:p>
        </w:tc>
      </w:tr>
      <w:tr>
        <w:trPr/>
        <w:tc>
          <w:tcPr>
            <w:tcW w:w="7100" w:type="dxa"/>
            <w:tcBorders>
              <w:left w:val="single" w:sz="8" w:space="0" w:color="66CCFF"/>
              <w:bottom w:val="single" w:sz="8" w:space="0" w:color="E5F5FD"/>
            </w:tcBorders>
            <w:tcMar>
              <w:top w:w="0" w:type="dxa"/>
              <w:left w:w="540" w:type="dxa"/>
            </w:tcMar>
            <w:vAlign w:val="center"/>
          </w:tcPr>
          <w:p>
            <w:pPr>
              <w:pStyle w:val="TableContents"/>
              <w:bidi w:val="0"/>
              <w:spacing w:before="0" w:after="283"/>
              <w:jc w:val="left"/>
              <w:rPr/>
            </w:pPr>
            <w:hyperlink w:anchor="lmnrdef14aa072">
              <w:r>
                <w:rPr>
                  <w:rStyle w:val="InternetLink"/>
                  <w:rFonts w:ascii="Arial;Helvetica;Sans-Serif" w:hAnsi="Arial;Helvetica;Sans-Serif"/>
                  <w:i/>
                  <w:sz w:val="16"/>
                </w:rPr>
                <w:t>Perquisites and Other Personal Benefits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43</w:t>
            </w:r>
          </w:p>
        </w:tc>
      </w:tr>
      <w:tr>
        <w:trPr/>
        <w:tc>
          <w:tcPr>
            <w:tcW w:w="7100" w:type="dxa"/>
            <w:tcBorders>
              <w:left w:val="single" w:sz="8" w:space="0" w:color="66CCFF"/>
              <w:bottom w:val="single" w:sz="8" w:space="0" w:color="E5F5FD"/>
            </w:tcBorders>
            <w:tcMar>
              <w:top w:w="0" w:type="dxa"/>
              <w:left w:w="540" w:type="dxa"/>
            </w:tcMar>
            <w:vAlign w:val="center"/>
          </w:tcPr>
          <w:p>
            <w:pPr>
              <w:pStyle w:val="TableContents"/>
              <w:bidi w:val="0"/>
              <w:spacing w:before="0" w:after="283"/>
              <w:jc w:val="left"/>
              <w:rPr/>
            </w:pPr>
            <w:hyperlink w:anchor="lmnrdef14aa073">
              <w:r>
                <w:rPr>
                  <w:rStyle w:val="InternetLink"/>
                  <w:rFonts w:ascii="Arial;Helvetica;Sans-Serif" w:hAnsi="Arial;Helvetica;Sans-Serif"/>
                  <w:i/>
                  <w:sz w:val="16"/>
                </w:rPr>
                <w:t>Employment Agreements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43</w:t>
            </w:r>
          </w:p>
        </w:tc>
      </w:tr>
      <w:tr>
        <w:trPr/>
        <w:tc>
          <w:tcPr>
            <w:tcW w:w="7100" w:type="dxa"/>
            <w:tcBorders>
              <w:left w:val="single" w:sz="8" w:space="0" w:color="66CCFF"/>
              <w:bottom w:val="single" w:sz="8" w:space="0" w:color="E5F5FD"/>
            </w:tcBorders>
            <w:tcMar>
              <w:top w:w="0" w:type="dxa"/>
              <w:left w:w="540" w:type="dxa"/>
            </w:tcMar>
            <w:vAlign w:val="center"/>
          </w:tcPr>
          <w:p>
            <w:pPr>
              <w:pStyle w:val="TableContents"/>
              <w:bidi w:val="0"/>
              <w:spacing w:before="0" w:after="283"/>
              <w:jc w:val="left"/>
              <w:rPr/>
            </w:pPr>
            <w:hyperlink w:anchor="lmnrdef14aa074">
              <w:r>
                <w:rPr>
                  <w:rStyle w:val="InternetLink"/>
                  <w:rFonts w:ascii="Arial;Helvetica;Sans-Serif" w:hAnsi="Arial;Helvetica;Sans-Serif"/>
                  <w:i/>
                  <w:sz w:val="16"/>
                </w:rPr>
                <w:t>Hedging and Pledging Policies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43</w:t>
            </w:r>
          </w:p>
        </w:tc>
      </w:tr>
      <w:tr>
        <w:trPr/>
        <w:tc>
          <w:tcPr>
            <w:tcW w:w="7100" w:type="dxa"/>
            <w:tcBorders>
              <w:left w:val="single" w:sz="8" w:space="0" w:color="66CCFF"/>
              <w:bottom w:val="single" w:sz="8" w:space="0" w:color="E5F5FD"/>
            </w:tcBorders>
            <w:tcMar>
              <w:top w:w="0" w:type="dxa"/>
              <w:left w:w="540" w:type="dxa"/>
            </w:tcMar>
            <w:vAlign w:val="center"/>
          </w:tcPr>
          <w:p>
            <w:pPr>
              <w:pStyle w:val="TableContents"/>
              <w:bidi w:val="0"/>
              <w:spacing w:before="0" w:after="283"/>
              <w:jc w:val="left"/>
              <w:rPr/>
            </w:pPr>
            <w:hyperlink w:anchor="lmnrdef14aa075">
              <w:r>
                <w:rPr>
                  <w:rStyle w:val="InternetLink"/>
                  <w:rFonts w:ascii="Arial;Helvetica;Sans-Serif" w:hAnsi="Arial;Helvetica;Sans-Serif"/>
                  <w:i/>
                  <w:sz w:val="16"/>
                </w:rPr>
                <w:t>Ownership Requirement</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44</w:t>
            </w:r>
          </w:p>
        </w:tc>
      </w:tr>
      <w:tr>
        <w:trPr/>
        <w:tc>
          <w:tcPr>
            <w:tcW w:w="7100" w:type="dxa"/>
            <w:tcBorders>
              <w:left w:val="single" w:sz="8" w:space="0" w:color="66CCFF"/>
              <w:bottom w:val="single" w:sz="8" w:space="0" w:color="E5F5FD"/>
            </w:tcBorders>
            <w:tcMar>
              <w:top w:w="0" w:type="dxa"/>
              <w:left w:w="540" w:type="dxa"/>
            </w:tcMar>
            <w:vAlign w:val="center"/>
          </w:tcPr>
          <w:p>
            <w:pPr>
              <w:pStyle w:val="TableContents"/>
              <w:bidi w:val="0"/>
              <w:spacing w:before="0" w:after="283"/>
              <w:jc w:val="left"/>
              <w:rPr/>
            </w:pPr>
            <w:hyperlink w:anchor="lmnrdef14aa076">
              <w:r>
                <w:rPr>
                  <w:rStyle w:val="InternetLink"/>
                  <w:rFonts w:ascii="Arial;Helvetica;Sans-Serif" w:hAnsi="Arial;Helvetica;Sans-Serif"/>
                  <w:i/>
                  <w:sz w:val="16"/>
                </w:rPr>
                <w:t>Other</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44</w:t>
            </w:r>
          </w:p>
        </w:tc>
      </w:tr>
      <w:tr>
        <w:trPr/>
        <w:tc>
          <w:tcPr>
            <w:tcW w:w="710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77">
              <w:r>
                <w:rPr>
                  <w:rStyle w:val="InternetLink"/>
                  <w:rFonts w:ascii="Arial;Helvetica;Sans-Serif" w:hAnsi="Arial;Helvetica;Sans-Serif"/>
                  <w:sz w:val="16"/>
                </w:rPr>
                <w:t>Chief Executive Officer Pay Ratio</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45</w:t>
            </w:r>
          </w:p>
        </w:tc>
      </w:tr>
      <w:tr>
        <w:trPr/>
        <w:tc>
          <w:tcPr>
            <w:tcW w:w="710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78">
              <w:r>
                <w:rPr>
                  <w:rStyle w:val="InternetLink"/>
                  <w:rFonts w:ascii="Arial;Helvetica;Sans-Serif" w:hAnsi="Arial;Helvetica;Sans-Serif"/>
                  <w:sz w:val="16"/>
                </w:rPr>
                <w:t>Summary Compensation Table for Fiscal Years 2025, 2024 and 2023</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46</w:t>
            </w:r>
          </w:p>
        </w:tc>
      </w:tr>
      <w:tr>
        <w:trPr/>
        <w:tc>
          <w:tcPr>
            <w:tcW w:w="710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79">
              <w:r>
                <w:rPr>
                  <w:rStyle w:val="InternetLink"/>
                  <w:rFonts w:ascii="Arial;Helvetica;Sans-Serif" w:hAnsi="Arial;Helvetica;Sans-Serif"/>
                  <w:sz w:val="16"/>
                </w:rPr>
                <w:t>Chart of All Other Compensation in Fiscal Year 2025</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47</w:t>
            </w:r>
          </w:p>
        </w:tc>
      </w:tr>
      <w:tr>
        <w:trPr/>
        <w:tc>
          <w:tcPr>
            <w:tcW w:w="710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80">
              <w:r>
                <w:rPr>
                  <w:rStyle w:val="InternetLink"/>
                  <w:rFonts w:ascii="Arial;Helvetica;Sans-Serif" w:hAnsi="Arial;Helvetica;Sans-Serif"/>
                  <w:sz w:val="16"/>
                </w:rPr>
                <w:t>Grants of Plan-Based Awards in Fiscal Year 2025</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47</w:t>
            </w:r>
          </w:p>
        </w:tc>
      </w:tr>
      <w:tr>
        <w:trPr/>
        <w:tc>
          <w:tcPr>
            <w:tcW w:w="710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81">
              <w:r>
                <w:rPr>
                  <w:rStyle w:val="InternetLink"/>
                  <w:rFonts w:ascii="Arial;Helvetica;Sans-Serif" w:hAnsi="Arial;Helvetica;Sans-Serif"/>
                  <w:sz w:val="16"/>
                </w:rPr>
                <w:t>Outstanding Equity Awards at 2025 Fiscal Year End</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48</w:t>
            </w:r>
          </w:p>
        </w:tc>
      </w:tr>
      <w:tr>
        <w:trPr/>
        <w:tc>
          <w:tcPr>
            <w:tcW w:w="7100" w:type="dxa"/>
            <w:tcBorders>
              <w:left w:val="single" w:sz="8" w:space="0" w:color="66CCFF"/>
              <w:bottom w:val="single" w:sz="8" w:space="0" w:color="66CCFF"/>
            </w:tcBorders>
            <w:tcMar>
              <w:top w:w="0" w:type="dxa"/>
            </w:tcMar>
            <w:vAlign w:val="center"/>
          </w:tcPr>
          <w:p>
            <w:pPr>
              <w:pStyle w:val="TableContents"/>
              <w:bidi w:val="0"/>
              <w:spacing w:before="0" w:after="283"/>
              <w:jc w:val="left"/>
              <w:rPr/>
            </w:pPr>
            <w:r>
              <w:rPr/>
              <w:t> </w:t>
            </w:r>
          </w:p>
        </w:tc>
        <w:tc>
          <w:tcPr>
            <w:tcW w:w="215" w:type="dxa"/>
            <w:tcBorders>
              <w:bottom w:val="single" w:sz="8" w:space="0" w:color="66CCFF"/>
              <w:right w:val="single" w:sz="8" w:space="0" w:color="66CCFF"/>
            </w:tcBorders>
            <w:tcMar>
              <w:top w:w="0" w:type="dxa"/>
              <w:left w:w="0" w:type="dxa"/>
              <w:right w:w="300" w:type="dxa"/>
            </w:tcMar>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270" w:type="dxa"/>
        <w:jc w:val="left"/>
        <w:tblInd w:w="0" w:type="dxa"/>
        <w:tblLayout w:type="fixed"/>
        <w:tblCellMar>
          <w:top w:w="0" w:type="dxa"/>
          <w:left w:w="0" w:type="dxa"/>
          <w:bottom w:w="0" w:type="dxa"/>
          <w:right w:w="0" w:type="dxa"/>
        </w:tblCellMar>
      </w:tblPr>
      <w:tblGrid>
        <w:gridCol w:w="1490"/>
        <w:gridCol w:w="125"/>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125"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2</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300" w:type="dxa"/>
          <w:bottom w:w="28" w:type="dxa"/>
          <w:right w:w="0" w:type="dxa"/>
        </w:tblCellMar>
      </w:tblPr>
      <w:tblGrid>
        <w:gridCol w:w="9990"/>
        <w:gridCol w:w="215"/>
      </w:tblGrid>
      <w:tr>
        <w:trPr/>
        <w:tc>
          <w:tcPr>
            <w:tcW w:w="9990" w:type="dxa"/>
            <w:tcBorders>
              <w:top w:val="single" w:sz="8" w:space="0" w:color="66CCFF"/>
              <w:left w:val="single" w:sz="8" w:space="0" w:color="66CCFF"/>
              <w:bottom w:val="single" w:sz="8" w:space="0" w:color="E5F5FD"/>
            </w:tcBorders>
            <w:vAlign w:val="center"/>
          </w:tcPr>
          <w:p>
            <w:pPr>
              <w:pStyle w:val="TableContents"/>
              <w:bidi w:val="0"/>
              <w:spacing w:before="0" w:after="283"/>
              <w:jc w:val="left"/>
              <w:rPr/>
            </w:pPr>
            <w:r>
              <w:rPr/>
              <w:t> </w:t>
            </w:r>
          </w:p>
        </w:tc>
        <w:tc>
          <w:tcPr>
            <w:tcW w:w="215" w:type="dxa"/>
            <w:tcBorders>
              <w:top w:val="single" w:sz="8" w:space="0" w:color="66CCFF"/>
              <w:bottom w:val="single" w:sz="8" w:space="0" w:color="E5F5FD"/>
              <w:right w:val="single" w:sz="8" w:space="0" w:color="66CCFF"/>
            </w:tcBorders>
            <w:tcMar>
              <w:left w:w="0" w:type="dxa"/>
              <w:right w:w="300" w:type="dxa"/>
            </w:tcMar>
            <w:vAlign w:val="center"/>
          </w:tcPr>
          <w:p>
            <w:pPr>
              <w:pStyle w:val="TableContents"/>
              <w:bidi w:val="0"/>
              <w:spacing w:before="0" w:after="283"/>
              <w:jc w:val="right"/>
              <w:rPr/>
            </w:pPr>
            <w:r>
              <w:rPr/>
              <w:t> </w:t>
            </w:r>
          </w:p>
        </w:tc>
      </w:tr>
      <w:tr>
        <w:trPr/>
        <w:tc>
          <w:tcPr>
            <w:tcW w:w="999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82">
              <w:r>
                <w:rPr>
                  <w:rStyle w:val="InternetLink"/>
                  <w:sz w:val="16"/>
                </w:rPr>
                <w:t>Outstanding Exercises and Stock Vested at 2025 Fiscal Year End</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49</w:t>
            </w:r>
          </w:p>
        </w:tc>
      </w:tr>
      <w:tr>
        <w:trPr/>
        <w:tc>
          <w:tcPr>
            <w:tcW w:w="999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83">
              <w:r>
                <w:rPr>
                  <w:rStyle w:val="InternetLink"/>
                  <w:rFonts w:ascii="Arial;Helvetica;Sans-Serif" w:hAnsi="Arial;Helvetica;Sans-Serif"/>
                  <w:sz w:val="16"/>
                </w:rPr>
                <w:t>Pay Versus Performance (PVP)</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49</w:t>
            </w:r>
          </w:p>
        </w:tc>
      </w:tr>
      <w:tr>
        <w:trPr/>
        <w:tc>
          <w:tcPr>
            <w:tcW w:w="999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84">
              <w:r>
                <w:rPr>
                  <w:rStyle w:val="InternetLink"/>
                  <w:rFonts w:ascii="Arial;Helvetica;Sans-Serif" w:hAnsi="Arial;Helvetica;Sans-Serif"/>
                  <w:sz w:val="16"/>
                </w:rPr>
                <w:t>Compensation Committee Report</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52</w:t>
            </w:r>
          </w:p>
        </w:tc>
      </w:tr>
      <w:tr>
        <w:trPr/>
        <w:tc>
          <w:tcPr>
            <w:tcW w:w="999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85">
              <w:r>
                <w:rPr>
                  <w:rStyle w:val="InternetLink"/>
                  <w:rFonts w:ascii="Arial;Helvetica;Sans-Serif" w:hAnsi="Arial;Helvetica;Sans-Serif"/>
                  <w:b/>
                  <w:sz w:val="20"/>
                </w:rPr>
                <w:t>Proposal 2: Advisory Vote on Executive Compensation</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53</w:t>
            </w:r>
          </w:p>
        </w:tc>
      </w:tr>
      <w:tr>
        <w:trPr/>
        <w:tc>
          <w:tcPr>
            <w:tcW w:w="999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86">
              <w:r>
                <w:rPr>
                  <w:rStyle w:val="InternetLink"/>
                  <w:rFonts w:ascii="Arial;Helvetica;Sans-Serif" w:hAnsi="Arial;Helvetica;Sans-Serif"/>
                  <w:sz w:val="16"/>
                </w:rPr>
                <w:t>Required Vote for Stockholder Approval</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53</w:t>
            </w:r>
          </w:p>
        </w:tc>
      </w:tr>
      <w:tr>
        <w:trPr/>
        <w:tc>
          <w:tcPr>
            <w:tcW w:w="999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87">
              <w:r>
                <w:rPr>
                  <w:rStyle w:val="InternetLink"/>
                  <w:rFonts w:ascii="Arial;Helvetica;Sans-Serif" w:hAnsi="Arial;Helvetica;Sans-Serif"/>
                  <w:sz w:val="16"/>
                </w:rPr>
                <w:t>Recommendation of the Board of Directors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53</w:t>
            </w:r>
          </w:p>
        </w:tc>
      </w:tr>
      <w:tr>
        <w:trPr/>
        <w:tc>
          <w:tcPr>
            <w:tcW w:w="999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88">
              <w:r>
                <w:rPr>
                  <w:rStyle w:val="InternetLink"/>
                  <w:rFonts w:ascii="Arial;Helvetica;Sans-Serif" w:hAnsi="Arial;Helvetica;Sans-Serif"/>
                  <w:b/>
                  <w:sz w:val="20"/>
                </w:rPr>
                <w:t>Proposal 3: Ratification of Selection of Independent Registered Public Accounting Firm</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54</w:t>
            </w:r>
          </w:p>
        </w:tc>
      </w:tr>
      <w:tr>
        <w:trPr/>
        <w:tc>
          <w:tcPr>
            <w:tcW w:w="999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89">
              <w:r>
                <w:rPr>
                  <w:rStyle w:val="InternetLink"/>
                  <w:rFonts w:ascii="Arial;Helvetica;Sans-Serif" w:hAnsi="Arial;Helvetica;Sans-Serif"/>
                  <w:sz w:val="16"/>
                </w:rPr>
                <w:t>General</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54</w:t>
            </w:r>
          </w:p>
        </w:tc>
      </w:tr>
      <w:tr>
        <w:trPr/>
        <w:tc>
          <w:tcPr>
            <w:tcW w:w="999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90">
              <w:r>
                <w:rPr>
                  <w:rStyle w:val="InternetLink"/>
                  <w:rFonts w:ascii="Arial;Helvetica;Sans-Serif" w:hAnsi="Arial;Helvetica;Sans-Serif"/>
                  <w:sz w:val="16"/>
                </w:rPr>
                <w:t>Fees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54</w:t>
            </w:r>
          </w:p>
        </w:tc>
      </w:tr>
      <w:tr>
        <w:trPr/>
        <w:tc>
          <w:tcPr>
            <w:tcW w:w="999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91">
              <w:r>
                <w:rPr>
                  <w:rStyle w:val="InternetLink"/>
                  <w:rFonts w:ascii="Arial;Helvetica;Sans-Serif" w:hAnsi="Arial;Helvetica;Sans-Serif"/>
                  <w:sz w:val="16"/>
                </w:rPr>
                <w:t>Pre-Approval Policies and Procedures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54</w:t>
            </w:r>
          </w:p>
        </w:tc>
      </w:tr>
      <w:tr>
        <w:trPr/>
        <w:tc>
          <w:tcPr>
            <w:tcW w:w="999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92">
              <w:r>
                <w:rPr>
                  <w:rStyle w:val="InternetLink"/>
                  <w:rFonts w:ascii="Arial;Helvetica;Sans-Serif" w:hAnsi="Arial;Helvetica;Sans-Serif"/>
                  <w:sz w:val="16"/>
                </w:rPr>
                <w:t>Required Vote For Stockholder Approval</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55</w:t>
            </w:r>
          </w:p>
        </w:tc>
      </w:tr>
      <w:tr>
        <w:trPr/>
        <w:tc>
          <w:tcPr>
            <w:tcW w:w="999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93">
              <w:r>
                <w:rPr>
                  <w:rStyle w:val="InternetLink"/>
                  <w:rFonts w:ascii="Arial;Helvetica;Sans-Serif" w:hAnsi="Arial;Helvetica;Sans-Serif"/>
                  <w:sz w:val="16"/>
                </w:rPr>
                <w:t>Recommendation of the Board of Directors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55</w:t>
            </w:r>
          </w:p>
        </w:tc>
      </w:tr>
      <w:tr>
        <w:trPr/>
        <w:tc>
          <w:tcPr>
            <w:tcW w:w="999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94">
              <w:r>
                <w:rPr>
                  <w:rStyle w:val="InternetLink"/>
                  <w:rFonts w:ascii="Arial;Helvetica;Sans-Serif" w:hAnsi="Arial;Helvetica;Sans-Serif"/>
                  <w:sz w:val="16"/>
                </w:rPr>
                <w:t>Audit and Finance Committee Report</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55</w:t>
            </w:r>
          </w:p>
        </w:tc>
      </w:tr>
      <w:tr>
        <w:trPr/>
        <w:tc>
          <w:tcPr>
            <w:tcW w:w="999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95">
              <w:r>
                <w:rPr>
                  <w:rStyle w:val="InternetLink"/>
                  <w:rFonts w:ascii="Arial;Helvetica;Sans-Serif" w:hAnsi="Arial;Helvetica;Sans-Serif"/>
                  <w:b/>
                  <w:sz w:val="20"/>
                </w:rPr>
                <w:t>Other Information</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57</w:t>
            </w:r>
          </w:p>
        </w:tc>
      </w:tr>
      <w:tr>
        <w:trPr/>
        <w:tc>
          <w:tcPr>
            <w:tcW w:w="999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96">
              <w:r>
                <w:rPr>
                  <w:rStyle w:val="InternetLink"/>
                  <w:rFonts w:ascii="Arial;Helvetica;Sans-Serif" w:hAnsi="Arial;Helvetica;Sans-Serif"/>
                  <w:sz w:val="16"/>
                </w:rPr>
                <w:t>Stock Ownership Information</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57</w:t>
            </w:r>
          </w:p>
        </w:tc>
      </w:tr>
      <w:tr>
        <w:trPr/>
        <w:tc>
          <w:tcPr>
            <w:tcW w:w="999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97">
              <w:r>
                <w:rPr>
                  <w:rStyle w:val="InternetLink"/>
                  <w:rFonts w:ascii="Arial;Helvetica;Sans-Serif" w:hAnsi="Arial;Helvetica;Sans-Serif"/>
                  <w:sz w:val="16"/>
                </w:rPr>
                <w:t>Security Ownership of Certain Beneficial Owners and Management</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57</w:t>
            </w:r>
          </w:p>
        </w:tc>
      </w:tr>
      <w:tr>
        <w:trPr/>
        <w:tc>
          <w:tcPr>
            <w:tcW w:w="999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98">
              <w:r>
                <w:rPr>
                  <w:rStyle w:val="InternetLink"/>
                  <w:rFonts w:ascii="Arial;Helvetica;Sans-Serif" w:hAnsi="Arial;Helvetica;Sans-Serif"/>
                  <w:sz w:val="16"/>
                </w:rPr>
                <w:t>Securities Authorized for Issuance Under Equity Compensation Plans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59</w:t>
            </w:r>
          </w:p>
        </w:tc>
      </w:tr>
      <w:tr>
        <w:trPr/>
        <w:tc>
          <w:tcPr>
            <w:tcW w:w="999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099">
              <w:r>
                <w:rPr>
                  <w:rStyle w:val="InternetLink"/>
                  <w:rFonts w:ascii="Arial;Helvetica;Sans-Serif" w:hAnsi="Arial;Helvetica;Sans-Serif"/>
                  <w:sz w:val="16"/>
                </w:rPr>
                <w:t>Certain Relationships and Related-Party Transactions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59</w:t>
            </w:r>
          </w:p>
        </w:tc>
      </w:tr>
      <w:tr>
        <w:trPr/>
        <w:tc>
          <w:tcPr>
            <w:tcW w:w="9990" w:type="dxa"/>
            <w:tcBorders>
              <w:left w:val="single" w:sz="8" w:space="0" w:color="66CCFF"/>
              <w:bottom w:val="single" w:sz="8" w:space="0" w:color="E5F5FD"/>
            </w:tcBorders>
            <w:tcMar>
              <w:top w:w="0" w:type="dxa"/>
              <w:left w:w="540" w:type="dxa"/>
            </w:tcMar>
            <w:vAlign w:val="center"/>
          </w:tcPr>
          <w:p>
            <w:pPr>
              <w:pStyle w:val="TableContents"/>
              <w:bidi w:val="0"/>
              <w:spacing w:before="0" w:after="283"/>
              <w:jc w:val="left"/>
              <w:rPr/>
            </w:pPr>
            <w:hyperlink w:anchor="lmnrdef14aa100">
              <w:r>
                <w:rPr>
                  <w:rStyle w:val="InternetLink"/>
                  <w:rFonts w:ascii="Arial;Helvetica;Sans-Serif" w:hAnsi="Arial;Helvetica;Sans-Serif"/>
                  <w:i/>
                  <w:sz w:val="16"/>
                </w:rPr>
                <w:t>Policy for Approval of Related Party Transactions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59</w:t>
            </w:r>
          </w:p>
        </w:tc>
      </w:tr>
      <w:tr>
        <w:trPr/>
        <w:tc>
          <w:tcPr>
            <w:tcW w:w="9990" w:type="dxa"/>
            <w:tcBorders>
              <w:left w:val="single" w:sz="8" w:space="0" w:color="66CCFF"/>
              <w:bottom w:val="single" w:sz="8" w:space="0" w:color="E5F5FD"/>
            </w:tcBorders>
            <w:tcMar>
              <w:top w:w="0" w:type="dxa"/>
              <w:left w:w="540" w:type="dxa"/>
            </w:tcMar>
            <w:vAlign w:val="center"/>
          </w:tcPr>
          <w:p>
            <w:pPr>
              <w:pStyle w:val="TableContents"/>
              <w:bidi w:val="0"/>
              <w:spacing w:before="0" w:after="283"/>
              <w:jc w:val="left"/>
              <w:rPr/>
            </w:pPr>
            <w:hyperlink w:anchor="lmnrdef14aa101">
              <w:r>
                <w:rPr>
                  <w:rStyle w:val="InternetLink"/>
                  <w:rFonts w:ascii="Arial;Helvetica;Sans-Serif" w:hAnsi="Arial;Helvetica;Sans-Serif"/>
                  <w:i/>
                  <w:sz w:val="16"/>
                </w:rPr>
                <w:t>Family Relationships and Other Arrangements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59</w:t>
            </w:r>
          </w:p>
        </w:tc>
      </w:tr>
      <w:tr>
        <w:trPr/>
        <w:tc>
          <w:tcPr>
            <w:tcW w:w="999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102">
              <w:r>
                <w:rPr>
                  <w:rStyle w:val="InternetLink"/>
                  <w:rFonts w:ascii="Arial;Helvetica;Sans-Serif" w:hAnsi="Arial;Helvetica;Sans-Serif"/>
                  <w:sz w:val="16"/>
                </w:rPr>
                <w:t>Delinquent Section 16(a) Reports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59</w:t>
            </w:r>
          </w:p>
        </w:tc>
      </w:tr>
      <w:tr>
        <w:trPr/>
        <w:tc>
          <w:tcPr>
            <w:tcW w:w="999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103">
              <w:r>
                <w:rPr>
                  <w:rStyle w:val="InternetLink"/>
                  <w:rFonts w:ascii="Arial;Helvetica;Sans-Serif" w:hAnsi="Arial;Helvetica;Sans-Serif"/>
                  <w:sz w:val="16"/>
                </w:rPr>
                <w:t>Stockholder Communications with the Board of Directors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59</w:t>
            </w:r>
          </w:p>
        </w:tc>
      </w:tr>
      <w:tr>
        <w:trPr/>
        <w:tc>
          <w:tcPr>
            <w:tcW w:w="999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104">
              <w:r>
                <w:rPr>
                  <w:rStyle w:val="InternetLink"/>
                  <w:rFonts w:ascii="Arial;Helvetica;Sans-Serif" w:hAnsi="Arial;Helvetica;Sans-Serif"/>
                  <w:sz w:val="16"/>
                </w:rPr>
                <w:t>Stockholder Proposals for the 2026 Annual Meeting of Stockholders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60</w:t>
            </w:r>
          </w:p>
        </w:tc>
      </w:tr>
      <w:tr>
        <w:trPr/>
        <w:tc>
          <w:tcPr>
            <w:tcW w:w="9990" w:type="dxa"/>
            <w:tcBorders>
              <w:left w:val="single" w:sz="8" w:space="0" w:color="66CCFF"/>
              <w:bottom w:val="single" w:sz="8" w:space="0" w:color="E5F5FD"/>
            </w:tcBorders>
            <w:tcMar>
              <w:top w:w="0" w:type="dxa"/>
              <w:left w:w="540" w:type="dxa"/>
            </w:tcMar>
            <w:vAlign w:val="center"/>
          </w:tcPr>
          <w:p>
            <w:pPr>
              <w:pStyle w:val="TableContents"/>
              <w:bidi w:val="0"/>
              <w:spacing w:before="0" w:after="283"/>
              <w:jc w:val="left"/>
              <w:rPr/>
            </w:pPr>
            <w:hyperlink w:anchor="lmnrdef14aa105">
              <w:r>
                <w:rPr>
                  <w:rStyle w:val="InternetLink"/>
                  <w:rFonts w:ascii="Arial;Helvetica;Sans-Serif" w:hAnsi="Arial;Helvetica;Sans-Serif"/>
                  <w:i/>
                  <w:sz w:val="16"/>
                </w:rPr>
                <w:t>Stockholder Proposals – Inclusion in Company Proxy Statement</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60</w:t>
            </w:r>
          </w:p>
        </w:tc>
      </w:tr>
      <w:tr>
        <w:trPr/>
        <w:tc>
          <w:tcPr>
            <w:tcW w:w="9990" w:type="dxa"/>
            <w:tcBorders>
              <w:left w:val="single" w:sz="8" w:space="0" w:color="66CCFF"/>
              <w:bottom w:val="single" w:sz="8" w:space="0" w:color="E5F5FD"/>
            </w:tcBorders>
            <w:tcMar>
              <w:top w:w="0" w:type="dxa"/>
              <w:left w:w="540" w:type="dxa"/>
            </w:tcMar>
            <w:vAlign w:val="center"/>
          </w:tcPr>
          <w:p>
            <w:pPr>
              <w:pStyle w:val="TableContents"/>
              <w:bidi w:val="0"/>
              <w:spacing w:before="0" w:after="283"/>
              <w:jc w:val="left"/>
              <w:rPr/>
            </w:pPr>
            <w:hyperlink w:anchor="lmnrdef14aa106">
              <w:r>
                <w:rPr>
                  <w:rStyle w:val="InternetLink"/>
                  <w:rFonts w:ascii="Arial;Helvetica;Sans-Serif" w:hAnsi="Arial;Helvetica;Sans-Serif"/>
                  <w:i/>
                  <w:sz w:val="16"/>
                </w:rPr>
                <w:t>Other Stockholder Proposals or Nominations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60</w:t>
            </w:r>
          </w:p>
        </w:tc>
      </w:tr>
      <w:tr>
        <w:trPr/>
        <w:tc>
          <w:tcPr>
            <w:tcW w:w="999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107">
              <w:r>
                <w:rPr>
                  <w:rStyle w:val="InternetLink"/>
                  <w:rFonts w:ascii="Arial;Helvetica;Sans-Serif" w:hAnsi="Arial;Helvetica;Sans-Serif"/>
                  <w:sz w:val="16"/>
                </w:rPr>
                <w:t>United States Securities and Exchange Commission Reports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60</w:t>
            </w:r>
          </w:p>
        </w:tc>
      </w:tr>
      <w:tr>
        <w:trPr/>
        <w:tc>
          <w:tcPr>
            <w:tcW w:w="999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108">
              <w:r>
                <w:rPr>
                  <w:rStyle w:val="InternetLink"/>
                  <w:rFonts w:ascii="Arial;Helvetica;Sans-Serif" w:hAnsi="Arial;Helvetica;Sans-Serif"/>
                  <w:sz w:val="16"/>
                </w:rPr>
                <w:t>Delivery of Documents to Stockholders Sharing an Address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60</w:t>
            </w:r>
          </w:p>
        </w:tc>
      </w:tr>
      <w:tr>
        <w:trPr/>
        <w:tc>
          <w:tcPr>
            <w:tcW w:w="9990" w:type="dxa"/>
            <w:tcBorders>
              <w:left w:val="single" w:sz="8" w:space="0" w:color="66CCFF"/>
              <w:bottom w:val="single" w:sz="8" w:space="0" w:color="E5F5FD"/>
            </w:tcBorders>
            <w:tcMar>
              <w:top w:w="0" w:type="dxa"/>
            </w:tcMar>
            <w:vAlign w:val="center"/>
          </w:tcPr>
          <w:p>
            <w:pPr>
              <w:pStyle w:val="TableContents"/>
              <w:bidi w:val="0"/>
              <w:spacing w:before="0" w:after="283"/>
              <w:jc w:val="left"/>
              <w:rPr/>
            </w:pPr>
            <w:hyperlink w:anchor="lmnrdef14aa109">
              <w:r>
                <w:rPr>
                  <w:rStyle w:val="InternetLink"/>
                  <w:rFonts w:ascii="Arial;Helvetica;Sans-Serif" w:hAnsi="Arial;Helvetica;Sans-Serif"/>
                  <w:sz w:val="16"/>
                </w:rPr>
                <w:t>Other Matters</w:t>
              </w:r>
            </w:hyperlink>
          </w:p>
        </w:tc>
        <w:tc>
          <w:tcPr>
            <w:tcW w:w="215" w:type="dxa"/>
            <w:tcBorders>
              <w:bottom w:val="single" w:sz="8" w:space="0" w:color="E5F5FD"/>
              <w:right w:val="single" w:sz="8" w:space="0" w:color="66CCFF"/>
            </w:tcBorders>
            <w:tcMar>
              <w:top w:w="0" w:type="dxa"/>
              <w:left w:w="0" w:type="dxa"/>
              <w:right w:w="3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61</w:t>
            </w:r>
          </w:p>
        </w:tc>
      </w:tr>
      <w:tr>
        <w:trPr/>
        <w:tc>
          <w:tcPr>
            <w:tcW w:w="9990" w:type="dxa"/>
            <w:tcBorders>
              <w:left w:val="single" w:sz="8" w:space="0" w:color="66CCFF"/>
            </w:tcBorders>
            <w:tcMar>
              <w:top w:w="0" w:type="dxa"/>
              <w:bottom w:w="0" w:type="dxa"/>
            </w:tcMar>
            <w:vAlign w:val="center"/>
          </w:tcPr>
          <w:p>
            <w:pPr>
              <w:pStyle w:val="TableContents"/>
              <w:bidi w:val="0"/>
              <w:spacing w:before="0" w:after="283"/>
              <w:jc w:val="left"/>
              <w:rPr/>
            </w:pPr>
            <w:r>
              <w:rPr/>
              <w:t> </w:t>
            </w:r>
          </w:p>
        </w:tc>
        <w:tc>
          <w:tcPr>
            <w:tcW w:w="215" w:type="dxa"/>
            <w:tcBorders>
              <w:right w:val="single" w:sz="8" w:space="0" w:color="66CCFF"/>
            </w:tcBorders>
            <w:tcMar>
              <w:top w:w="0" w:type="dxa"/>
              <w:left w:w="0" w:type="dxa"/>
              <w:bottom w:w="0" w:type="dxa"/>
              <w:right w:w="300" w:type="dxa"/>
            </w:tcMar>
            <w:vAlign w:val="center"/>
          </w:tcPr>
          <w:p>
            <w:pPr>
              <w:pStyle w:val="TableContents"/>
              <w:bidi w:val="0"/>
              <w:spacing w:before="0" w:after="283"/>
              <w:jc w:val="right"/>
              <w:rPr/>
            </w:pPr>
            <w:r>
              <w:rPr/>
              <w:t> </w:t>
            </w:r>
          </w:p>
        </w:tc>
      </w:tr>
      <w:tr>
        <w:trPr/>
        <w:tc>
          <w:tcPr>
            <w:tcW w:w="9990" w:type="dxa"/>
            <w:tcBorders>
              <w:left w:val="single" w:sz="8" w:space="0" w:color="66CCFF"/>
            </w:tcBorders>
            <w:tcMar>
              <w:top w:w="0" w:type="dxa"/>
              <w:bottom w:w="0" w:type="dxa"/>
            </w:tcMar>
            <w:vAlign w:val="center"/>
          </w:tcPr>
          <w:p>
            <w:pPr>
              <w:pStyle w:val="TableContents"/>
              <w:bidi w:val="0"/>
              <w:spacing w:before="0" w:after="283"/>
              <w:jc w:val="left"/>
              <w:rPr>
                <w:i/>
                <w:sz w:val="16"/>
              </w:rPr>
            </w:pPr>
            <w:r>
              <w:rPr>
                <w:i/>
                <w:sz w:val="16"/>
              </w:rPr>
              <w:t>Except where the context indicates otherwise, the “Company,” “we,” “us” and “our” refer to Limoneira Company and its wholly owned subsidiaries. References to “stockholders” refer to stockholders of Limoneira Company.</w:t>
            </w:r>
          </w:p>
        </w:tc>
        <w:tc>
          <w:tcPr>
            <w:tcW w:w="215" w:type="dxa"/>
            <w:tcBorders>
              <w:right w:val="single" w:sz="8" w:space="0" w:color="66CCFF"/>
            </w:tcBorders>
            <w:tcMar>
              <w:top w:w="0" w:type="dxa"/>
              <w:left w:w="0" w:type="dxa"/>
              <w:bottom w:w="0" w:type="dxa"/>
              <w:right w:w="300" w:type="dxa"/>
            </w:tcMar>
            <w:vAlign w:val="center"/>
          </w:tcPr>
          <w:p>
            <w:pPr>
              <w:pStyle w:val="TableContents"/>
              <w:bidi w:val="0"/>
              <w:spacing w:before="0" w:after="283"/>
              <w:jc w:val="right"/>
              <w:rPr/>
            </w:pPr>
            <w:r>
              <w:rPr/>
              <w:t> </w:t>
            </w:r>
          </w:p>
        </w:tc>
      </w:tr>
      <w:tr>
        <w:trPr/>
        <w:tc>
          <w:tcPr>
            <w:tcW w:w="9990" w:type="dxa"/>
            <w:tcBorders>
              <w:left w:val="single" w:sz="8" w:space="0" w:color="66CCFF"/>
            </w:tcBorders>
            <w:tcMar>
              <w:top w:w="0" w:type="dxa"/>
              <w:bottom w:w="0" w:type="dxa"/>
            </w:tcMar>
            <w:vAlign w:val="center"/>
          </w:tcPr>
          <w:p>
            <w:pPr>
              <w:pStyle w:val="TableContents"/>
              <w:bidi w:val="0"/>
              <w:spacing w:before="0" w:after="283"/>
              <w:jc w:val="left"/>
              <w:rPr/>
            </w:pPr>
            <w:r>
              <w:rPr/>
              <w:t> </w:t>
            </w:r>
          </w:p>
        </w:tc>
        <w:tc>
          <w:tcPr>
            <w:tcW w:w="215" w:type="dxa"/>
            <w:tcBorders>
              <w:right w:val="single" w:sz="8" w:space="0" w:color="66CCFF"/>
            </w:tcBorders>
            <w:tcMar>
              <w:top w:w="0" w:type="dxa"/>
              <w:left w:w="0" w:type="dxa"/>
              <w:bottom w:w="0" w:type="dxa"/>
              <w:right w:w="300" w:type="dxa"/>
            </w:tcMar>
            <w:vAlign w:val="center"/>
          </w:tcPr>
          <w:p>
            <w:pPr>
              <w:pStyle w:val="TableContents"/>
              <w:bidi w:val="0"/>
              <w:spacing w:before="0" w:after="283"/>
              <w:jc w:val="right"/>
              <w:rPr/>
            </w:pPr>
            <w:r>
              <w:rPr/>
              <w:t> </w:t>
            </w:r>
          </w:p>
        </w:tc>
      </w:tr>
      <w:tr>
        <w:trPr/>
        <w:tc>
          <w:tcPr>
            <w:tcW w:w="9990" w:type="dxa"/>
            <w:tcBorders>
              <w:left w:val="single" w:sz="8" w:space="0" w:color="66CCFF"/>
            </w:tcBorders>
            <w:tcMar>
              <w:top w:w="0" w:type="dxa"/>
              <w:bottom w:w="0" w:type="dxa"/>
            </w:tcMar>
            <w:vAlign w:val="center"/>
          </w:tcPr>
          <w:p>
            <w:pPr>
              <w:pStyle w:val="TableContents"/>
              <w:bidi w:val="0"/>
              <w:spacing w:before="0" w:after="283"/>
              <w:jc w:val="left"/>
              <w:rPr/>
            </w:pPr>
            <w:r>
              <w:rPr/>
              <w:t> </w:t>
            </w:r>
          </w:p>
        </w:tc>
        <w:tc>
          <w:tcPr>
            <w:tcW w:w="215" w:type="dxa"/>
            <w:tcBorders>
              <w:right w:val="single" w:sz="8" w:space="0" w:color="66CCFF"/>
            </w:tcBorders>
            <w:tcMar>
              <w:top w:w="0" w:type="dxa"/>
              <w:left w:w="0" w:type="dxa"/>
              <w:bottom w:w="0" w:type="dxa"/>
              <w:right w:w="300" w:type="dxa"/>
            </w:tcMar>
            <w:vAlign w:val="center"/>
          </w:tcPr>
          <w:p>
            <w:pPr>
              <w:pStyle w:val="TableContents"/>
              <w:bidi w:val="0"/>
              <w:spacing w:before="0" w:after="283"/>
              <w:jc w:val="right"/>
              <w:rPr/>
            </w:pPr>
            <w:r>
              <w:rPr/>
              <w:t> </w:t>
            </w:r>
          </w:p>
        </w:tc>
      </w:tr>
      <w:tr>
        <w:trPr/>
        <w:tc>
          <w:tcPr>
            <w:tcW w:w="9990" w:type="dxa"/>
            <w:tcBorders>
              <w:left w:val="single" w:sz="8" w:space="0" w:color="66CCFF"/>
            </w:tcBorders>
            <w:tcMar>
              <w:top w:w="0" w:type="dxa"/>
              <w:bottom w:w="0" w:type="dxa"/>
            </w:tcMar>
            <w:vAlign w:val="center"/>
          </w:tcPr>
          <w:p>
            <w:pPr>
              <w:pStyle w:val="TableContents"/>
              <w:bidi w:val="0"/>
              <w:spacing w:before="0" w:after="283"/>
              <w:jc w:val="left"/>
              <w:rPr/>
            </w:pPr>
            <w:r>
              <w:rPr/>
              <w:t> </w:t>
            </w:r>
          </w:p>
        </w:tc>
        <w:tc>
          <w:tcPr>
            <w:tcW w:w="215" w:type="dxa"/>
            <w:tcBorders>
              <w:right w:val="single" w:sz="8" w:space="0" w:color="66CCFF"/>
            </w:tcBorders>
            <w:tcMar>
              <w:top w:w="0" w:type="dxa"/>
              <w:left w:w="0" w:type="dxa"/>
              <w:bottom w:w="0" w:type="dxa"/>
              <w:right w:w="300" w:type="dxa"/>
            </w:tcMar>
            <w:vAlign w:val="center"/>
          </w:tcPr>
          <w:p>
            <w:pPr>
              <w:pStyle w:val="TableContents"/>
              <w:bidi w:val="0"/>
              <w:spacing w:before="0" w:after="283"/>
              <w:jc w:val="right"/>
              <w:rPr/>
            </w:pPr>
            <w:r>
              <w:rPr/>
              <w:t> </w:t>
            </w:r>
          </w:p>
        </w:tc>
      </w:tr>
      <w:tr>
        <w:trPr/>
        <w:tc>
          <w:tcPr>
            <w:tcW w:w="9990" w:type="dxa"/>
            <w:tcBorders>
              <w:left w:val="single" w:sz="8" w:space="0" w:color="66CCFF"/>
            </w:tcBorders>
            <w:tcMar>
              <w:top w:w="0" w:type="dxa"/>
              <w:bottom w:w="0" w:type="dxa"/>
            </w:tcMar>
            <w:vAlign w:val="center"/>
          </w:tcPr>
          <w:p>
            <w:pPr>
              <w:pStyle w:val="TableContents"/>
              <w:bidi w:val="0"/>
              <w:spacing w:before="0" w:after="283"/>
              <w:jc w:val="left"/>
              <w:rPr/>
            </w:pPr>
            <w:r>
              <w:rPr/>
              <w:t> </w:t>
            </w:r>
          </w:p>
        </w:tc>
        <w:tc>
          <w:tcPr>
            <w:tcW w:w="215" w:type="dxa"/>
            <w:tcBorders>
              <w:right w:val="single" w:sz="8" w:space="0" w:color="66CCFF"/>
            </w:tcBorders>
            <w:tcMar>
              <w:top w:w="0" w:type="dxa"/>
              <w:left w:w="0" w:type="dxa"/>
              <w:bottom w:w="0" w:type="dxa"/>
              <w:right w:w="300" w:type="dxa"/>
            </w:tcMar>
            <w:vAlign w:val="center"/>
          </w:tcPr>
          <w:p>
            <w:pPr>
              <w:pStyle w:val="TableContents"/>
              <w:bidi w:val="0"/>
              <w:spacing w:before="0" w:after="283"/>
              <w:jc w:val="right"/>
              <w:rPr/>
            </w:pPr>
            <w:r>
              <w:rPr/>
              <w:t> </w:t>
            </w:r>
          </w:p>
        </w:tc>
      </w:tr>
      <w:tr>
        <w:trPr/>
        <w:tc>
          <w:tcPr>
            <w:tcW w:w="9990" w:type="dxa"/>
            <w:tcBorders>
              <w:left w:val="single" w:sz="8" w:space="0" w:color="66CCFF"/>
            </w:tcBorders>
            <w:tcMar>
              <w:top w:w="0" w:type="dxa"/>
              <w:bottom w:w="0" w:type="dxa"/>
            </w:tcMar>
            <w:vAlign w:val="center"/>
          </w:tcPr>
          <w:p>
            <w:pPr>
              <w:pStyle w:val="TableContents"/>
              <w:bidi w:val="0"/>
              <w:spacing w:before="0" w:after="283"/>
              <w:jc w:val="left"/>
              <w:rPr/>
            </w:pPr>
            <w:r>
              <w:rPr/>
              <w:t> </w:t>
            </w:r>
          </w:p>
        </w:tc>
        <w:tc>
          <w:tcPr>
            <w:tcW w:w="215" w:type="dxa"/>
            <w:tcBorders>
              <w:right w:val="single" w:sz="8" w:space="0" w:color="66CCFF"/>
            </w:tcBorders>
            <w:tcMar>
              <w:top w:w="0" w:type="dxa"/>
              <w:left w:w="0" w:type="dxa"/>
              <w:bottom w:w="0" w:type="dxa"/>
              <w:right w:w="300" w:type="dxa"/>
            </w:tcMar>
            <w:vAlign w:val="center"/>
          </w:tcPr>
          <w:p>
            <w:pPr>
              <w:pStyle w:val="TableContents"/>
              <w:bidi w:val="0"/>
              <w:spacing w:before="0" w:after="283"/>
              <w:jc w:val="right"/>
              <w:rPr/>
            </w:pPr>
            <w:r>
              <w:rPr/>
              <w:t> </w:t>
            </w:r>
          </w:p>
        </w:tc>
      </w:tr>
      <w:tr>
        <w:trPr/>
        <w:tc>
          <w:tcPr>
            <w:tcW w:w="9990" w:type="dxa"/>
            <w:tcBorders>
              <w:left w:val="single" w:sz="8" w:space="0" w:color="66CCFF"/>
            </w:tcBorders>
            <w:tcMar>
              <w:top w:w="0" w:type="dxa"/>
              <w:bottom w:w="0" w:type="dxa"/>
            </w:tcMar>
            <w:vAlign w:val="center"/>
          </w:tcPr>
          <w:p>
            <w:pPr>
              <w:pStyle w:val="TableContents"/>
              <w:bidi w:val="0"/>
              <w:spacing w:before="0" w:after="283"/>
              <w:jc w:val="left"/>
              <w:rPr/>
            </w:pPr>
            <w:r>
              <w:rPr/>
              <w:t> </w:t>
            </w:r>
          </w:p>
        </w:tc>
        <w:tc>
          <w:tcPr>
            <w:tcW w:w="215" w:type="dxa"/>
            <w:tcBorders>
              <w:right w:val="single" w:sz="8" w:space="0" w:color="66CCFF"/>
            </w:tcBorders>
            <w:tcMar>
              <w:top w:w="0" w:type="dxa"/>
              <w:left w:w="0" w:type="dxa"/>
              <w:bottom w:w="0" w:type="dxa"/>
              <w:right w:w="300" w:type="dxa"/>
            </w:tcMar>
            <w:vAlign w:val="center"/>
          </w:tcPr>
          <w:p>
            <w:pPr>
              <w:pStyle w:val="TableContents"/>
              <w:bidi w:val="0"/>
              <w:spacing w:before="0" w:after="283"/>
              <w:jc w:val="right"/>
              <w:rPr/>
            </w:pPr>
            <w:r>
              <w:rPr/>
              <w:t> </w:t>
            </w:r>
          </w:p>
        </w:tc>
      </w:tr>
      <w:tr>
        <w:trPr/>
        <w:tc>
          <w:tcPr>
            <w:tcW w:w="9990" w:type="dxa"/>
            <w:tcBorders>
              <w:left w:val="single" w:sz="8" w:space="0" w:color="66CCFF"/>
            </w:tcBorders>
            <w:tcMar>
              <w:top w:w="0" w:type="dxa"/>
              <w:bottom w:w="0" w:type="dxa"/>
            </w:tcMar>
            <w:vAlign w:val="center"/>
          </w:tcPr>
          <w:p>
            <w:pPr>
              <w:pStyle w:val="TableContents"/>
              <w:bidi w:val="0"/>
              <w:spacing w:before="0" w:after="283"/>
              <w:jc w:val="left"/>
              <w:rPr/>
            </w:pPr>
            <w:r>
              <w:rPr/>
              <w:t> </w:t>
            </w:r>
          </w:p>
        </w:tc>
        <w:tc>
          <w:tcPr>
            <w:tcW w:w="215" w:type="dxa"/>
            <w:tcBorders>
              <w:right w:val="single" w:sz="8" w:space="0" w:color="66CCFF"/>
            </w:tcBorders>
            <w:tcMar>
              <w:top w:w="0" w:type="dxa"/>
              <w:left w:w="0" w:type="dxa"/>
              <w:bottom w:w="0" w:type="dxa"/>
              <w:right w:w="300" w:type="dxa"/>
            </w:tcMar>
            <w:vAlign w:val="center"/>
          </w:tcPr>
          <w:p>
            <w:pPr>
              <w:pStyle w:val="TableContents"/>
              <w:bidi w:val="0"/>
              <w:spacing w:before="0" w:after="283"/>
              <w:jc w:val="right"/>
              <w:rPr/>
            </w:pPr>
            <w:r>
              <w:rPr/>
              <w:t> </w:t>
            </w:r>
          </w:p>
        </w:tc>
      </w:tr>
      <w:tr>
        <w:trPr/>
        <w:tc>
          <w:tcPr>
            <w:tcW w:w="9990" w:type="dxa"/>
            <w:tcBorders>
              <w:left w:val="single" w:sz="8" w:space="0" w:color="66CCFF"/>
            </w:tcBorders>
            <w:tcMar>
              <w:top w:w="0" w:type="dxa"/>
              <w:bottom w:w="0" w:type="dxa"/>
            </w:tcMar>
            <w:vAlign w:val="center"/>
          </w:tcPr>
          <w:p>
            <w:pPr>
              <w:pStyle w:val="TableContents"/>
              <w:bidi w:val="0"/>
              <w:spacing w:before="0" w:after="283"/>
              <w:jc w:val="left"/>
              <w:rPr/>
            </w:pPr>
            <w:r>
              <w:rPr/>
              <w:t> </w:t>
            </w:r>
          </w:p>
        </w:tc>
        <w:tc>
          <w:tcPr>
            <w:tcW w:w="215" w:type="dxa"/>
            <w:tcBorders>
              <w:right w:val="single" w:sz="8" w:space="0" w:color="66CCFF"/>
            </w:tcBorders>
            <w:tcMar>
              <w:top w:w="0" w:type="dxa"/>
              <w:left w:w="0" w:type="dxa"/>
              <w:bottom w:w="0" w:type="dxa"/>
              <w:right w:w="300" w:type="dxa"/>
            </w:tcMar>
            <w:vAlign w:val="center"/>
          </w:tcPr>
          <w:p>
            <w:pPr>
              <w:pStyle w:val="TableContents"/>
              <w:bidi w:val="0"/>
              <w:spacing w:before="0" w:after="283"/>
              <w:jc w:val="right"/>
              <w:rPr/>
            </w:pPr>
            <w:r>
              <w:rPr/>
              <w:t> </w:t>
            </w:r>
          </w:p>
        </w:tc>
      </w:tr>
      <w:tr>
        <w:trPr/>
        <w:tc>
          <w:tcPr>
            <w:tcW w:w="9990" w:type="dxa"/>
            <w:tcBorders>
              <w:left w:val="single" w:sz="8" w:space="0" w:color="66CCFF"/>
            </w:tcBorders>
            <w:tcMar>
              <w:top w:w="0" w:type="dxa"/>
              <w:bottom w:w="0" w:type="dxa"/>
            </w:tcMar>
            <w:vAlign w:val="center"/>
          </w:tcPr>
          <w:p>
            <w:pPr>
              <w:pStyle w:val="TableContents"/>
              <w:bidi w:val="0"/>
              <w:spacing w:before="0" w:after="283"/>
              <w:jc w:val="left"/>
              <w:rPr/>
            </w:pPr>
            <w:r>
              <w:rPr/>
              <w:t> </w:t>
            </w:r>
          </w:p>
        </w:tc>
        <w:tc>
          <w:tcPr>
            <w:tcW w:w="215" w:type="dxa"/>
            <w:tcBorders>
              <w:right w:val="single" w:sz="8" w:space="0" w:color="66CCFF"/>
            </w:tcBorders>
            <w:tcMar>
              <w:top w:w="0" w:type="dxa"/>
              <w:left w:w="0" w:type="dxa"/>
              <w:bottom w:w="0" w:type="dxa"/>
              <w:right w:w="300" w:type="dxa"/>
            </w:tcMar>
            <w:vAlign w:val="center"/>
          </w:tcPr>
          <w:p>
            <w:pPr>
              <w:pStyle w:val="TableContents"/>
              <w:bidi w:val="0"/>
              <w:spacing w:before="0" w:after="283"/>
              <w:jc w:val="right"/>
              <w:rPr/>
            </w:pPr>
            <w:r>
              <w:rPr/>
              <w:t> </w:t>
            </w:r>
          </w:p>
        </w:tc>
      </w:tr>
      <w:tr>
        <w:trPr/>
        <w:tc>
          <w:tcPr>
            <w:tcW w:w="9990" w:type="dxa"/>
            <w:tcBorders>
              <w:left w:val="single" w:sz="8" w:space="0" w:color="66CCFF"/>
            </w:tcBorders>
            <w:tcMar>
              <w:top w:w="0" w:type="dxa"/>
              <w:bottom w:w="0" w:type="dxa"/>
            </w:tcMar>
            <w:vAlign w:val="center"/>
          </w:tcPr>
          <w:p>
            <w:pPr>
              <w:pStyle w:val="TableContents"/>
              <w:bidi w:val="0"/>
              <w:spacing w:before="0" w:after="283"/>
              <w:jc w:val="left"/>
              <w:rPr/>
            </w:pPr>
            <w:r>
              <w:rPr/>
              <w:t> </w:t>
            </w:r>
          </w:p>
        </w:tc>
        <w:tc>
          <w:tcPr>
            <w:tcW w:w="215" w:type="dxa"/>
            <w:tcBorders>
              <w:right w:val="single" w:sz="8" w:space="0" w:color="66CCFF"/>
            </w:tcBorders>
            <w:tcMar>
              <w:top w:w="0" w:type="dxa"/>
              <w:left w:w="0" w:type="dxa"/>
              <w:bottom w:w="0" w:type="dxa"/>
              <w:right w:w="300" w:type="dxa"/>
            </w:tcMar>
            <w:vAlign w:val="center"/>
          </w:tcPr>
          <w:p>
            <w:pPr>
              <w:pStyle w:val="TableContents"/>
              <w:bidi w:val="0"/>
              <w:spacing w:before="0" w:after="283"/>
              <w:jc w:val="right"/>
              <w:rPr/>
            </w:pPr>
            <w:r>
              <w:rPr/>
              <w:t> </w:t>
            </w:r>
          </w:p>
        </w:tc>
      </w:tr>
      <w:tr>
        <w:trPr/>
        <w:tc>
          <w:tcPr>
            <w:tcW w:w="9990" w:type="dxa"/>
            <w:tcBorders>
              <w:left w:val="single" w:sz="8" w:space="0" w:color="66CCFF"/>
            </w:tcBorders>
            <w:tcMar>
              <w:top w:w="0" w:type="dxa"/>
              <w:bottom w:w="0" w:type="dxa"/>
            </w:tcMar>
            <w:vAlign w:val="center"/>
          </w:tcPr>
          <w:p>
            <w:pPr>
              <w:pStyle w:val="TableContents"/>
              <w:bidi w:val="0"/>
              <w:spacing w:before="0" w:after="283"/>
              <w:jc w:val="left"/>
              <w:rPr/>
            </w:pPr>
            <w:r>
              <w:rPr/>
              <w:t> </w:t>
            </w:r>
          </w:p>
        </w:tc>
        <w:tc>
          <w:tcPr>
            <w:tcW w:w="215" w:type="dxa"/>
            <w:tcBorders>
              <w:right w:val="single" w:sz="8" w:space="0" w:color="66CCFF"/>
            </w:tcBorders>
            <w:tcMar>
              <w:top w:w="0" w:type="dxa"/>
              <w:left w:w="0" w:type="dxa"/>
              <w:bottom w:w="0" w:type="dxa"/>
              <w:right w:w="300" w:type="dxa"/>
            </w:tcMar>
            <w:vAlign w:val="center"/>
          </w:tcPr>
          <w:p>
            <w:pPr>
              <w:pStyle w:val="TableContents"/>
              <w:bidi w:val="0"/>
              <w:spacing w:before="0" w:after="283"/>
              <w:jc w:val="right"/>
              <w:rPr/>
            </w:pPr>
            <w:r>
              <w:rPr/>
              <w:t> </w:t>
            </w:r>
          </w:p>
        </w:tc>
      </w:tr>
      <w:tr>
        <w:trPr/>
        <w:tc>
          <w:tcPr>
            <w:tcW w:w="9990" w:type="dxa"/>
            <w:tcBorders>
              <w:left w:val="single" w:sz="8" w:space="0" w:color="66CCFF"/>
              <w:bottom w:val="single" w:sz="8" w:space="0" w:color="66CCFF"/>
            </w:tcBorders>
            <w:tcMar>
              <w:top w:w="0" w:type="dxa"/>
            </w:tcMar>
            <w:vAlign w:val="center"/>
          </w:tcPr>
          <w:p>
            <w:pPr>
              <w:pStyle w:val="TableContents"/>
              <w:bidi w:val="0"/>
              <w:spacing w:before="0" w:after="283"/>
              <w:jc w:val="left"/>
              <w:rPr/>
            </w:pPr>
            <w:r>
              <w:rPr/>
              <w:t> </w:t>
            </w:r>
          </w:p>
        </w:tc>
        <w:tc>
          <w:tcPr>
            <w:tcW w:w="215" w:type="dxa"/>
            <w:tcBorders>
              <w:bottom w:val="single" w:sz="8" w:space="0" w:color="66CCFF"/>
              <w:right w:val="single" w:sz="8" w:space="0" w:color="66CCFF"/>
            </w:tcBorders>
            <w:tcMar>
              <w:top w:w="0" w:type="dxa"/>
              <w:left w:w="0" w:type="dxa"/>
              <w:right w:w="300" w:type="dxa"/>
            </w:tcMar>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270" w:type="dxa"/>
        <w:jc w:val="left"/>
        <w:tblInd w:w="0" w:type="dxa"/>
        <w:tblLayout w:type="fixed"/>
        <w:tblCellMar>
          <w:top w:w="0" w:type="dxa"/>
          <w:left w:w="0" w:type="dxa"/>
          <w:bottom w:w="0" w:type="dxa"/>
          <w:right w:w="0" w:type="dxa"/>
        </w:tblCellMar>
      </w:tblPr>
      <w:tblGrid>
        <w:gridCol w:w="1490"/>
        <w:gridCol w:w="125"/>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125"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3</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88"/>
        <w:gridCol w:w="544"/>
        <w:gridCol w:w="1969"/>
        <w:gridCol w:w="134"/>
        <w:gridCol w:w="4021"/>
        <w:gridCol w:w="862"/>
        <w:gridCol w:w="134"/>
        <w:gridCol w:w="78"/>
      </w:tblGrid>
      <w:tr>
        <w:trPr/>
        <w:tc>
          <w:tcPr>
            <w:tcW w:w="75" w:type="dxa"/>
            <w:tcBorders/>
            <w:vAlign w:val="center"/>
          </w:tcPr>
          <w:p>
            <w:pPr>
              <w:pStyle w:val="TableContents"/>
              <w:bidi w:val="0"/>
              <w:spacing w:before="0" w:after="283"/>
              <w:jc w:val="left"/>
              <w:rPr/>
            </w:pPr>
            <w:r>
              <w:rPr/>
              <w:t> </w:t>
            </w:r>
          </w:p>
        </w:tc>
        <w:tc>
          <w:tcPr>
            <w:tcW w:w="2388" w:type="dxa"/>
            <w:tcBorders/>
            <w:vAlign w:val="center"/>
          </w:tcPr>
          <w:p>
            <w:pPr>
              <w:pStyle w:val="TableContents"/>
              <w:bidi w:val="0"/>
              <w:spacing w:before="0" w:after="283"/>
              <w:jc w:val="left"/>
              <w:rPr/>
            </w:pPr>
            <w:r>
              <w:rPr/>
              <w:t> </w:t>
            </w:r>
          </w:p>
        </w:tc>
        <w:tc>
          <w:tcPr>
            <w:tcW w:w="544"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4021"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r>
      <w:tr>
        <w:trPr/>
        <w:tc>
          <w:tcPr>
            <w:tcW w:w="75" w:type="dxa"/>
            <w:tcBorders>
              <w:top w:val="single" w:sz="8" w:space="0" w:color="66CCFF"/>
              <w:left w:val="single" w:sz="8" w:space="0" w:color="66CCFF"/>
            </w:tcBorders>
            <w:shd w:fill="003366" w:val="clear"/>
            <w:tcMar>
              <w:top w:w="200" w:type="dxa"/>
              <w:left w:w="28" w:type="dxa"/>
            </w:tcMar>
            <w:vAlign w:val="center"/>
          </w:tcPr>
          <w:p>
            <w:pPr>
              <w:pStyle w:val="TableContents"/>
              <w:bidi w:val="0"/>
              <w:spacing w:before="0" w:after="283"/>
              <w:jc w:val="left"/>
              <w:rPr/>
            </w:pPr>
            <w:r>
              <w:rPr/>
              <w:t> </w:t>
            </w:r>
          </w:p>
        </w:tc>
        <w:tc>
          <w:tcPr>
            <w:tcW w:w="10052" w:type="dxa"/>
            <w:gridSpan w:val="7"/>
            <w:tcBorders>
              <w:top w:val="single" w:sz="8" w:space="0" w:color="66CCFF"/>
            </w:tcBorders>
            <w:shd w:fill="003366" w:val="clear"/>
            <w:tcMar>
              <w:top w:w="200" w:type="dxa"/>
            </w:tcMar>
            <w:vAlign w:val="center"/>
          </w:tcPr>
          <w:p>
            <w:pPr>
              <w:pStyle w:val="TableContents"/>
              <w:bidi w:val="0"/>
              <w:spacing w:before="0" w:after="283"/>
              <w:jc w:val="left"/>
              <w:rPr>
                <w:rFonts w:ascii="Arial;Helvetica;Sans-Serif" w:hAnsi="Arial;Helvetica;Sans-Serif"/>
                <w:b/>
                <w:color w:val="FFFFFF"/>
                <w:sz w:val="30"/>
              </w:rPr>
            </w:pPr>
            <w:bookmarkStart w:id="4" w:name="lmnrdef14aa001"/>
            <w:bookmarkEnd w:id="4"/>
            <w:r>
              <w:rPr>
                <w:rFonts w:ascii="Arial;Helvetica;Sans-Serif" w:hAnsi="Arial;Helvetica;Sans-Serif"/>
                <w:b/>
                <w:color w:val="FFFFFF"/>
                <w:sz w:val="30"/>
              </w:rPr>
              <w:t>Proxy Statement for Annual Meeting of Stockholders</w:t>
            </w:r>
          </w:p>
        </w:tc>
        <w:tc>
          <w:tcPr>
            <w:tcW w:w="78" w:type="dxa"/>
            <w:tcBorders>
              <w:top w:val="single" w:sz="8" w:space="0" w:color="66CCFF"/>
              <w:right w:val="single" w:sz="8" w:space="0" w:color="66CCFF"/>
            </w:tcBorders>
            <w:shd w:fill="003366" w:val="clear"/>
            <w:tcMar>
              <w:top w:w="200" w:type="dxa"/>
              <w:right w:w="28" w:type="dxa"/>
            </w:tcMar>
            <w:vAlign w:val="center"/>
          </w:tcPr>
          <w:p>
            <w:pPr>
              <w:pStyle w:val="TableContents"/>
              <w:bidi w:val="0"/>
              <w:spacing w:before="0" w:after="283"/>
              <w:jc w:val="left"/>
              <w:rPr/>
            </w:pPr>
            <w:r>
              <w:rPr/>
              <w:t> </w:t>
            </w:r>
          </w:p>
        </w:tc>
      </w:tr>
      <w:tr>
        <w:trPr/>
        <w:tc>
          <w:tcPr>
            <w:tcW w:w="75" w:type="dxa"/>
            <w:tcBorders>
              <w:left w:val="single" w:sz="8" w:space="0" w:color="66CCFF"/>
            </w:tcBorders>
            <w:tcMar>
              <w:left w:w="28" w:type="dxa"/>
            </w:tcMar>
            <w:vAlign w:val="center"/>
          </w:tcPr>
          <w:p>
            <w:pPr>
              <w:pStyle w:val="TableContents"/>
              <w:bidi w:val="0"/>
              <w:spacing w:before="0" w:after="283"/>
              <w:jc w:val="left"/>
              <w:rPr/>
            </w:pPr>
            <w:r>
              <w:rPr/>
              <w:t> </w:t>
            </w:r>
          </w:p>
        </w:tc>
        <w:tc>
          <w:tcPr>
            <w:tcW w:w="10052" w:type="dxa"/>
            <w:gridSpan w:val="7"/>
            <w:tcBorders/>
            <w:vAlign w:val="center"/>
          </w:tcPr>
          <w:p>
            <w:pPr>
              <w:pStyle w:val="TableContents"/>
              <w:bidi w:val="0"/>
              <w:spacing w:before="0" w:after="283"/>
              <w:jc w:val="left"/>
              <w:rPr/>
            </w:pPr>
            <w:r>
              <w:rPr/>
              <w:t> </w:t>
            </w:r>
          </w:p>
        </w:tc>
        <w:tc>
          <w:tcPr>
            <w:tcW w:w="78" w:type="dxa"/>
            <w:tcBorders>
              <w:right w:val="single" w:sz="8" w:space="0" w:color="66CCFF"/>
            </w:tcBorders>
            <w:tcMar>
              <w:right w:w="28" w:type="dxa"/>
            </w:tcMar>
            <w:vAlign w:val="center"/>
          </w:tcPr>
          <w:p>
            <w:pPr>
              <w:pStyle w:val="TableContents"/>
              <w:bidi w:val="0"/>
              <w:spacing w:before="0" w:after="283"/>
              <w:jc w:val="left"/>
              <w:rPr/>
            </w:pPr>
            <w:r>
              <w:rPr/>
              <w:t> </w:t>
            </w:r>
          </w:p>
        </w:tc>
      </w:tr>
      <w:tr>
        <w:trPr/>
        <w:tc>
          <w:tcPr>
            <w:tcW w:w="75" w:type="dxa"/>
            <w:tcBorders>
              <w:left w:val="single" w:sz="8" w:space="0" w:color="66CCFF"/>
            </w:tcBorders>
            <w:tcMar>
              <w:left w:w="28" w:type="dxa"/>
            </w:tcMar>
            <w:vAlign w:val="center"/>
          </w:tcPr>
          <w:p>
            <w:pPr>
              <w:pStyle w:val="TableContents"/>
              <w:bidi w:val="0"/>
              <w:spacing w:before="0" w:after="283"/>
              <w:jc w:val="left"/>
              <w:rPr/>
            </w:pPr>
            <w:r>
              <w:rPr/>
              <w:t> </w:t>
            </w:r>
          </w:p>
        </w:tc>
        <w:tc>
          <w:tcPr>
            <w:tcW w:w="10052" w:type="dxa"/>
            <w:gridSpan w:val="7"/>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LIMONEIRA COMPANY</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1141 Cummings Road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Santa Paula, California 93060</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008DCF"/>
                <w:sz w:val="26"/>
              </w:rPr>
            </w:pPr>
            <w:r>
              <w:rPr>
                <w:rFonts w:ascii="Arial;Helvetica;Sans-Serif" w:hAnsi="Arial;Helvetica;Sans-Serif"/>
                <w:b/>
                <w:i w:val="false"/>
                <w:caps w:val="false"/>
                <w:smallCaps w:val="false"/>
                <w:color w:val="008DCF"/>
                <w:sz w:val="26"/>
              </w:rPr>
              <w:t>Proxy Statement for the Annual Meeting of Stockholders</w:t>
            </w:r>
          </w:p>
          <w:p>
            <w:pPr>
              <w:pStyle w:val="TableContents"/>
              <w:bidi w:val="0"/>
              <w:spacing w:before="0" w:after="0"/>
              <w:ind w:left="0" w:right="0" w:hanging="0"/>
              <w:jc w:val="left"/>
              <w:rPr>
                <w:caps w:val="false"/>
                <w:smallCaps w:val="false"/>
                <w:color w:val="008DCF"/>
              </w:rPr>
            </w:pPr>
            <w:r>
              <w:rPr>
                <w:caps w:val="false"/>
                <w:smallCaps w:val="false"/>
                <w:color w:val="008DCF"/>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This proxy statement is furnished in connection with the solicitation of proxies by the Board of Directors (the “Board”) of Limoneira Company, a Delaware corporation (the “Company” or “Limoneira”), for the 2026 Annual Meeting of Stockholders, to be held on Wednesday, March 25, 2026, at 10:00 a.m., Pacific Time, at the Museum of Ventura County Agriculture Museum, 926 Railroad Avenue, Santa Paula, CA 93060 and for any adjournments or postponements thereof. We refer to the 2026 Annual Meeting of Stockholders as the “Annual Meeting.” This Notice of Annual Meeting, proxy statement and proxy card are first being mailed or provided to stockholders on or about February 18, 2026. The costs for mailing will be paid by the Company.</w:t>
            </w:r>
          </w:p>
        </w:tc>
        <w:tc>
          <w:tcPr>
            <w:tcW w:w="78" w:type="dxa"/>
            <w:tcBorders>
              <w:right w:val="single" w:sz="8" w:space="0" w:color="66CCFF"/>
            </w:tcBorders>
            <w:tcMar>
              <w:right w:w="28" w:type="dxa"/>
            </w:tcMar>
            <w:vAlign w:val="center"/>
          </w:tcPr>
          <w:p>
            <w:pPr>
              <w:pStyle w:val="TableContents"/>
              <w:bidi w:val="0"/>
              <w:spacing w:before="0" w:after="283"/>
              <w:jc w:val="left"/>
              <w:rPr/>
            </w:pPr>
            <w:r>
              <w:rPr/>
              <w:t> </w:t>
            </w:r>
          </w:p>
        </w:tc>
      </w:tr>
      <w:tr>
        <w:trPr/>
        <w:tc>
          <w:tcPr>
            <w:tcW w:w="75" w:type="dxa"/>
            <w:tcBorders>
              <w:left w:val="single" w:sz="8" w:space="0" w:color="66CCFF"/>
            </w:tcBorders>
            <w:tcMar>
              <w:left w:w="28" w:type="dxa"/>
            </w:tcMar>
            <w:vAlign w:val="center"/>
          </w:tcPr>
          <w:p>
            <w:pPr>
              <w:pStyle w:val="TableContents"/>
              <w:bidi w:val="0"/>
              <w:spacing w:before="0" w:after="283"/>
              <w:jc w:val="left"/>
              <w:rPr/>
            </w:pPr>
            <w:r>
              <w:rPr/>
              <w:t> </w:t>
            </w:r>
          </w:p>
        </w:tc>
        <w:tc>
          <w:tcPr>
            <w:tcW w:w="2932" w:type="dxa"/>
            <w:gridSpan w:val="2"/>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4021"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78" w:type="dxa"/>
            <w:tcBorders>
              <w:right w:val="single" w:sz="8" w:space="0" w:color="66CCFF"/>
            </w:tcBorders>
            <w:tcMar>
              <w:right w:w="28" w:type="dxa"/>
            </w:tcMar>
            <w:vAlign w:val="center"/>
          </w:tcPr>
          <w:p>
            <w:pPr>
              <w:pStyle w:val="TableContents"/>
              <w:bidi w:val="0"/>
              <w:spacing w:before="0" w:after="283"/>
              <w:jc w:val="left"/>
              <w:rPr/>
            </w:pPr>
            <w:r>
              <w:rPr/>
              <w:t> </w:t>
            </w:r>
          </w:p>
        </w:tc>
      </w:tr>
      <w:tr>
        <w:trPr/>
        <w:tc>
          <w:tcPr>
            <w:tcW w:w="75" w:type="dxa"/>
            <w:tcBorders>
              <w:left w:val="single" w:sz="8" w:space="0" w:color="66CCFF"/>
            </w:tcBorders>
            <w:tcMar>
              <w:left w:w="28" w:type="dxa"/>
            </w:tcMar>
            <w:vAlign w:val="center"/>
          </w:tcPr>
          <w:p>
            <w:pPr>
              <w:pStyle w:val="TableContents"/>
              <w:bidi w:val="0"/>
              <w:spacing w:before="0" w:after="283"/>
              <w:jc w:val="left"/>
              <w:rPr/>
            </w:pPr>
            <w:r>
              <w:rPr/>
              <w:t> </w:t>
            </w:r>
          </w:p>
        </w:tc>
        <w:tc>
          <w:tcPr>
            <w:tcW w:w="2932" w:type="dxa"/>
            <w:gridSpan w:val="2"/>
            <w:vMerge w:val="restart"/>
            <w:tcBorders/>
            <w:shd w:fill="EEF8FD" w:val="clear"/>
            <w:vAlign w:val="center"/>
          </w:tcPr>
          <w:p>
            <w:pPr>
              <w:pStyle w:val="TableContents"/>
              <w:bidi w:val="0"/>
              <w:spacing w:before="0" w:after="0"/>
              <w:ind w:left="36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002053"/>
                <w:sz w:val="18"/>
              </w:rPr>
              <w:t xml:space="preserve">ANNUAL MEETING </w:t>
            </w:r>
            <w:r>
              <w:rPr>
                <w:rFonts w:ascii="Arial;Helvetica;Sans-Serif" w:hAnsi="Arial;Helvetica;Sans-Serif"/>
                <w:b w:val="false"/>
                <w:i w:val="false"/>
                <w:caps w:val="false"/>
                <w:smallCaps w:val="false"/>
                <w:sz w:val="18"/>
              </w:rPr>
              <w:br/>
            </w:r>
            <w:r>
              <w:rPr>
                <w:rFonts w:ascii="Arial;Helvetica;Sans-Serif" w:hAnsi="Arial;Helvetica;Sans-Serif"/>
                <w:b/>
                <w:i w:val="false"/>
                <w:caps w:val="false"/>
                <w:smallCaps w:val="false"/>
                <w:color w:val="002053"/>
                <w:sz w:val="18"/>
              </w:rPr>
              <w:t>OF STOCKHOLDERS</w:t>
            </w:r>
          </w:p>
        </w:tc>
        <w:tc>
          <w:tcPr>
            <w:tcW w:w="1969" w:type="dxa"/>
            <w:tcBorders>
              <w:bottom w:val="single" w:sz="8" w:space="0" w:color="CCCCFF"/>
            </w:tcBorders>
            <w:shd w:fill="EEF8FD" w:val="clear"/>
            <w:tcMar>
              <w:bottom w:w="40" w:type="dxa"/>
            </w:tcMar>
            <w:vAlign w:val="center"/>
          </w:tcPr>
          <w:p>
            <w:pPr>
              <w:pStyle w:val="TableContents"/>
              <w:bidi w:val="0"/>
              <w:spacing w:before="0" w:after="283"/>
              <w:jc w:val="left"/>
              <w:rPr>
                <w:rFonts w:ascii="Arial;Helvetica;Sans-Serif" w:hAnsi="Arial;Helvetica;Sans-Serif"/>
                <w:color w:val="002053"/>
                <w:sz w:val="18"/>
              </w:rPr>
            </w:pPr>
            <w:r>
              <w:rPr>
                <w:rFonts w:ascii="Arial;Helvetica;Sans-Serif" w:hAnsi="Arial;Helvetica;Sans-Serif"/>
                <w:color w:val="002053"/>
                <w:sz w:val="18"/>
              </w:rPr>
              <w:t>Date</w:t>
            </w:r>
          </w:p>
        </w:tc>
        <w:tc>
          <w:tcPr>
            <w:tcW w:w="5017" w:type="dxa"/>
            <w:gridSpan w:val="3"/>
            <w:tcBorders>
              <w:bottom w:val="single" w:sz="8" w:space="0" w:color="CCCCFF"/>
            </w:tcBorders>
            <w:shd w:fill="EEF8FD" w:val="clear"/>
            <w:tcMar>
              <w:bottom w:w="40" w:type="dxa"/>
            </w:tcMar>
            <w:vAlign w:val="center"/>
          </w:tcPr>
          <w:p>
            <w:pPr>
              <w:pStyle w:val="TableContents"/>
              <w:bidi w:val="0"/>
              <w:spacing w:before="0" w:after="283"/>
              <w:jc w:val="left"/>
              <w:rPr>
                <w:rFonts w:ascii="Arial;Helvetica;Sans-Serif" w:hAnsi="Arial;Helvetica;Sans-Serif"/>
                <w:color w:val="002053"/>
                <w:sz w:val="18"/>
              </w:rPr>
            </w:pPr>
            <w:r>
              <w:rPr>
                <w:rFonts w:ascii="Arial;Helvetica;Sans-Serif" w:hAnsi="Arial;Helvetica;Sans-Serif"/>
                <w:color w:val="002053"/>
                <w:sz w:val="18"/>
              </w:rPr>
              <w:t>Wednesday, March 25, 2026</w:t>
            </w:r>
          </w:p>
        </w:tc>
        <w:tc>
          <w:tcPr>
            <w:tcW w:w="134" w:type="dxa"/>
            <w:tcBorders/>
            <w:shd w:fill="EEF8FD" w:val="clear"/>
            <w:vAlign w:val="center"/>
          </w:tcPr>
          <w:p>
            <w:pPr>
              <w:pStyle w:val="TableContents"/>
              <w:bidi w:val="0"/>
              <w:spacing w:before="0" w:after="283"/>
              <w:jc w:val="left"/>
              <w:rPr/>
            </w:pPr>
            <w:r>
              <w:rPr/>
              <w:t> </w:t>
            </w:r>
          </w:p>
        </w:tc>
        <w:tc>
          <w:tcPr>
            <w:tcW w:w="78" w:type="dxa"/>
            <w:tcBorders>
              <w:right w:val="single" w:sz="8" w:space="0" w:color="66CCFF"/>
            </w:tcBorders>
            <w:tcMar>
              <w:right w:w="28" w:type="dxa"/>
            </w:tcMar>
            <w:vAlign w:val="center"/>
          </w:tcPr>
          <w:p>
            <w:pPr>
              <w:pStyle w:val="TableContents"/>
              <w:bidi w:val="0"/>
              <w:spacing w:before="0" w:after="283"/>
              <w:jc w:val="left"/>
              <w:rPr/>
            </w:pPr>
            <w:r>
              <w:rPr/>
              <w:t> </w:t>
            </w:r>
          </w:p>
        </w:tc>
      </w:tr>
      <w:tr>
        <w:trPr/>
        <w:tc>
          <w:tcPr>
            <w:tcW w:w="75" w:type="dxa"/>
            <w:tcBorders>
              <w:left w:val="single" w:sz="8" w:space="0" w:color="66CCFF"/>
            </w:tcBorders>
            <w:tcMar>
              <w:left w:w="28" w:type="dxa"/>
            </w:tcMar>
            <w:vAlign w:val="center"/>
          </w:tcPr>
          <w:p>
            <w:pPr>
              <w:pStyle w:val="TableContents"/>
              <w:bidi w:val="0"/>
              <w:spacing w:before="0" w:after="283"/>
              <w:jc w:val="left"/>
              <w:rPr/>
            </w:pPr>
            <w:r>
              <w:rPr/>
              <w:t> </w:t>
            </w:r>
          </w:p>
        </w:tc>
        <w:tc>
          <w:tcPr>
            <w:tcW w:w="2932" w:type="dxa"/>
            <w:gridSpan w:val="2"/>
            <w:vMerge w:val="continue"/>
            <w:tcBorders/>
            <w:shd w:fill="EEF8FD" w:val="clear"/>
            <w:vAlign w:val="center"/>
          </w:tcPr>
          <w:p>
            <w:pPr>
              <w:pStyle w:val="Normal"/>
              <w:bidi w:val="0"/>
              <w:jc w:val="left"/>
              <w:rPr/>
            </w:pPr>
            <w:r>
              <w:rPr/>
            </w:r>
          </w:p>
        </w:tc>
        <w:tc>
          <w:tcPr>
            <w:tcW w:w="1969" w:type="dxa"/>
            <w:tcBorders>
              <w:bottom w:val="single" w:sz="8" w:space="0" w:color="CCCCFF"/>
            </w:tcBorders>
            <w:shd w:fill="EEF8FD" w:val="clear"/>
            <w:tcMar>
              <w:bottom w:w="40" w:type="dxa"/>
            </w:tcMar>
            <w:vAlign w:val="center"/>
          </w:tcPr>
          <w:p>
            <w:pPr>
              <w:pStyle w:val="TableContents"/>
              <w:bidi w:val="0"/>
              <w:spacing w:before="0" w:after="283"/>
              <w:jc w:val="left"/>
              <w:rPr>
                <w:rFonts w:ascii="Arial;Helvetica;Sans-Serif" w:hAnsi="Arial;Helvetica;Sans-Serif"/>
                <w:color w:val="002053"/>
                <w:sz w:val="18"/>
              </w:rPr>
            </w:pPr>
            <w:r>
              <w:rPr>
                <w:rFonts w:ascii="Arial;Helvetica;Sans-Serif" w:hAnsi="Arial;Helvetica;Sans-Serif"/>
                <w:color w:val="002053"/>
                <w:sz w:val="18"/>
              </w:rPr>
              <w:t>Time</w:t>
            </w:r>
          </w:p>
        </w:tc>
        <w:tc>
          <w:tcPr>
            <w:tcW w:w="5017" w:type="dxa"/>
            <w:gridSpan w:val="3"/>
            <w:tcBorders>
              <w:bottom w:val="single" w:sz="8" w:space="0" w:color="CCCCFF"/>
            </w:tcBorders>
            <w:shd w:fill="EEF8FD" w:val="clear"/>
            <w:tcMar>
              <w:bottom w:w="40" w:type="dxa"/>
            </w:tcMar>
            <w:vAlign w:val="center"/>
          </w:tcPr>
          <w:p>
            <w:pPr>
              <w:pStyle w:val="TableContents"/>
              <w:bidi w:val="0"/>
              <w:spacing w:before="0" w:after="283"/>
              <w:jc w:val="left"/>
              <w:rPr>
                <w:rFonts w:ascii="Arial;Helvetica;Sans-Serif" w:hAnsi="Arial;Helvetica;Sans-Serif"/>
                <w:color w:val="002053"/>
                <w:sz w:val="18"/>
              </w:rPr>
            </w:pPr>
            <w:r>
              <w:rPr>
                <w:rFonts w:ascii="Arial;Helvetica;Sans-Serif" w:hAnsi="Arial;Helvetica;Sans-Serif"/>
                <w:color w:val="002053"/>
                <w:sz w:val="18"/>
              </w:rPr>
              <w:t>10:00 a.m., Pacific Time</w:t>
            </w:r>
          </w:p>
        </w:tc>
        <w:tc>
          <w:tcPr>
            <w:tcW w:w="134" w:type="dxa"/>
            <w:tcBorders/>
            <w:shd w:fill="EEF8FD" w:val="clear"/>
            <w:vAlign w:val="center"/>
          </w:tcPr>
          <w:p>
            <w:pPr>
              <w:pStyle w:val="TableContents"/>
              <w:bidi w:val="0"/>
              <w:spacing w:before="0" w:after="283"/>
              <w:jc w:val="left"/>
              <w:rPr/>
            </w:pPr>
            <w:r>
              <w:rPr/>
              <w:t> </w:t>
            </w:r>
          </w:p>
        </w:tc>
        <w:tc>
          <w:tcPr>
            <w:tcW w:w="78" w:type="dxa"/>
            <w:tcBorders>
              <w:right w:val="single" w:sz="8" w:space="0" w:color="66CCFF"/>
            </w:tcBorders>
            <w:tcMar>
              <w:right w:w="28" w:type="dxa"/>
            </w:tcMar>
            <w:vAlign w:val="center"/>
          </w:tcPr>
          <w:p>
            <w:pPr>
              <w:pStyle w:val="TableContents"/>
              <w:bidi w:val="0"/>
              <w:spacing w:before="0" w:after="283"/>
              <w:jc w:val="left"/>
              <w:rPr/>
            </w:pPr>
            <w:r>
              <w:rPr/>
              <w:t> </w:t>
            </w:r>
          </w:p>
        </w:tc>
      </w:tr>
      <w:tr>
        <w:trPr/>
        <w:tc>
          <w:tcPr>
            <w:tcW w:w="75" w:type="dxa"/>
            <w:tcBorders>
              <w:left w:val="single" w:sz="8" w:space="0" w:color="66CCFF"/>
            </w:tcBorders>
            <w:tcMar>
              <w:left w:w="28" w:type="dxa"/>
            </w:tcMar>
            <w:vAlign w:val="center"/>
          </w:tcPr>
          <w:p>
            <w:pPr>
              <w:pStyle w:val="TableContents"/>
              <w:bidi w:val="0"/>
              <w:spacing w:before="0" w:after="283"/>
              <w:jc w:val="left"/>
              <w:rPr/>
            </w:pPr>
            <w:r>
              <w:rPr/>
              <w:t> </w:t>
            </w:r>
          </w:p>
        </w:tc>
        <w:tc>
          <w:tcPr>
            <w:tcW w:w="2932" w:type="dxa"/>
            <w:gridSpan w:val="2"/>
            <w:vMerge w:val="continue"/>
            <w:tcBorders/>
            <w:shd w:fill="EEF8FD" w:val="clear"/>
            <w:vAlign w:val="center"/>
          </w:tcPr>
          <w:p>
            <w:pPr>
              <w:pStyle w:val="Normal"/>
              <w:bidi w:val="0"/>
              <w:jc w:val="left"/>
              <w:rPr/>
            </w:pPr>
            <w:r>
              <w:rPr/>
            </w:r>
          </w:p>
        </w:tc>
        <w:tc>
          <w:tcPr>
            <w:tcW w:w="1969" w:type="dxa"/>
            <w:tcBorders>
              <w:bottom w:val="single" w:sz="8" w:space="0" w:color="CCCCFF"/>
            </w:tcBorders>
            <w:shd w:fill="EEF8FD" w:val="clear"/>
            <w:tcMar>
              <w:bottom w:w="40" w:type="dxa"/>
            </w:tcMar>
            <w:vAlign w:val="center"/>
          </w:tcPr>
          <w:p>
            <w:pPr>
              <w:pStyle w:val="TableContents"/>
              <w:bidi w:val="0"/>
              <w:spacing w:before="0" w:after="283"/>
              <w:jc w:val="left"/>
              <w:rPr>
                <w:rFonts w:ascii="Arial;Helvetica;Sans-Serif" w:hAnsi="Arial;Helvetica;Sans-Serif"/>
                <w:color w:val="002053"/>
                <w:sz w:val="18"/>
              </w:rPr>
            </w:pPr>
            <w:r>
              <w:rPr>
                <w:rFonts w:ascii="Arial;Helvetica;Sans-Serif" w:hAnsi="Arial;Helvetica;Sans-Serif"/>
                <w:color w:val="002053"/>
                <w:sz w:val="18"/>
              </w:rPr>
              <w:t>Record Date</w:t>
            </w:r>
          </w:p>
        </w:tc>
        <w:tc>
          <w:tcPr>
            <w:tcW w:w="5017" w:type="dxa"/>
            <w:gridSpan w:val="3"/>
            <w:tcBorders>
              <w:bottom w:val="single" w:sz="8" w:space="0" w:color="CCCCFF"/>
            </w:tcBorders>
            <w:shd w:fill="EEF8FD" w:val="clear"/>
            <w:tcMar>
              <w:bottom w:w="40" w:type="dxa"/>
            </w:tcMar>
            <w:vAlign w:val="center"/>
          </w:tcPr>
          <w:p>
            <w:pPr>
              <w:pStyle w:val="TableContents"/>
              <w:bidi w:val="0"/>
              <w:spacing w:before="0" w:after="283"/>
              <w:jc w:val="left"/>
              <w:rPr>
                <w:rFonts w:ascii="Arial;Helvetica;Sans-Serif" w:hAnsi="Arial;Helvetica;Sans-Serif"/>
                <w:color w:val="002053"/>
                <w:sz w:val="18"/>
              </w:rPr>
            </w:pPr>
            <w:r>
              <w:rPr>
                <w:rFonts w:ascii="Arial;Helvetica;Sans-Serif" w:hAnsi="Arial;Helvetica;Sans-Serif"/>
                <w:color w:val="002053"/>
                <w:sz w:val="18"/>
              </w:rPr>
              <w:t>January 30, 2026</w:t>
            </w:r>
          </w:p>
        </w:tc>
        <w:tc>
          <w:tcPr>
            <w:tcW w:w="134" w:type="dxa"/>
            <w:tcBorders/>
            <w:shd w:fill="EEF8FD" w:val="clear"/>
            <w:vAlign w:val="center"/>
          </w:tcPr>
          <w:p>
            <w:pPr>
              <w:pStyle w:val="TableContents"/>
              <w:bidi w:val="0"/>
              <w:spacing w:before="0" w:after="283"/>
              <w:jc w:val="left"/>
              <w:rPr/>
            </w:pPr>
            <w:r>
              <w:rPr/>
              <w:t> </w:t>
            </w:r>
          </w:p>
        </w:tc>
        <w:tc>
          <w:tcPr>
            <w:tcW w:w="78" w:type="dxa"/>
            <w:tcBorders>
              <w:right w:val="single" w:sz="8" w:space="0" w:color="66CCFF"/>
            </w:tcBorders>
            <w:tcMar>
              <w:right w:w="28" w:type="dxa"/>
            </w:tcMar>
            <w:vAlign w:val="center"/>
          </w:tcPr>
          <w:p>
            <w:pPr>
              <w:pStyle w:val="TableContents"/>
              <w:bidi w:val="0"/>
              <w:spacing w:before="0" w:after="283"/>
              <w:jc w:val="left"/>
              <w:rPr/>
            </w:pPr>
            <w:r>
              <w:rPr/>
              <w:t> </w:t>
            </w:r>
          </w:p>
        </w:tc>
      </w:tr>
      <w:tr>
        <w:trPr/>
        <w:tc>
          <w:tcPr>
            <w:tcW w:w="75" w:type="dxa"/>
            <w:tcBorders>
              <w:left w:val="single" w:sz="8" w:space="0" w:color="66CCFF"/>
            </w:tcBorders>
            <w:tcMar>
              <w:left w:w="28" w:type="dxa"/>
            </w:tcMar>
            <w:vAlign w:val="center"/>
          </w:tcPr>
          <w:p>
            <w:pPr>
              <w:pStyle w:val="TableContents"/>
              <w:bidi w:val="0"/>
              <w:spacing w:before="0" w:after="283"/>
              <w:jc w:val="left"/>
              <w:rPr/>
            </w:pPr>
            <w:r>
              <w:rPr/>
              <w:t> </w:t>
            </w:r>
          </w:p>
        </w:tc>
        <w:tc>
          <w:tcPr>
            <w:tcW w:w="2388" w:type="dxa"/>
            <w:tcBorders/>
            <w:shd w:fill="EEF8FD" w:val="clear"/>
            <w:vAlign w:val="center"/>
          </w:tcPr>
          <w:p>
            <w:pPr>
              <w:pStyle w:val="TableContents"/>
              <w:bidi w:val="0"/>
              <w:spacing w:before="0" w:after="283"/>
              <w:jc w:val="left"/>
              <w:rPr/>
            </w:pPr>
            <w:r>
              <w:rPr/>
              <w:t> </w:t>
            </w:r>
          </w:p>
        </w:tc>
        <w:tc>
          <w:tcPr>
            <w:tcW w:w="2647" w:type="dxa"/>
            <w:gridSpan w:val="3"/>
            <w:tcBorders/>
            <w:shd w:fill="EEF8FD" w:val="clear"/>
            <w:vAlign w:val="center"/>
          </w:tcPr>
          <w:p>
            <w:pPr>
              <w:pStyle w:val="TableContents"/>
              <w:bidi w:val="0"/>
              <w:spacing w:before="0" w:after="283"/>
              <w:jc w:val="left"/>
              <w:rPr/>
            </w:pPr>
            <w:r>
              <w:rPr/>
              <w:t> </w:t>
            </w:r>
          </w:p>
        </w:tc>
        <w:tc>
          <w:tcPr>
            <w:tcW w:w="4021" w:type="dxa"/>
            <w:tcBorders/>
            <w:shd w:fill="EEF8FD" w:val="clear"/>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left"/>
              <w:rPr/>
            </w:pPr>
            <w:r>
              <w:rPr/>
              <w:t> </w:t>
            </w:r>
          </w:p>
        </w:tc>
        <w:tc>
          <w:tcPr>
            <w:tcW w:w="212" w:type="dxa"/>
            <w:gridSpan w:val="2"/>
            <w:tcBorders/>
          </w:tcPr>
          <w:p>
            <w:pPr>
              <w:pStyle w:val="TableContents"/>
              <w:bidi w:val="0"/>
              <w:spacing w:before="0" w:after="283"/>
              <w:jc w:val="left"/>
              <w:rPr>
                <w:sz w:val="4"/>
                <w:szCs w:val="4"/>
              </w:rPr>
            </w:pPr>
            <w:r>
              <w:rPr>
                <w:sz w:val="4"/>
                <w:szCs w:val="4"/>
              </w:rPr>
            </w:r>
          </w:p>
        </w:tc>
      </w:tr>
      <w:tr>
        <w:trPr/>
        <w:tc>
          <w:tcPr>
            <w:tcW w:w="75" w:type="dxa"/>
            <w:tcBorders>
              <w:left w:val="single" w:sz="8" w:space="0" w:color="66CCFF"/>
            </w:tcBorders>
            <w:tcMar>
              <w:left w:w="28" w:type="dxa"/>
            </w:tcMar>
            <w:vAlign w:val="center"/>
          </w:tcPr>
          <w:p>
            <w:pPr>
              <w:pStyle w:val="TableContents"/>
              <w:bidi w:val="0"/>
              <w:spacing w:before="0" w:after="283"/>
              <w:jc w:val="left"/>
              <w:rPr/>
            </w:pPr>
            <w:r>
              <w:rPr/>
              <w:t> </w:t>
            </w:r>
          </w:p>
        </w:tc>
        <w:tc>
          <w:tcPr>
            <w:tcW w:w="2932" w:type="dxa"/>
            <w:gridSpan w:val="2"/>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4021" w:type="dxa"/>
            <w:tcBorders/>
            <w:vAlign w:val="center"/>
          </w:tcPr>
          <w:p>
            <w:pPr>
              <w:pStyle w:val="TableContents"/>
              <w:bidi w:val="0"/>
              <w:spacing w:before="0" w:after="283"/>
              <w:jc w:val="left"/>
              <w:rPr/>
            </w:pPr>
            <w:r>
              <w:rPr/>
              <w:t> </w:t>
            </w:r>
          </w:p>
        </w:tc>
        <w:tc>
          <w:tcPr>
            <w:tcW w:w="996" w:type="dxa"/>
            <w:gridSpan w:val="2"/>
            <w:tcBorders/>
            <w:vAlign w:val="center"/>
          </w:tcPr>
          <w:p>
            <w:pPr>
              <w:pStyle w:val="TableContents"/>
              <w:bidi w:val="0"/>
              <w:spacing w:before="0" w:after="283"/>
              <w:jc w:val="left"/>
              <w:rPr/>
            </w:pPr>
            <w:r>
              <w:rPr/>
              <w:t> </w:t>
            </w:r>
          </w:p>
        </w:tc>
        <w:tc>
          <w:tcPr>
            <w:tcW w:w="78" w:type="dxa"/>
            <w:tcBorders>
              <w:right w:val="single" w:sz="8" w:space="0" w:color="66CCFF"/>
            </w:tcBorders>
            <w:tcMar>
              <w:right w:w="28" w:type="dxa"/>
            </w:tcMar>
            <w:vAlign w:val="center"/>
          </w:tcPr>
          <w:p>
            <w:pPr>
              <w:pStyle w:val="TableContents"/>
              <w:bidi w:val="0"/>
              <w:spacing w:before="0" w:after="283"/>
              <w:jc w:val="left"/>
              <w:rPr/>
            </w:pPr>
            <w:r>
              <w:rPr/>
              <w:t> </w:t>
            </w:r>
          </w:p>
        </w:tc>
      </w:tr>
      <w:tr>
        <w:trPr/>
        <w:tc>
          <w:tcPr>
            <w:tcW w:w="75" w:type="dxa"/>
            <w:tcBorders>
              <w:left w:val="single" w:sz="8" w:space="0" w:color="66CCFF"/>
            </w:tcBorders>
            <w:tcMar>
              <w:left w:w="28" w:type="dxa"/>
            </w:tcMar>
            <w:vAlign w:val="center"/>
          </w:tcPr>
          <w:p>
            <w:pPr>
              <w:pStyle w:val="TableContents"/>
              <w:bidi w:val="0"/>
              <w:spacing w:before="0" w:after="283"/>
              <w:jc w:val="left"/>
              <w:rPr/>
            </w:pPr>
            <w:r>
              <w:rPr/>
              <w:t> </w:t>
            </w:r>
          </w:p>
        </w:tc>
        <w:tc>
          <w:tcPr>
            <w:tcW w:w="10052" w:type="dxa"/>
            <w:gridSpan w:val="7"/>
            <w:tcBorders/>
            <w:vAlign w:val="center"/>
          </w:tcPr>
          <w:p>
            <w:pPr>
              <w:pStyle w:val="TableContents"/>
              <w:bidi w:val="0"/>
              <w:spacing w:before="0" w:after="0"/>
              <w:ind w:left="0" w:right="0" w:hanging="0"/>
              <w:jc w:val="left"/>
              <w:rPr>
                <w:rFonts w:ascii="Arial;Helvetica;Sans-Serif" w:hAnsi="Arial;Helvetica;Sans-Serif"/>
                <w:b/>
                <w:i w:val="false"/>
                <w:caps w:val="false"/>
                <w:smallCaps w:val="false"/>
                <w:color w:val="008DCF"/>
                <w:sz w:val="26"/>
              </w:rPr>
            </w:pPr>
            <w:bookmarkStart w:id="5" w:name="lmnrdef14aa002"/>
            <w:bookmarkEnd w:id="5"/>
            <w:r>
              <w:rPr>
                <w:rFonts w:ascii="Arial;Helvetica;Sans-Serif" w:hAnsi="Arial;Helvetica;Sans-Serif"/>
                <w:b/>
                <w:i w:val="false"/>
                <w:caps w:val="false"/>
                <w:smallCaps w:val="false"/>
                <w:color w:val="008DCF"/>
                <w:sz w:val="26"/>
              </w:rPr>
              <w:t>Purpose of Meeting</w:t>
            </w:r>
          </w:p>
          <w:p>
            <w:pPr>
              <w:pStyle w:val="TableContents"/>
              <w:bidi w:val="0"/>
              <w:spacing w:before="0" w:after="0"/>
              <w:ind w:left="0" w:right="0" w:hanging="0"/>
              <w:jc w:val="left"/>
              <w:rPr>
                <w:caps w:val="false"/>
                <w:smallCaps w:val="false"/>
                <w:color w:val="008DCF"/>
              </w:rPr>
            </w:pPr>
            <w:r>
              <w:rPr>
                <w:caps w:val="false"/>
                <w:smallCaps w:val="false"/>
                <w:color w:val="008DCF"/>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described in more detail in this proxy statement, the Annual Meeting is being held for the following purposes: </w:t>
            </w:r>
          </w:p>
        </w:tc>
        <w:tc>
          <w:tcPr>
            <w:tcW w:w="78" w:type="dxa"/>
            <w:tcBorders>
              <w:right w:val="single" w:sz="8" w:space="0" w:color="66CCFF"/>
            </w:tcBorders>
            <w:tcMar>
              <w:right w:w="28" w:type="dxa"/>
            </w:tcMar>
            <w:vAlign w:val="center"/>
          </w:tcPr>
          <w:p>
            <w:pPr>
              <w:pStyle w:val="TableContents"/>
              <w:bidi w:val="0"/>
              <w:spacing w:before="0" w:after="283"/>
              <w:jc w:val="left"/>
              <w:rPr/>
            </w:pPr>
            <w:r>
              <w:rPr/>
              <w:t> </w:t>
            </w:r>
          </w:p>
        </w:tc>
      </w:tr>
      <w:tr>
        <w:trPr/>
        <w:tc>
          <w:tcPr>
            <w:tcW w:w="75" w:type="dxa"/>
            <w:tcBorders>
              <w:left w:val="single" w:sz="8" w:space="0" w:color="66CCFF"/>
            </w:tcBorders>
            <w:tcMar>
              <w:left w:w="28" w:type="dxa"/>
            </w:tcMar>
            <w:vAlign w:val="center"/>
          </w:tcPr>
          <w:p>
            <w:pPr>
              <w:pStyle w:val="TableContents"/>
              <w:bidi w:val="0"/>
              <w:spacing w:before="0" w:after="283"/>
              <w:jc w:val="left"/>
              <w:rPr/>
            </w:pPr>
            <w:r>
              <w:rPr/>
              <w:t> </w:t>
            </w:r>
          </w:p>
        </w:tc>
        <w:tc>
          <w:tcPr>
            <w:tcW w:w="2388" w:type="dxa"/>
            <w:tcBorders/>
            <w:vAlign w:val="center"/>
          </w:tcPr>
          <w:p>
            <w:pPr>
              <w:pStyle w:val="TableContents"/>
              <w:bidi w:val="0"/>
              <w:spacing w:before="0" w:after="283"/>
              <w:jc w:val="left"/>
              <w:rPr/>
            </w:pPr>
            <w:r>
              <w:rPr/>
              <w:t> </w:t>
            </w:r>
          </w:p>
        </w:tc>
        <w:tc>
          <w:tcPr>
            <w:tcW w:w="544"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4021" w:type="dxa"/>
            <w:tcBorders/>
            <w:vAlign w:val="center"/>
          </w:tcPr>
          <w:p>
            <w:pPr>
              <w:pStyle w:val="TableContents"/>
              <w:bidi w:val="0"/>
              <w:spacing w:before="0" w:after="283"/>
              <w:jc w:val="left"/>
              <w:rPr/>
            </w:pPr>
            <w:r>
              <w:rPr/>
              <w:t> </w:t>
            </w:r>
          </w:p>
        </w:tc>
        <w:tc>
          <w:tcPr>
            <w:tcW w:w="996" w:type="dxa"/>
            <w:gridSpan w:val="2"/>
            <w:tcBorders/>
            <w:vAlign w:val="center"/>
          </w:tcPr>
          <w:p>
            <w:pPr>
              <w:pStyle w:val="TableContents"/>
              <w:bidi w:val="0"/>
              <w:spacing w:before="0" w:after="283"/>
              <w:jc w:val="left"/>
              <w:rPr/>
            </w:pPr>
            <w:r>
              <w:rPr/>
              <w:t> </w:t>
            </w:r>
          </w:p>
        </w:tc>
        <w:tc>
          <w:tcPr>
            <w:tcW w:w="78" w:type="dxa"/>
            <w:tcBorders>
              <w:right w:val="single" w:sz="8" w:space="0" w:color="66CCFF"/>
            </w:tcBorders>
            <w:tcMar>
              <w:right w:w="28" w:type="dxa"/>
            </w:tcMar>
            <w:vAlign w:val="center"/>
          </w:tcPr>
          <w:p>
            <w:pPr>
              <w:pStyle w:val="TableContents"/>
              <w:bidi w:val="0"/>
              <w:spacing w:before="0" w:after="283"/>
              <w:jc w:val="left"/>
              <w:rPr/>
            </w:pPr>
            <w:r>
              <w:rPr/>
              <w:t> </w:t>
            </w:r>
          </w:p>
        </w:tc>
      </w:tr>
      <w:tr>
        <w:trPr/>
        <w:tc>
          <w:tcPr>
            <w:tcW w:w="75" w:type="dxa"/>
            <w:tcBorders>
              <w:left w:val="single" w:sz="8" w:space="0" w:color="66CCFF"/>
            </w:tcBorders>
            <w:tcMar>
              <w:left w:w="28" w:type="dxa"/>
            </w:tcMar>
            <w:vAlign w:val="center"/>
          </w:tcPr>
          <w:p>
            <w:pPr>
              <w:pStyle w:val="TableContents"/>
              <w:bidi w:val="0"/>
              <w:spacing w:before="0" w:after="283"/>
              <w:jc w:val="center"/>
              <w:rPr/>
            </w:pPr>
            <w:r>
              <w:rPr/>
              <w:t> </w:t>
            </w:r>
          </w:p>
        </w:tc>
        <w:tc>
          <w:tcPr>
            <w:tcW w:w="2388" w:type="dxa"/>
            <w:tcBorders/>
            <w:vAlign w:val="center"/>
          </w:tcPr>
          <w:p>
            <w:pPr>
              <w:pStyle w:val="TableContents"/>
              <w:bidi w:val="0"/>
              <w:spacing w:before="0" w:after="283"/>
              <w:jc w:val="center"/>
              <w:rPr>
                <w:rFonts w:ascii="Arial;Helvetica;Sans-Serif" w:hAnsi="Arial;Helvetica;Sans-Serif"/>
                <w:b/>
                <w:color w:val="002053"/>
                <w:sz w:val="18"/>
              </w:rPr>
            </w:pPr>
            <w:r>
              <w:rPr>
                <w:rFonts w:ascii="Arial;Helvetica;Sans-Serif" w:hAnsi="Arial;Helvetica;Sans-Serif"/>
                <w:b/>
                <w:color w:val="002053"/>
                <w:sz w:val="18"/>
              </w:rPr>
              <w:t>Proposal</w:t>
            </w:r>
          </w:p>
        </w:tc>
        <w:tc>
          <w:tcPr>
            <w:tcW w:w="544" w:type="dxa"/>
            <w:tcBorders/>
            <w:vAlign w:val="center"/>
          </w:tcPr>
          <w:p>
            <w:pPr>
              <w:pStyle w:val="TableContents"/>
              <w:bidi w:val="0"/>
              <w:spacing w:before="0" w:after="283"/>
              <w:jc w:val="center"/>
              <w:rPr/>
            </w:pPr>
            <w:r>
              <w:rPr/>
              <w:t> </w:t>
            </w:r>
          </w:p>
        </w:tc>
        <w:tc>
          <w:tcPr>
            <w:tcW w:w="1969" w:type="dxa"/>
            <w:tcBorders/>
            <w:vAlign w:val="center"/>
          </w:tcPr>
          <w:p>
            <w:pPr>
              <w:pStyle w:val="TableContents"/>
              <w:bidi w:val="0"/>
              <w:spacing w:before="0" w:after="283"/>
              <w:jc w:val="center"/>
              <w:rPr/>
            </w:pPr>
            <w:r>
              <w:rPr/>
              <w:t> </w:t>
            </w:r>
          </w:p>
        </w:tc>
        <w:tc>
          <w:tcPr>
            <w:tcW w:w="134" w:type="dxa"/>
            <w:tcBorders/>
            <w:vAlign w:val="center"/>
          </w:tcPr>
          <w:p>
            <w:pPr>
              <w:pStyle w:val="TableContents"/>
              <w:bidi w:val="0"/>
              <w:spacing w:before="0" w:after="283"/>
              <w:jc w:val="center"/>
              <w:rPr/>
            </w:pPr>
            <w:r>
              <w:rPr/>
              <w:t> </w:t>
            </w:r>
          </w:p>
        </w:tc>
        <w:tc>
          <w:tcPr>
            <w:tcW w:w="4021" w:type="dxa"/>
            <w:tcBorders/>
            <w:vAlign w:val="center"/>
          </w:tcPr>
          <w:p>
            <w:pPr>
              <w:pStyle w:val="TableContents"/>
              <w:bidi w:val="0"/>
              <w:spacing w:before="0" w:after="283"/>
              <w:jc w:val="center"/>
              <w:rPr/>
            </w:pPr>
            <w:r>
              <w:rPr>
                <w:rFonts w:ascii="Arial;Helvetica;Sans-Serif" w:hAnsi="Arial;Helvetica;Sans-Serif"/>
                <w:b/>
                <w:color w:val="002053"/>
                <w:sz w:val="18"/>
              </w:rPr>
              <w:t xml:space="preserve">Board of Directors </w:t>
            </w:r>
            <w:r>
              <w:rPr>
                <w:sz w:val="18"/>
              </w:rPr>
              <w:br/>
            </w:r>
            <w:r>
              <w:rPr>
                <w:rFonts w:ascii="Arial;Helvetica;Sans-Serif" w:hAnsi="Arial;Helvetica;Sans-Serif"/>
                <w:b/>
                <w:color w:val="002053"/>
                <w:sz w:val="18"/>
              </w:rPr>
              <w:t>Vote Recommendation</w:t>
            </w:r>
          </w:p>
        </w:tc>
        <w:tc>
          <w:tcPr>
            <w:tcW w:w="996" w:type="dxa"/>
            <w:gridSpan w:val="2"/>
            <w:tcBorders/>
            <w:vAlign w:val="center"/>
          </w:tcPr>
          <w:p>
            <w:pPr>
              <w:pStyle w:val="TableContents"/>
              <w:bidi w:val="0"/>
              <w:spacing w:before="0" w:after="283"/>
              <w:jc w:val="center"/>
              <w:rPr>
                <w:rFonts w:ascii="Arial;Helvetica;Sans-Serif" w:hAnsi="Arial;Helvetica;Sans-Serif"/>
                <w:b/>
                <w:color w:val="002053"/>
                <w:sz w:val="18"/>
              </w:rPr>
            </w:pPr>
            <w:r>
              <w:rPr>
                <w:rFonts w:ascii="Arial;Helvetica;Sans-Serif" w:hAnsi="Arial;Helvetica;Sans-Serif"/>
                <w:b/>
                <w:color w:val="002053"/>
                <w:sz w:val="18"/>
              </w:rPr>
              <w:t>Page Reference</w:t>
            </w:r>
          </w:p>
        </w:tc>
        <w:tc>
          <w:tcPr>
            <w:tcW w:w="78" w:type="dxa"/>
            <w:tcBorders>
              <w:right w:val="single" w:sz="8" w:space="0" w:color="66CCFF"/>
            </w:tcBorders>
            <w:tcMar>
              <w:right w:w="28" w:type="dxa"/>
            </w:tcMar>
            <w:vAlign w:val="center"/>
          </w:tcPr>
          <w:p>
            <w:pPr>
              <w:pStyle w:val="TableContents"/>
              <w:bidi w:val="0"/>
              <w:spacing w:before="0" w:after="283"/>
              <w:jc w:val="center"/>
              <w:rPr/>
            </w:pPr>
            <w:r>
              <w:rPr/>
              <w:t> </w:t>
            </w:r>
          </w:p>
        </w:tc>
      </w:tr>
      <w:tr>
        <w:trPr/>
        <w:tc>
          <w:tcPr>
            <w:tcW w:w="75" w:type="dxa"/>
            <w:tcBorders>
              <w:left w:val="single" w:sz="8" w:space="0" w:color="66CCFF"/>
            </w:tcBorders>
            <w:tcMar>
              <w:left w:w="28" w:type="dxa"/>
            </w:tcMar>
            <w:vAlign w:val="center"/>
          </w:tcPr>
          <w:p>
            <w:pPr>
              <w:pStyle w:val="TableContents"/>
              <w:bidi w:val="0"/>
              <w:spacing w:before="0" w:after="283"/>
              <w:jc w:val="left"/>
              <w:rPr/>
            </w:pPr>
            <w:r>
              <w:rPr/>
              <w:t> </w:t>
            </w:r>
          </w:p>
        </w:tc>
        <w:tc>
          <w:tcPr>
            <w:tcW w:w="2388" w:type="dxa"/>
            <w:tcBorders>
              <w:bottom w:val="single" w:sz="8" w:space="0" w:color="CCFFFF"/>
            </w:tcBorders>
            <w:shd w:fill="EEF8FD" w:val="clear"/>
            <w:tcMar>
              <w:bottom w:w="40" w:type="dxa"/>
            </w:tcMar>
            <w:vAlign w:val="center"/>
          </w:tcPr>
          <w:p>
            <w:pPr>
              <w:pStyle w:val="TableContents"/>
              <w:bidi w:val="0"/>
              <w:spacing w:before="0" w:after="283"/>
              <w:jc w:val="center"/>
              <w:rPr>
                <w:rFonts w:ascii="Arial;Helvetica;Sans-Serif" w:hAnsi="Arial;Helvetica;Sans-Serif"/>
                <w:b/>
                <w:color w:val="002053"/>
                <w:sz w:val="60"/>
              </w:rPr>
            </w:pPr>
            <w:r>
              <w:rPr>
                <w:rFonts w:ascii="Arial;Helvetica;Sans-Serif" w:hAnsi="Arial;Helvetica;Sans-Serif"/>
                <w:b/>
                <w:color w:val="002053"/>
                <w:sz w:val="60"/>
              </w:rPr>
              <w:t>1.</w:t>
            </w:r>
          </w:p>
        </w:tc>
        <w:tc>
          <w:tcPr>
            <w:tcW w:w="2647" w:type="dxa"/>
            <w:gridSpan w:val="3"/>
            <w:tcBorders>
              <w:left w:val="single" w:sz="8" w:space="0" w:color="CCFFFF"/>
              <w:bottom w:val="single" w:sz="8" w:space="0" w:color="CCFFFF"/>
            </w:tcBorders>
            <w:shd w:fill="EEF8FD" w:val="clear"/>
            <w:tcMar>
              <w:left w:w="28" w:type="dxa"/>
              <w:bottom w:w="40" w:type="dxa"/>
            </w:tcMar>
            <w:vAlign w:val="center"/>
          </w:tcPr>
          <w:p>
            <w:pPr>
              <w:pStyle w:val="TableContents"/>
              <w:bidi w:val="0"/>
              <w:spacing w:before="0" w:after="283"/>
              <w:jc w:val="left"/>
              <w:rPr>
                <w:rFonts w:ascii="Arial;Helvetica;Sans-Serif" w:hAnsi="Arial;Helvetica;Sans-Serif"/>
                <w:color w:val="002053"/>
                <w:sz w:val="18"/>
              </w:rPr>
            </w:pPr>
            <w:r>
              <w:rPr>
                <w:rFonts w:ascii="Arial;Helvetica;Sans-Serif" w:hAnsi="Arial;Helvetica;Sans-Serif"/>
                <w:color w:val="002053"/>
                <w:sz w:val="18"/>
              </w:rPr>
              <w:t>to elect two (2) Class III directors to the Board of Directors, each to serve for a three-year term (“Proposal 1”);</w:t>
            </w:r>
          </w:p>
        </w:tc>
        <w:tc>
          <w:tcPr>
            <w:tcW w:w="4021" w:type="dxa"/>
            <w:tcBorders>
              <w:left w:val="single" w:sz="8" w:space="0" w:color="CCFFFF"/>
              <w:bottom w:val="single" w:sz="8" w:space="0" w:color="CCFFFF"/>
            </w:tcBorders>
            <w:shd w:fill="EEF8FD" w:val="clear"/>
            <w:tcMar>
              <w:left w:w="28" w:type="dxa"/>
              <w:bottom w:w="40" w:type="dxa"/>
            </w:tcMar>
            <w:vAlign w:val="center"/>
          </w:tcPr>
          <w:p>
            <w:pPr>
              <w:pStyle w:val="TableContents"/>
              <w:bidi w:val="0"/>
              <w:spacing w:before="0" w:after="283"/>
              <w:jc w:val="center"/>
              <w:rPr>
                <w:rFonts w:ascii="Arial;Helvetica;Sans-Serif" w:hAnsi="Arial;Helvetica;Sans-Serif"/>
                <w:b/>
                <w:color w:val="002053"/>
                <w:sz w:val="60"/>
              </w:rPr>
            </w:pPr>
            <w:r>
              <w:rPr>
                <w:rFonts w:ascii="Arial;Helvetica;Sans-Serif" w:hAnsi="Arial;Helvetica;Sans-Serif"/>
                <w:b/>
                <w:color w:val="002053"/>
                <w:sz w:val="60"/>
              </w:rPr>
              <w:t>FOR</w:t>
            </w:r>
          </w:p>
        </w:tc>
        <w:tc>
          <w:tcPr>
            <w:tcW w:w="996" w:type="dxa"/>
            <w:gridSpan w:val="2"/>
            <w:tcBorders>
              <w:left w:val="single" w:sz="8" w:space="0" w:color="CCFFFF"/>
              <w:bottom w:val="single" w:sz="8" w:space="0" w:color="CCFFFF"/>
            </w:tcBorders>
            <w:shd w:fill="EEF8FD" w:val="clear"/>
            <w:tcMar>
              <w:left w:w="28" w:type="dxa"/>
              <w:bottom w:w="40" w:type="dxa"/>
            </w:tcMar>
            <w:vAlign w:val="center"/>
          </w:tcPr>
          <w:p>
            <w:pPr>
              <w:pStyle w:val="TableContents"/>
              <w:bidi w:val="0"/>
              <w:spacing w:before="0" w:after="283"/>
              <w:jc w:val="center"/>
              <w:rPr>
                <w:rFonts w:ascii="Arial;Helvetica;Sans-Serif" w:hAnsi="Arial;Helvetica;Sans-Serif"/>
                <w:color w:val="002053"/>
                <w:sz w:val="18"/>
              </w:rPr>
            </w:pPr>
            <w:r>
              <w:rPr>
                <w:rFonts w:ascii="Arial;Helvetica;Sans-Serif" w:hAnsi="Arial;Helvetica;Sans-Serif"/>
                <w:color w:val="002053"/>
                <w:sz w:val="18"/>
              </w:rPr>
              <w:t>Page 24</w:t>
            </w:r>
          </w:p>
        </w:tc>
        <w:tc>
          <w:tcPr>
            <w:tcW w:w="78" w:type="dxa"/>
            <w:tcBorders>
              <w:right w:val="single" w:sz="8" w:space="0" w:color="66CCFF"/>
            </w:tcBorders>
            <w:tcMar>
              <w:right w:w="28" w:type="dxa"/>
            </w:tcMar>
            <w:vAlign w:val="center"/>
          </w:tcPr>
          <w:p>
            <w:pPr>
              <w:pStyle w:val="TableContents"/>
              <w:bidi w:val="0"/>
              <w:spacing w:before="0" w:after="283"/>
              <w:jc w:val="left"/>
              <w:rPr/>
            </w:pPr>
            <w:r>
              <w:rPr/>
              <w:t> </w:t>
            </w:r>
          </w:p>
        </w:tc>
      </w:tr>
      <w:tr>
        <w:trPr/>
        <w:tc>
          <w:tcPr>
            <w:tcW w:w="75" w:type="dxa"/>
            <w:tcBorders>
              <w:left w:val="single" w:sz="8" w:space="0" w:color="66CCFF"/>
            </w:tcBorders>
            <w:tcMar>
              <w:left w:w="28" w:type="dxa"/>
            </w:tcMar>
            <w:vAlign w:val="center"/>
          </w:tcPr>
          <w:p>
            <w:pPr>
              <w:pStyle w:val="TableContents"/>
              <w:bidi w:val="0"/>
              <w:spacing w:before="0" w:after="283"/>
              <w:jc w:val="left"/>
              <w:rPr/>
            </w:pPr>
            <w:r>
              <w:rPr/>
              <w:t> </w:t>
            </w:r>
          </w:p>
        </w:tc>
        <w:tc>
          <w:tcPr>
            <w:tcW w:w="2388" w:type="dxa"/>
            <w:tcBorders>
              <w:bottom w:val="single" w:sz="8" w:space="0" w:color="CCFFFF"/>
            </w:tcBorders>
            <w:tcMar>
              <w:bottom w:w="40" w:type="dxa"/>
            </w:tcMar>
            <w:vAlign w:val="center"/>
          </w:tcPr>
          <w:p>
            <w:pPr>
              <w:pStyle w:val="TableContents"/>
              <w:bidi w:val="0"/>
              <w:spacing w:before="0" w:after="283"/>
              <w:jc w:val="center"/>
              <w:rPr>
                <w:rFonts w:ascii="Arial;Helvetica;Sans-Serif" w:hAnsi="Arial;Helvetica;Sans-Serif"/>
                <w:b/>
                <w:color w:val="002053"/>
                <w:sz w:val="60"/>
              </w:rPr>
            </w:pPr>
            <w:r>
              <w:rPr>
                <w:rFonts w:ascii="Arial;Helvetica;Sans-Serif" w:hAnsi="Arial;Helvetica;Sans-Serif"/>
                <w:b/>
                <w:color w:val="002053"/>
                <w:sz w:val="60"/>
              </w:rPr>
              <w:t>2.</w:t>
            </w:r>
          </w:p>
        </w:tc>
        <w:tc>
          <w:tcPr>
            <w:tcW w:w="2647" w:type="dxa"/>
            <w:gridSpan w:val="3"/>
            <w:tcBorders>
              <w:left w:val="single" w:sz="8" w:space="0" w:color="CCFFFF"/>
              <w:bottom w:val="single" w:sz="8" w:space="0" w:color="CCFFFF"/>
            </w:tcBorders>
            <w:tcMar>
              <w:left w:w="28" w:type="dxa"/>
              <w:bottom w:w="40" w:type="dxa"/>
            </w:tcMar>
            <w:vAlign w:val="center"/>
          </w:tcPr>
          <w:p>
            <w:pPr>
              <w:pStyle w:val="TableContents"/>
              <w:bidi w:val="0"/>
              <w:spacing w:before="0" w:after="283"/>
              <w:jc w:val="left"/>
              <w:rPr>
                <w:rFonts w:ascii="Arial;Helvetica;Sans-Serif" w:hAnsi="Arial;Helvetica;Sans-Serif"/>
                <w:color w:val="002053"/>
                <w:sz w:val="18"/>
              </w:rPr>
            </w:pPr>
            <w:r>
              <w:rPr>
                <w:rFonts w:ascii="Arial;Helvetica;Sans-Serif" w:hAnsi="Arial;Helvetica;Sans-Serif"/>
                <w:color w:val="002053"/>
                <w:sz w:val="18"/>
              </w:rPr>
              <w:t>to vote on an advisory resolution to approve the compensation of the Named Executive Officers as disclosed in this proxy statement (“Proposal 2”);</w:t>
            </w:r>
          </w:p>
        </w:tc>
        <w:tc>
          <w:tcPr>
            <w:tcW w:w="4021" w:type="dxa"/>
            <w:tcBorders>
              <w:left w:val="single" w:sz="8" w:space="0" w:color="CCFFFF"/>
              <w:bottom w:val="single" w:sz="8" w:space="0" w:color="CCFFFF"/>
            </w:tcBorders>
            <w:tcMar>
              <w:left w:w="28" w:type="dxa"/>
              <w:bottom w:w="40" w:type="dxa"/>
            </w:tcMar>
            <w:vAlign w:val="center"/>
          </w:tcPr>
          <w:p>
            <w:pPr>
              <w:pStyle w:val="TableContents"/>
              <w:bidi w:val="0"/>
              <w:spacing w:before="0" w:after="283"/>
              <w:jc w:val="center"/>
              <w:rPr>
                <w:rFonts w:ascii="Arial;Helvetica;Sans-Serif" w:hAnsi="Arial;Helvetica;Sans-Serif"/>
                <w:b/>
                <w:color w:val="002053"/>
                <w:sz w:val="60"/>
              </w:rPr>
            </w:pPr>
            <w:r>
              <w:rPr>
                <w:rFonts w:ascii="Arial;Helvetica;Sans-Serif" w:hAnsi="Arial;Helvetica;Sans-Serif"/>
                <w:b/>
                <w:color w:val="002053"/>
                <w:sz w:val="60"/>
              </w:rPr>
              <w:t>FOR</w:t>
            </w:r>
          </w:p>
        </w:tc>
        <w:tc>
          <w:tcPr>
            <w:tcW w:w="996" w:type="dxa"/>
            <w:gridSpan w:val="2"/>
            <w:tcBorders>
              <w:left w:val="single" w:sz="8" w:space="0" w:color="CCFFFF"/>
              <w:bottom w:val="single" w:sz="8" w:space="0" w:color="CCFFFF"/>
            </w:tcBorders>
            <w:tcMar>
              <w:left w:w="28" w:type="dxa"/>
              <w:bottom w:w="40" w:type="dxa"/>
            </w:tcMar>
            <w:vAlign w:val="center"/>
          </w:tcPr>
          <w:p>
            <w:pPr>
              <w:pStyle w:val="TableContents"/>
              <w:bidi w:val="0"/>
              <w:spacing w:before="0" w:after="283"/>
              <w:jc w:val="center"/>
              <w:rPr>
                <w:rFonts w:ascii="Arial;Helvetica;Sans-Serif" w:hAnsi="Arial;Helvetica;Sans-Serif"/>
                <w:color w:val="002053"/>
                <w:sz w:val="18"/>
              </w:rPr>
            </w:pPr>
            <w:r>
              <w:rPr>
                <w:rFonts w:ascii="Arial;Helvetica;Sans-Serif" w:hAnsi="Arial;Helvetica;Sans-Serif"/>
                <w:color w:val="002053"/>
                <w:sz w:val="18"/>
              </w:rPr>
              <w:t>Page 53</w:t>
            </w:r>
          </w:p>
        </w:tc>
        <w:tc>
          <w:tcPr>
            <w:tcW w:w="78" w:type="dxa"/>
            <w:tcBorders>
              <w:right w:val="single" w:sz="8" w:space="0" w:color="66CCFF"/>
            </w:tcBorders>
            <w:tcMar>
              <w:right w:w="28" w:type="dxa"/>
            </w:tcMar>
            <w:vAlign w:val="center"/>
          </w:tcPr>
          <w:p>
            <w:pPr>
              <w:pStyle w:val="TableContents"/>
              <w:bidi w:val="0"/>
              <w:spacing w:before="0" w:after="283"/>
              <w:jc w:val="left"/>
              <w:rPr/>
            </w:pPr>
            <w:r>
              <w:rPr/>
              <w:t> </w:t>
            </w:r>
          </w:p>
        </w:tc>
      </w:tr>
      <w:tr>
        <w:trPr/>
        <w:tc>
          <w:tcPr>
            <w:tcW w:w="75" w:type="dxa"/>
            <w:tcBorders>
              <w:left w:val="single" w:sz="8" w:space="0" w:color="66CCFF"/>
            </w:tcBorders>
            <w:tcMar>
              <w:left w:w="28" w:type="dxa"/>
            </w:tcMar>
            <w:vAlign w:val="center"/>
          </w:tcPr>
          <w:p>
            <w:pPr>
              <w:pStyle w:val="TableContents"/>
              <w:bidi w:val="0"/>
              <w:spacing w:before="0" w:after="283"/>
              <w:jc w:val="left"/>
              <w:rPr/>
            </w:pPr>
            <w:r>
              <w:rPr/>
              <w:t> </w:t>
            </w:r>
          </w:p>
        </w:tc>
        <w:tc>
          <w:tcPr>
            <w:tcW w:w="2388" w:type="dxa"/>
            <w:tcBorders>
              <w:bottom w:val="single" w:sz="8" w:space="0" w:color="CCFFFF"/>
            </w:tcBorders>
            <w:shd w:fill="EEF8FD" w:val="clear"/>
            <w:tcMar>
              <w:bottom w:w="40" w:type="dxa"/>
            </w:tcMar>
            <w:vAlign w:val="center"/>
          </w:tcPr>
          <w:p>
            <w:pPr>
              <w:pStyle w:val="TableContents"/>
              <w:bidi w:val="0"/>
              <w:spacing w:before="0" w:after="283"/>
              <w:jc w:val="center"/>
              <w:rPr>
                <w:rFonts w:ascii="Arial;Helvetica;Sans-Serif" w:hAnsi="Arial;Helvetica;Sans-Serif"/>
                <w:b/>
                <w:color w:val="002053"/>
                <w:sz w:val="60"/>
              </w:rPr>
            </w:pPr>
            <w:r>
              <w:rPr>
                <w:rFonts w:ascii="Arial;Helvetica;Sans-Serif" w:hAnsi="Arial;Helvetica;Sans-Serif"/>
                <w:b/>
                <w:color w:val="002053"/>
                <w:sz w:val="60"/>
              </w:rPr>
              <w:t>3.</w:t>
            </w:r>
          </w:p>
        </w:tc>
        <w:tc>
          <w:tcPr>
            <w:tcW w:w="2647" w:type="dxa"/>
            <w:gridSpan w:val="3"/>
            <w:tcBorders>
              <w:left w:val="single" w:sz="8" w:space="0" w:color="CCFFFF"/>
              <w:bottom w:val="single" w:sz="8" w:space="0" w:color="CCFFFF"/>
            </w:tcBorders>
            <w:shd w:fill="EEF8FD" w:val="clear"/>
            <w:tcMar>
              <w:left w:w="28" w:type="dxa"/>
              <w:bottom w:w="40" w:type="dxa"/>
            </w:tcMar>
            <w:vAlign w:val="center"/>
          </w:tcPr>
          <w:p>
            <w:pPr>
              <w:pStyle w:val="TableContents"/>
              <w:bidi w:val="0"/>
              <w:spacing w:before="0" w:after="283"/>
              <w:jc w:val="left"/>
              <w:rPr>
                <w:rFonts w:ascii="Arial;Helvetica;Sans-Serif" w:hAnsi="Arial;Helvetica;Sans-Serif"/>
                <w:color w:val="002053"/>
                <w:sz w:val="18"/>
              </w:rPr>
            </w:pPr>
            <w:r>
              <w:rPr>
                <w:rFonts w:ascii="Arial;Helvetica;Sans-Serif" w:hAnsi="Arial;Helvetica;Sans-Serif"/>
                <w:color w:val="002053"/>
                <w:sz w:val="18"/>
              </w:rPr>
              <w:t>to ratify the appointment of Deloitte &amp; Touche LLP to serve as the independent registered public accounting firm for Limoneira Company for the fiscal year ending October 31, 2026 (“Proposal 3”); and</w:t>
            </w:r>
          </w:p>
        </w:tc>
        <w:tc>
          <w:tcPr>
            <w:tcW w:w="4021" w:type="dxa"/>
            <w:tcBorders>
              <w:left w:val="single" w:sz="8" w:space="0" w:color="CCFFFF"/>
              <w:bottom w:val="single" w:sz="8" w:space="0" w:color="CCFFFF"/>
            </w:tcBorders>
            <w:shd w:fill="EEF8FD" w:val="clear"/>
            <w:tcMar>
              <w:left w:w="28" w:type="dxa"/>
              <w:bottom w:w="40" w:type="dxa"/>
            </w:tcMar>
            <w:vAlign w:val="center"/>
          </w:tcPr>
          <w:p>
            <w:pPr>
              <w:pStyle w:val="TableContents"/>
              <w:bidi w:val="0"/>
              <w:spacing w:before="0" w:after="283"/>
              <w:jc w:val="center"/>
              <w:rPr>
                <w:rFonts w:ascii="Arial;Helvetica;Sans-Serif" w:hAnsi="Arial;Helvetica;Sans-Serif"/>
                <w:b/>
                <w:color w:val="002053"/>
                <w:sz w:val="60"/>
              </w:rPr>
            </w:pPr>
            <w:r>
              <w:rPr>
                <w:rFonts w:ascii="Arial;Helvetica;Sans-Serif" w:hAnsi="Arial;Helvetica;Sans-Serif"/>
                <w:b/>
                <w:color w:val="002053"/>
                <w:sz w:val="60"/>
              </w:rPr>
              <w:t>FOR</w:t>
            </w:r>
          </w:p>
        </w:tc>
        <w:tc>
          <w:tcPr>
            <w:tcW w:w="996" w:type="dxa"/>
            <w:gridSpan w:val="2"/>
            <w:tcBorders>
              <w:left w:val="single" w:sz="8" w:space="0" w:color="CCFFFF"/>
              <w:bottom w:val="single" w:sz="8" w:space="0" w:color="CCFFFF"/>
            </w:tcBorders>
            <w:shd w:fill="EEF8FD" w:val="clear"/>
            <w:tcMar>
              <w:left w:w="28" w:type="dxa"/>
              <w:bottom w:w="40" w:type="dxa"/>
            </w:tcMar>
            <w:vAlign w:val="center"/>
          </w:tcPr>
          <w:p>
            <w:pPr>
              <w:pStyle w:val="TableContents"/>
              <w:bidi w:val="0"/>
              <w:spacing w:before="0" w:after="283"/>
              <w:jc w:val="center"/>
              <w:rPr>
                <w:rFonts w:ascii="Arial;Helvetica;Sans-Serif" w:hAnsi="Arial;Helvetica;Sans-Serif"/>
                <w:color w:val="002053"/>
                <w:sz w:val="18"/>
              </w:rPr>
            </w:pPr>
            <w:r>
              <w:rPr>
                <w:rFonts w:ascii="Arial;Helvetica;Sans-Serif" w:hAnsi="Arial;Helvetica;Sans-Serif"/>
                <w:color w:val="002053"/>
                <w:sz w:val="18"/>
              </w:rPr>
              <w:t>Page 54</w:t>
            </w:r>
          </w:p>
        </w:tc>
        <w:tc>
          <w:tcPr>
            <w:tcW w:w="78" w:type="dxa"/>
            <w:tcBorders>
              <w:right w:val="single" w:sz="8" w:space="0" w:color="66CCFF"/>
            </w:tcBorders>
            <w:tcMar>
              <w:right w:w="28" w:type="dxa"/>
            </w:tcMar>
            <w:vAlign w:val="center"/>
          </w:tcPr>
          <w:p>
            <w:pPr>
              <w:pStyle w:val="TableContents"/>
              <w:bidi w:val="0"/>
              <w:spacing w:before="0" w:after="283"/>
              <w:jc w:val="left"/>
              <w:rPr/>
            </w:pPr>
            <w:r>
              <w:rPr/>
              <w:t> </w:t>
            </w:r>
          </w:p>
        </w:tc>
      </w:tr>
      <w:tr>
        <w:trPr/>
        <w:tc>
          <w:tcPr>
            <w:tcW w:w="75" w:type="dxa"/>
            <w:tcBorders>
              <w:left w:val="single" w:sz="8" w:space="0" w:color="66CCFF"/>
            </w:tcBorders>
            <w:tcMar>
              <w:left w:w="28" w:type="dxa"/>
            </w:tcMar>
            <w:vAlign w:val="center"/>
          </w:tcPr>
          <w:p>
            <w:pPr>
              <w:pStyle w:val="TableContents"/>
              <w:bidi w:val="0"/>
              <w:spacing w:before="0" w:after="283"/>
              <w:jc w:val="left"/>
              <w:rPr/>
            </w:pPr>
            <w:r>
              <w:rPr/>
              <w:t> </w:t>
            </w:r>
          </w:p>
        </w:tc>
        <w:tc>
          <w:tcPr>
            <w:tcW w:w="2388" w:type="dxa"/>
            <w:tcBorders>
              <w:bottom w:val="single" w:sz="8" w:space="0" w:color="CCFFFF"/>
            </w:tcBorders>
            <w:tcMar>
              <w:bottom w:w="40" w:type="dxa"/>
            </w:tcMar>
            <w:vAlign w:val="center"/>
          </w:tcPr>
          <w:p>
            <w:pPr>
              <w:pStyle w:val="TableContents"/>
              <w:bidi w:val="0"/>
              <w:spacing w:before="0" w:after="283"/>
              <w:jc w:val="center"/>
              <w:rPr>
                <w:rFonts w:ascii="Arial;Helvetica;Sans-Serif" w:hAnsi="Arial;Helvetica;Sans-Serif"/>
                <w:b/>
                <w:color w:val="002053"/>
                <w:sz w:val="60"/>
              </w:rPr>
            </w:pPr>
            <w:r>
              <w:rPr>
                <w:rFonts w:ascii="Arial;Helvetica;Sans-Serif" w:hAnsi="Arial;Helvetica;Sans-Serif"/>
                <w:b/>
                <w:color w:val="002053"/>
                <w:sz w:val="60"/>
              </w:rPr>
              <w:t>4.</w:t>
            </w:r>
          </w:p>
        </w:tc>
        <w:tc>
          <w:tcPr>
            <w:tcW w:w="2647" w:type="dxa"/>
            <w:gridSpan w:val="3"/>
            <w:tcBorders>
              <w:left w:val="single" w:sz="8" w:space="0" w:color="CCFFFF"/>
              <w:bottom w:val="single" w:sz="8" w:space="0" w:color="CCFFFF"/>
            </w:tcBorders>
            <w:tcMar>
              <w:left w:w="28" w:type="dxa"/>
              <w:bottom w:w="40" w:type="dxa"/>
            </w:tcMar>
            <w:vAlign w:val="center"/>
          </w:tcPr>
          <w:p>
            <w:pPr>
              <w:pStyle w:val="TableContents"/>
              <w:bidi w:val="0"/>
              <w:spacing w:before="0" w:after="283"/>
              <w:jc w:val="left"/>
              <w:rPr>
                <w:rFonts w:ascii="Arial;Helvetica;Sans-Serif" w:hAnsi="Arial;Helvetica;Sans-Serif"/>
                <w:color w:val="002053"/>
                <w:sz w:val="18"/>
              </w:rPr>
            </w:pPr>
            <w:r>
              <w:rPr>
                <w:rFonts w:ascii="Arial;Helvetica;Sans-Serif" w:hAnsi="Arial;Helvetica;Sans-Serif"/>
                <w:color w:val="002053"/>
                <w:sz w:val="18"/>
              </w:rPr>
              <w:t>to transact such other business as may properly come before the meeting or any adjournment or postponement thereof.</w:t>
            </w:r>
          </w:p>
        </w:tc>
        <w:tc>
          <w:tcPr>
            <w:tcW w:w="4021" w:type="dxa"/>
            <w:tcBorders>
              <w:left w:val="single" w:sz="8" w:space="0" w:color="CCFFFF"/>
              <w:bottom w:val="single" w:sz="8" w:space="0" w:color="CCFFFF"/>
            </w:tcBorders>
            <w:tcMar>
              <w:left w:w="28" w:type="dxa"/>
              <w:bottom w:w="40" w:type="dxa"/>
            </w:tcMar>
            <w:vAlign w:val="center"/>
          </w:tcPr>
          <w:p>
            <w:pPr>
              <w:pStyle w:val="TableContents"/>
              <w:bidi w:val="0"/>
              <w:spacing w:before="0" w:after="283"/>
              <w:jc w:val="left"/>
              <w:rPr/>
            </w:pPr>
            <w:r>
              <w:rPr/>
              <w:t> </w:t>
            </w:r>
          </w:p>
        </w:tc>
        <w:tc>
          <w:tcPr>
            <w:tcW w:w="996" w:type="dxa"/>
            <w:gridSpan w:val="2"/>
            <w:tcBorders>
              <w:left w:val="single" w:sz="8" w:space="0" w:color="CCFFFF"/>
              <w:bottom w:val="single" w:sz="8" w:space="0" w:color="CCFFFF"/>
            </w:tcBorders>
            <w:tcMar>
              <w:left w:w="28" w:type="dxa"/>
              <w:bottom w:w="40" w:type="dxa"/>
            </w:tcMar>
            <w:vAlign w:val="center"/>
          </w:tcPr>
          <w:p>
            <w:pPr>
              <w:pStyle w:val="TableContents"/>
              <w:bidi w:val="0"/>
              <w:spacing w:before="0" w:after="283"/>
              <w:jc w:val="left"/>
              <w:rPr/>
            </w:pPr>
            <w:r>
              <w:rPr/>
              <w:t> </w:t>
            </w:r>
          </w:p>
        </w:tc>
        <w:tc>
          <w:tcPr>
            <w:tcW w:w="78" w:type="dxa"/>
            <w:tcBorders>
              <w:right w:val="single" w:sz="8" w:space="0" w:color="66CCFF"/>
            </w:tcBorders>
            <w:tcMar>
              <w:right w:w="28" w:type="dxa"/>
            </w:tcMar>
            <w:vAlign w:val="center"/>
          </w:tcPr>
          <w:p>
            <w:pPr>
              <w:pStyle w:val="TableContents"/>
              <w:bidi w:val="0"/>
              <w:spacing w:before="0" w:after="283"/>
              <w:jc w:val="left"/>
              <w:rPr/>
            </w:pPr>
            <w:r>
              <w:rPr/>
              <w:t> </w:t>
            </w:r>
          </w:p>
        </w:tc>
      </w:tr>
      <w:tr>
        <w:trPr/>
        <w:tc>
          <w:tcPr>
            <w:tcW w:w="75" w:type="dxa"/>
            <w:tcBorders>
              <w:left w:val="single" w:sz="8" w:space="0" w:color="66CCFF"/>
            </w:tcBorders>
            <w:tcMar>
              <w:left w:w="28" w:type="dxa"/>
            </w:tcMar>
            <w:vAlign w:val="center"/>
          </w:tcPr>
          <w:p>
            <w:pPr>
              <w:pStyle w:val="TableContents"/>
              <w:bidi w:val="0"/>
              <w:spacing w:before="0" w:after="283"/>
              <w:jc w:val="left"/>
              <w:rPr/>
            </w:pPr>
            <w:r>
              <w:rPr/>
              <w:t> </w:t>
            </w:r>
          </w:p>
        </w:tc>
        <w:tc>
          <w:tcPr>
            <w:tcW w:w="2388" w:type="dxa"/>
            <w:tcBorders/>
            <w:vAlign w:val="center"/>
          </w:tcPr>
          <w:p>
            <w:pPr>
              <w:pStyle w:val="TableContents"/>
              <w:bidi w:val="0"/>
              <w:spacing w:before="0" w:after="283"/>
              <w:jc w:val="center"/>
              <w:rPr/>
            </w:pPr>
            <w:r>
              <w:rPr/>
              <w:t> </w:t>
            </w:r>
          </w:p>
        </w:tc>
        <w:tc>
          <w:tcPr>
            <w:tcW w:w="544"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4021"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78" w:type="dxa"/>
            <w:tcBorders>
              <w:right w:val="single" w:sz="8" w:space="0" w:color="66CCFF"/>
            </w:tcBorders>
            <w:tcMar>
              <w:right w:w="28" w:type="dxa"/>
            </w:tcMar>
            <w:vAlign w:val="center"/>
          </w:tcPr>
          <w:p>
            <w:pPr>
              <w:pStyle w:val="TableContents"/>
              <w:bidi w:val="0"/>
              <w:spacing w:before="0" w:after="283"/>
              <w:jc w:val="left"/>
              <w:rPr/>
            </w:pPr>
            <w:r>
              <w:rPr/>
              <w:t> </w:t>
            </w:r>
          </w:p>
        </w:tc>
      </w:tr>
      <w:tr>
        <w:trPr/>
        <w:tc>
          <w:tcPr>
            <w:tcW w:w="75" w:type="dxa"/>
            <w:tcBorders>
              <w:left w:val="single" w:sz="8" w:space="0" w:color="66CCFF"/>
            </w:tcBorders>
            <w:tcMar>
              <w:left w:w="28" w:type="dxa"/>
            </w:tcMar>
            <w:vAlign w:val="center"/>
          </w:tcPr>
          <w:p>
            <w:pPr>
              <w:pStyle w:val="TableContents"/>
              <w:bidi w:val="0"/>
              <w:spacing w:before="0" w:after="283"/>
              <w:jc w:val="left"/>
              <w:rPr/>
            </w:pPr>
            <w:r>
              <w:rPr/>
              <w:t> </w:t>
            </w:r>
          </w:p>
        </w:tc>
        <w:tc>
          <w:tcPr>
            <w:tcW w:w="2388" w:type="dxa"/>
            <w:tcBorders/>
            <w:vAlign w:val="center"/>
          </w:tcPr>
          <w:p>
            <w:pPr>
              <w:pStyle w:val="TableContents"/>
              <w:bidi w:val="0"/>
              <w:spacing w:before="0" w:after="283"/>
              <w:jc w:val="center"/>
              <w:rPr/>
            </w:pPr>
            <w:r>
              <w:rPr/>
              <w:t> </w:t>
            </w:r>
          </w:p>
        </w:tc>
        <w:tc>
          <w:tcPr>
            <w:tcW w:w="544"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4021"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78" w:type="dxa"/>
            <w:tcBorders>
              <w:right w:val="single" w:sz="8" w:space="0" w:color="66CCFF"/>
            </w:tcBorders>
            <w:tcMar>
              <w:right w:w="28" w:type="dxa"/>
            </w:tcMar>
            <w:vAlign w:val="center"/>
          </w:tcPr>
          <w:p>
            <w:pPr>
              <w:pStyle w:val="TableContents"/>
              <w:bidi w:val="0"/>
              <w:spacing w:before="0" w:after="283"/>
              <w:jc w:val="left"/>
              <w:rPr/>
            </w:pPr>
            <w:r>
              <w:rPr/>
              <w:t> </w:t>
            </w:r>
          </w:p>
        </w:tc>
      </w:tr>
      <w:tr>
        <w:trPr/>
        <w:tc>
          <w:tcPr>
            <w:tcW w:w="75" w:type="dxa"/>
            <w:tcBorders>
              <w:left w:val="single" w:sz="8" w:space="0" w:color="66CCFF"/>
            </w:tcBorders>
            <w:tcMar>
              <w:left w:w="28" w:type="dxa"/>
            </w:tcMar>
            <w:vAlign w:val="center"/>
          </w:tcPr>
          <w:p>
            <w:pPr>
              <w:pStyle w:val="TableContents"/>
              <w:bidi w:val="0"/>
              <w:spacing w:before="0" w:after="283"/>
              <w:jc w:val="left"/>
              <w:rPr/>
            </w:pPr>
            <w:r>
              <w:rPr/>
              <w:t> </w:t>
            </w:r>
          </w:p>
        </w:tc>
        <w:tc>
          <w:tcPr>
            <w:tcW w:w="2388" w:type="dxa"/>
            <w:tcBorders/>
            <w:vAlign w:val="center"/>
          </w:tcPr>
          <w:p>
            <w:pPr>
              <w:pStyle w:val="TableContents"/>
              <w:bidi w:val="0"/>
              <w:spacing w:before="0" w:after="283"/>
              <w:jc w:val="center"/>
              <w:rPr/>
            </w:pPr>
            <w:r>
              <w:rPr/>
              <w:t> </w:t>
            </w:r>
          </w:p>
        </w:tc>
        <w:tc>
          <w:tcPr>
            <w:tcW w:w="544"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4021"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78" w:type="dxa"/>
            <w:tcBorders>
              <w:right w:val="single" w:sz="8" w:space="0" w:color="66CCFF"/>
            </w:tcBorders>
            <w:tcMar>
              <w:right w:w="28" w:type="dxa"/>
            </w:tcMar>
            <w:vAlign w:val="center"/>
          </w:tcPr>
          <w:p>
            <w:pPr>
              <w:pStyle w:val="TableContents"/>
              <w:bidi w:val="0"/>
              <w:spacing w:before="0" w:after="283"/>
              <w:jc w:val="left"/>
              <w:rPr/>
            </w:pPr>
            <w:r>
              <w:rPr/>
              <w:t> </w:t>
            </w:r>
          </w:p>
        </w:tc>
      </w:tr>
      <w:tr>
        <w:trPr/>
        <w:tc>
          <w:tcPr>
            <w:tcW w:w="75" w:type="dxa"/>
            <w:tcBorders>
              <w:left w:val="single" w:sz="8" w:space="0" w:color="66CCFF"/>
            </w:tcBorders>
            <w:tcMar>
              <w:left w:w="28" w:type="dxa"/>
            </w:tcMar>
            <w:vAlign w:val="center"/>
          </w:tcPr>
          <w:p>
            <w:pPr>
              <w:pStyle w:val="TableContents"/>
              <w:bidi w:val="0"/>
              <w:spacing w:before="0" w:after="283"/>
              <w:jc w:val="left"/>
              <w:rPr/>
            </w:pPr>
            <w:r>
              <w:rPr/>
              <w:t> </w:t>
            </w:r>
          </w:p>
        </w:tc>
        <w:tc>
          <w:tcPr>
            <w:tcW w:w="2388" w:type="dxa"/>
            <w:tcBorders/>
            <w:vAlign w:val="center"/>
          </w:tcPr>
          <w:p>
            <w:pPr>
              <w:pStyle w:val="TableContents"/>
              <w:bidi w:val="0"/>
              <w:spacing w:before="0" w:after="283"/>
              <w:jc w:val="center"/>
              <w:rPr/>
            </w:pPr>
            <w:r>
              <w:rPr/>
              <w:t> </w:t>
            </w:r>
          </w:p>
        </w:tc>
        <w:tc>
          <w:tcPr>
            <w:tcW w:w="544"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4021"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78" w:type="dxa"/>
            <w:tcBorders>
              <w:right w:val="single" w:sz="8" w:space="0" w:color="66CCFF"/>
            </w:tcBorders>
            <w:tcMar>
              <w:right w:w="28" w:type="dxa"/>
            </w:tcMar>
            <w:vAlign w:val="center"/>
          </w:tcPr>
          <w:p>
            <w:pPr>
              <w:pStyle w:val="TableContents"/>
              <w:bidi w:val="0"/>
              <w:spacing w:before="0" w:after="283"/>
              <w:jc w:val="left"/>
              <w:rPr/>
            </w:pPr>
            <w:r>
              <w:rPr/>
              <w:t> </w:t>
            </w:r>
          </w:p>
        </w:tc>
      </w:tr>
      <w:tr>
        <w:trPr/>
        <w:tc>
          <w:tcPr>
            <w:tcW w:w="75" w:type="dxa"/>
            <w:tcBorders>
              <w:left w:val="single" w:sz="8" w:space="0" w:color="66CCFF"/>
            </w:tcBorders>
            <w:tcMar>
              <w:left w:w="28" w:type="dxa"/>
            </w:tcMar>
            <w:vAlign w:val="center"/>
          </w:tcPr>
          <w:p>
            <w:pPr>
              <w:pStyle w:val="TableContents"/>
              <w:bidi w:val="0"/>
              <w:spacing w:before="0" w:after="283"/>
              <w:jc w:val="left"/>
              <w:rPr/>
            </w:pPr>
            <w:r>
              <w:rPr/>
              <w:t> </w:t>
            </w:r>
          </w:p>
        </w:tc>
        <w:tc>
          <w:tcPr>
            <w:tcW w:w="2388" w:type="dxa"/>
            <w:tcBorders/>
            <w:vAlign w:val="center"/>
          </w:tcPr>
          <w:p>
            <w:pPr>
              <w:pStyle w:val="TableContents"/>
              <w:bidi w:val="0"/>
              <w:spacing w:before="0" w:after="283"/>
              <w:jc w:val="center"/>
              <w:rPr/>
            </w:pPr>
            <w:r>
              <w:rPr/>
              <w:t> </w:t>
            </w:r>
          </w:p>
        </w:tc>
        <w:tc>
          <w:tcPr>
            <w:tcW w:w="544"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4021"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78" w:type="dxa"/>
            <w:tcBorders>
              <w:right w:val="single" w:sz="8" w:space="0" w:color="66CCFF"/>
            </w:tcBorders>
            <w:tcMar>
              <w:right w:w="28" w:type="dxa"/>
            </w:tcMar>
            <w:vAlign w:val="center"/>
          </w:tcPr>
          <w:p>
            <w:pPr>
              <w:pStyle w:val="TableContents"/>
              <w:bidi w:val="0"/>
              <w:spacing w:before="0" w:after="283"/>
              <w:jc w:val="left"/>
              <w:rPr/>
            </w:pPr>
            <w:r>
              <w:rPr/>
              <w:t> </w:t>
            </w:r>
          </w:p>
        </w:tc>
      </w:tr>
      <w:tr>
        <w:trPr/>
        <w:tc>
          <w:tcPr>
            <w:tcW w:w="75" w:type="dxa"/>
            <w:tcBorders>
              <w:left w:val="single" w:sz="8" w:space="0" w:color="66CCFF"/>
            </w:tcBorders>
            <w:tcMar>
              <w:left w:w="28" w:type="dxa"/>
            </w:tcMar>
            <w:vAlign w:val="center"/>
          </w:tcPr>
          <w:p>
            <w:pPr>
              <w:pStyle w:val="TableContents"/>
              <w:bidi w:val="0"/>
              <w:spacing w:before="0" w:after="283"/>
              <w:jc w:val="left"/>
              <w:rPr/>
            </w:pPr>
            <w:r>
              <w:rPr/>
              <w:t> </w:t>
            </w:r>
          </w:p>
        </w:tc>
        <w:tc>
          <w:tcPr>
            <w:tcW w:w="2388" w:type="dxa"/>
            <w:tcBorders/>
            <w:vAlign w:val="center"/>
          </w:tcPr>
          <w:p>
            <w:pPr>
              <w:pStyle w:val="TableContents"/>
              <w:bidi w:val="0"/>
              <w:spacing w:before="0" w:after="283"/>
              <w:jc w:val="center"/>
              <w:rPr/>
            </w:pPr>
            <w:r>
              <w:rPr/>
              <w:t> </w:t>
            </w:r>
          </w:p>
        </w:tc>
        <w:tc>
          <w:tcPr>
            <w:tcW w:w="544"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4021"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78" w:type="dxa"/>
            <w:tcBorders>
              <w:right w:val="single" w:sz="8" w:space="0" w:color="66CCFF"/>
            </w:tcBorders>
            <w:tcMar>
              <w:right w:w="28" w:type="dxa"/>
            </w:tcMar>
            <w:vAlign w:val="center"/>
          </w:tcPr>
          <w:p>
            <w:pPr>
              <w:pStyle w:val="TableContents"/>
              <w:bidi w:val="0"/>
              <w:spacing w:before="0" w:after="283"/>
              <w:jc w:val="left"/>
              <w:rPr/>
            </w:pPr>
            <w:r>
              <w:rPr/>
              <w:t> </w:t>
            </w:r>
          </w:p>
        </w:tc>
      </w:tr>
      <w:tr>
        <w:trPr/>
        <w:tc>
          <w:tcPr>
            <w:tcW w:w="75" w:type="dxa"/>
            <w:tcBorders>
              <w:left w:val="single" w:sz="8" w:space="0" w:color="66CCFF"/>
            </w:tcBorders>
            <w:tcMar>
              <w:left w:w="28" w:type="dxa"/>
            </w:tcMar>
            <w:vAlign w:val="center"/>
          </w:tcPr>
          <w:p>
            <w:pPr>
              <w:pStyle w:val="TableContents"/>
              <w:bidi w:val="0"/>
              <w:spacing w:before="0" w:after="283"/>
              <w:jc w:val="left"/>
              <w:rPr/>
            </w:pPr>
            <w:r>
              <w:rPr/>
              <w:t> </w:t>
            </w:r>
          </w:p>
        </w:tc>
        <w:tc>
          <w:tcPr>
            <w:tcW w:w="2388" w:type="dxa"/>
            <w:tcBorders/>
            <w:vAlign w:val="center"/>
          </w:tcPr>
          <w:p>
            <w:pPr>
              <w:pStyle w:val="TableContents"/>
              <w:bidi w:val="0"/>
              <w:spacing w:before="0" w:after="283"/>
              <w:jc w:val="center"/>
              <w:rPr/>
            </w:pPr>
            <w:r>
              <w:rPr/>
              <w:t> </w:t>
            </w:r>
          </w:p>
        </w:tc>
        <w:tc>
          <w:tcPr>
            <w:tcW w:w="544"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4021"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78" w:type="dxa"/>
            <w:tcBorders>
              <w:right w:val="single" w:sz="8" w:space="0" w:color="66CCFF"/>
            </w:tcBorders>
            <w:tcMar>
              <w:right w:w="28" w:type="dxa"/>
            </w:tcMar>
            <w:vAlign w:val="center"/>
          </w:tcPr>
          <w:p>
            <w:pPr>
              <w:pStyle w:val="TableContents"/>
              <w:bidi w:val="0"/>
              <w:spacing w:before="0" w:after="283"/>
              <w:jc w:val="left"/>
              <w:rPr/>
            </w:pPr>
            <w:r>
              <w:rPr/>
              <w:t> </w:t>
            </w:r>
          </w:p>
        </w:tc>
      </w:tr>
      <w:tr>
        <w:trPr/>
        <w:tc>
          <w:tcPr>
            <w:tcW w:w="75" w:type="dxa"/>
            <w:tcBorders>
              <w:left w:val="single" w:sz="8" w:space="0" w:color="66CCFF"/>
            </w:tcBorders>
            <w:tcMar>
              <w:left w:w="28" w:type="dxa"/>
            </w:tcMar>
            <w:vAlign w:val="center"/>
          </w:tcPr>
          <w:p>
            <w:pPr>
              <w:pStyle w:val="TableContents"/>
              <w:bidi w:val="0"/>
              <w:spacing w:before="0" w:after="283"/>
              <w:jc w:val="left"/>
              <w:rPr/>
            </w:pPr>
            <w:r>
              <w:rPr/>
              <w:t> </w:t>
            </w:r>
          </w:p>
        </w:tc>
        <w:tc>
          <w:tcPr>
            <w:tcW w:w="2388" w:type="dxa"/>
            <w:tcBorders/>
            <w:vAlign w:val="center"/>
          </w:tcPr>
          <w:p>
            <w:pPr>
              <w:pStyle w:val="TableContents"/>
              <w:bidi w:val="0"/>
              <w:spacing w:before="0" w:after="283"/>
              <w:jc w:val="center"/>
              <w:rPr/>
            </w:pPr>
            <w:r>
              <w:rPr/>
              <w:t> </w:t>
            </w:r>
          </w:p>
        </w:tc>
        <w:tc>
          <w:tcPr>
            <w:tcW w:w="544" w:type="dxa"/>
            <w:tcBorders/>
            <w:vAlign w:val="center"/>
          </w:tcPr>
          <w:p>
            <w:pPr>
              <w:pStyle w:val="TableContents"/>
              <w:bidi w:val="0"/>
              <w:spacing w:before="0" w:after="283"/>
              <w:jc w:val="left"/>
              <w:rPr/>
            </w:pPr>
            <w:r>
              <w:rPr/>
              <w:t> </w:t>
            </w:r>
          </w:p>
        </w:tc>
        <w:tc>
          <w:tcPr>
            <w:tcW w:w="1969"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4021" w:type="dxa"/>
            <w:tcBorders/>
            <w:vAlign w:val="center"/>
          </w:tcPr>
          <w:p>
            <w:pPr>
              <w:pStyle w:val="TableContents"/>
              <w:bidi w:val="0"/>
              <w:spacing w:before="0" w:after="283"/>
              <w:jc w:val="left"/>
              <w:rPr/>
            </w:pPr>
            <w:r>
              <w:rPr/>
              <w:t> </w:t>
            </w:r>
          </w:p>
        </w:tc>
        <w:tc>
          <w:tcPr>
            <w:tcW w:w="862"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78" w:type="dxa"/>
            <w:tcBorders>
              <w:right w:val="single" w:sz="8" w:space="0" w:color="66CCFF"/>
            </w:tcBorders>
            <w:tcMar>
              <w:right w:w="28" w:type="dxa"/>
            </w:tcMar>
            <w:vAlign w:val="center"/>
          </w:tcPr>
          <w:p>
            <w:pPr>
              <w:pStyle w:val="TableContents"/>
              <w:bidi w:val="0"/>
              <w:spacing w:before="0" w:after="283"/>
              <w:jc w:val="left"/>
              <w:rPr/>
            </w:pPr>
            <w:r>
              <w:rPr/>
              <w:t> </w:t>
            </w:r>
          </w:p>
        </w:tc>
      </w:tr>
      <w:tr>
        <w:trPr/>
        <w:tc>
          <w:tcPr>
            <w:tcW w:w="75" w:type="dxa"/>
            <w:tcBorders>
              <w:left w:val="single" w:sz="8" w:space="0" w:color="66CCFF"/>
              <w:bottom w:val="single" w:sz="8" w:space="0" w:color="66CCFF"/>
            </w:tcBorders>
            <w:tcMar>
              <w:left w:w="28" w:type="dxa"/>
              <w:bottom w:w="28" w:type="dxa"/>
            </w:tcMar>
            <w:vAlign w:val="center"/>
          </w:tcPr>
          <w:p>
            <w:pPr>
              <w:pStyle w:val="TableContents"/>
              <w:bidi w:val="0"/>
              <w:spacing w:before="0" w:after="283"/>
              <w:jc w:val="left"/>
              <w:rPr/>
            </w:pPr>
            <w:r>
              <w:rPr/>
              <w:t> </w:t>
            </w:r>
          </w:p>
        </w:tc>
        <w:tc>
          <w:tcPr>
            <w:tcW w:w="2388" w:type="dxa"/>
            <w:tcBorders>
              <w:bottom w:val="single" w:sz="8" w:space="0" w:color="66CCFF"/>
            </w:tcBorders>
            <w:tcMar>
              <w:bottom w:w="28" w:type="dxa"/>
            </w:tcMar>
            <w:vAlign w:val="center"/>
          </w:tcPr>
          <w:p>
            <w:pPr>
              <w:pStyle w:val="TableContents"/>
              <w:bidi w:val="0"/>
              <w:spacing w:before="0" w:after="283"/>
              <w:jc w:val="center"/>
              <w:rPr/>
            </w:pPr>
            <w:r>
              <w:rPr/>
              <w:t> </w:t>
            </w:r>
          </w:p>
        </w:tc>
        <w:tc>
          <w:tcPr>
            <w:tcW w:w="544" w:type="dxa"/>
            <w:tcBorders>
              <w:bottom w:val="single" w:sz="8" w:space="0" w:color="66CCFF"/>
            </w:tcBorders>
            <w:tcMar>
              <w:bottom w:w="28" w:type="dxa"/>
            </w:tcMar>
            <w:vAlign w:val="center"/>
          </w:tcPr>
          <w:p>
            <w:pPr>
              <w:pStyle w:val="TableContents"/>
              <w:bidi w:val="0"/>
              <w:spacing w:before="0" w:after="283"/>
              <w:jc w:val="left"/>
              <w:rPr/>
            </w:pPr>
            <w:r>
              <w:rPr/>
              <w:t> </w:t>
            </w:r>
          </w:p>
        </w:tc>
        <w:tc>
          <w:tcPr>
            <w:tcW w:w="1969" w:type="dxa"/>
            <w:tcBorders>
              <w:bottom w:val="single" w:sz="8" w:space="0" w:color="66CCFF"/>
            </w:tcBorders>
            <w:tcMar>
              <w:bottom w:w="28" w:type="dxa"/>
            </w:tcMar>
            <w:vAlign w:val="center"/>
          </w:tcPr>
          <w:p>
            <w:pPr>
              <w:pStyle w:val="TableContents"/>
              <w:bidi w:val="0"/>
              <w:spacing w:before="0" w:after="283"/>
              <w:jc w:val="left"/>
              <w:rPr/>
            </w:pPr>
            <w:r>
              <w:rPr/>
              <w:t> </w:t>
            </w:r>
          </w:p>
        </w:tc>
        <w:tc>
          <w:tcPr>
            <w:tcW w:w="134" w:type="dxa"/>
            <w:tcBorders>
              <w:bottom w:val="single" w:sz="8" w:space="0" w:color="66CCFF"/>
            </w:tcBorders>
            <w:tcMar>
              <w:bottom w:w="28" w:type="dxa"/>
            </w:tcMar>
            <w:vAlign w:val="center"/>
          </w:tcPr>
          <w:p>
            <w:pPr>
              <w:pStyle w:val="TableContents"/>
              <w:bidi w:val="0"/>
              <w:spacing w:before="0" w:after="283"/>
              <w:jc w:val="left"/>
              <w:rPr/>
            </w:pPr>
            <w:r>
              <w:rPr/>
              <w:t> </w:t>
            </w:r>
          </w:p>
        </w:tc>
        <w:tc>
          <w:tcPr>
            <w:tcW w:w="4021" w:type="dxa"/>
            <w:tcBorders>
              <w:bottom w:val="single" w:sz="8" w:space="0" w:color="66CCFF"/>
            </w:tcBorders>
            <w:tcMar>
              <w:bottom w:w="28" w:type="dxa"/>
            </w:tcMar>
            <w:vAlign w:val="center"/>
          </w:tcPr>
          <w:p>
            <w:pPr>
              <w:pStyle w:val="TableContents"/>
              <w:bidi w:val="0"/>
              <w:spacing w:before="0" w:after="283"/>
              <w:jc w:val="left"/>
              <w:rPr/>
            </w:pPr>
            <w:r>
              <w:rPr/>
              <w:t> </w:t>
            </w:r>
          </w:p>
        </w:tc>
        <w:tc>
          <w:tcPr>
            <w:tcW w:w="862" w:type="dxa"/>
            <w:tcBorders>
              <w:bottom w:val="single" w:sz="8" w:space="0" w:color="66CCFF"/>
            </w:tcBorders>
            <w:tcMar>
              <w:bottom w:w="28" w:type="dxa"/>
            </w:tcMar>
            <w:vAlign w:val="center"/>
          </w:tcPr>
          <w:p>
            <w:pPr>
              <w:pStyle w:val="TableContents"/>
              <w:bidi w:val="0"/>
              <w:spacing w:before="0" w:after="283"/>
              <w:jc w:val="left"/>
              <w:rPr/>
            </w:pPr>
            <w:r>
              <w:rPr/>
              <w:t> </w:t>
            </w:r>
          </w:p>
        </w:tc>
        <w:tc>
          <w:tcPr>
            <w:tcW w:w="134" w:type="dxa"/>
            <w:tcBorders>
              <w:bottom w:val="single" w:sz="8" w:space="0" w:color="66CCFF"/>
            </w:tcBorders>
            <w:tcMar>
              <w:bottom w:w="28" w:type="dxa"/>
            </w:tcMar>
            <w:vAlign w:val="center"/>
          </w:tcPr>
          <w:p>
            <w:pPr>
              <w:pStyle w:val="TableContents"/>
              <w:bidi w:val="0"/>
              <w:spacing w:before="0" w:after="283"/>
              <w:jc w:val="left"/>
              <w:rPr/>
            </w:pPr>
            <w:r>
              <w:rPr/>
              <w:t> </w:t>
            </w:r>
          </w:p>
        </w:tc>
        <w:tc>
          <w:tcPr>
            <w:tcW w:w="78" w:type="dxa"/>
            <w:tcBorders>
              <w:bottom w:val="single" w:sz="8" w:space="0" w:color="66CCFF"/>
              <w:right w:val="single" w:sz="8" w:space="0" w:color="66CCFF"/>
            </w:tcBorders>
            <w:tcMar>
              <w:bottom w:w="28"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270" w:type="dxa"/>
        <w:jc w:val="left"/>
        <w:tblInd w:w="0" w:type="dxa"/>
        <w:tblLayout w:type="fixed"/>
        <w:tblCellMar>
          <w:top w:w="0" w:type="dxa"/>
          <w:left w:w="0" w:type="dxa"/>
          <w:bottom w:w="0" w:type="dxa"/>
          <w:right w:w="0" w:type="dxa"/>
        </w:tblCellMar>
      </w:tblPr>
      <w:tblGrid>
        <w:gridCol w:w="1490"/>
        <w:gridCol w:w="125"/>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125"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4</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10205" w:type="dxa"/>
        <w:jc w:val="left"/>
        <w:tblInd w:w="-10" w:type="dxa"/>
        <w:tblLayout w:type="fixed"/>
        <w:tblCellMar>
          <w:top w:w="200" w:type="dxa"/>
          <w:left w:w="300" w:type="dxa"/>
          <w:bottom w:w="0" w:type="dxa"/>
          <w:right w:w="300" w:type="dxa"/>
        </w:tblCellMar>
      </w:tblPr>
      <w:tblGrid>
        <w:gridCol w:w="221"/>
        <w:gridCol w:w="2890"/>
        <w:gridCol w:w="993"/>
        <w:gridCol w:w="2837"/>
        <w:gridCol w:w="3039"/>
        <w:gridCol w:w="225"/>
      </w:tblGrid>
      <w:tr>
        <w:trPr/>
        <w:tc>
          <w:tcPr>
            <w:tcW w:w="10205" w:type="dxa"/>
            <w:gridSpan w:val="6"/>
            <w:tcBorders>
              <w:top w:val="single" w:sz="8" w:space="0" w:color="66CCFF"/>
              <w:left w:val="single" w:sz="8" w:space="0" w:color="66CCFF"/>
              <w:right w:val="single" w:sz="8" w:space="0" w:color="66CCFF"/>
            </w:tcBorders>
            <w:shd w:fill="003366" w:val="clear"/>
            <w:vAlign w:val="center"/>
          </w:tcPr>
          <w:p>
            <w:pPr>
              <w:pStyle w:val="TableContents"/>
              <w:bidi w:val="0"/>
              <w:spacing w:before="0" w:after="283"/>
              <w:jc w:val="left"/>
              <w:rPr>
                <w:b/>
                <w:color w:val="FFFFFF"/>
                <w:sz w:val="30"/>
              </w:rPr>
            </w:pPr>
            <w:bookmarkStart w:id="6" w:name="lmnrdef14aa003"/>
            <w:bookmarkEnd w:id="6"/>
            <w:r>
              <w:rPr>
                <w:b/>
                <w:color w:val="FFFFFF"/>
                <w:sz w:val="30"/>
              </w:rPr>
              <w:t>Questions and Answers About Attending and Voting at the Annual Meeting</w:t>
            </w:r>
          </w:p>
        </w:tc>
      </w:tr>
      <w:tr>
        <w:trPr/>
        <w:tc>
          <w:tcPr>
            <w:tcW w:w="10205" w:type="dxa"/>
            <w:gridSpan w:val="6"/>
            <w:tcBorders>
              <w:left w:val="single" w:sz="8" w:space="0" w:color="66CCFF"/>
              <w:right w:val="single" w:sz="8" w:space="0" w:color="66CCFF"/>
            </w:tcBorders>
            <w:tcMar>
              <w:top w:w="0" w:type="dxa"/>
            </w:tcMar>
            <w:vAlign w:val="center"/>
          </w:tcPr>
          <w:p>
            <w:pPr>
              <w:pStyle w:val="TableContents"/>
              <w:bidi w:val="0"/>
              <w:spacing w:before="0" w:after="283"/>
              <w:jc w:val="left"/>
              <w:rPr/>
            </w:pPr>
            <w:r>
              <w:rPr/>
              <w:t> </w:t>
            </w:r>
          </w:p>
        </w:tc>
      </w:tr>
      <w:tr>
        <w:trPr/>
        <w:tc>
          <w:tcPr>
            <w:tcW w:w="10205" w:type="dxa"/>
            <w:gridSpan w:val="6"/>
            <w:tcBorders>
              <w:left w:val="single" w:sz="8" w:space="0" w:color="66CCFF"/>
              <w:right w:val="single" w:sz="8" w:space="0" w:color="66CCFF"/>
            </w:tcBorders>
            <w:tcMar>
              <w:top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Computershare Trust Company, N.A. (“Computershare”) is our inspector of election. As part of its responsibilities, Computershare is required to independently verify that you are a stockholder of the Company eligible to participate in the Annual Meeting and to determine whether you may vote at the Annual Meeting. Therefore, it is very important that you follow the instructions below to participate in the Annual Meeting.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65C8F2"/>
                <w:sz w:val="22"/>
              </w:rPr>
            </w:pPr>
            <w:r>
              <w:rPr>
                <w:rFonts w:ascii="Arial;Helvetica;Sans-Serif" w:hAnsi="Arial;Helvetica;Sans-Serif"/>
                <w:b/>
                <w:i w:val="false"/>
                <w:caps w:val="false"/>
                <w:smallCaps w:val="false"/>
                <w:color w:val="65C8F2"/>
                <w:sz w:val="22"/>
              </w:rPr>
              <w:t>Where and when will the meeting be held?</w:t>
            </w:r>
          </w:p>
          <w:p>
            <w:pPr>
              <w:pStyle w:val="TableContents"/>
              <w:bidi w:val="0"/>
              <w:spacing w:before="0" w:after="0"/>
              <w:ind w:left="0" w:right="0" w:hanging="0"/>
              <w:jc w:val="left"/>
              <w:rPr>
                <w:caps w:val="false"/>
                <w:smallCaps w:val="false"/>
                <w:color w:val="65C8F2"/>
              </w:rPr>
            </w:pPr>
            <w:r>
              <w:rPr>
                <w:caps w:val="false"/>
                <w:smallCaps w:val="false"/>
                <w:color w:val="65C8F2"/>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Annual Meeting will be held on Wednesday, March 25, 2026, and will begin at 10:00 a.m., Pacific Time, at the Museum of Ventura County Agriculture Museum, 926 Railroad Avenue, Santa Paula, CA 93060.</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65C8F2"/>
                <w:sz w:val="22"/>
              </w:rPr>
            </w:pPr>
            <w:r>
              <w:rPr>
                <w:rFonts w:ascii="Arial;Helvetica;Sans-Serif" w:hAnsi="Arial;Helvetica;Sans-Serif"/>
                <w:b/>
                <w:i w:val="false"/>
                <w:caps w:val="false"/>
                <w:smallCaps w:val="false"/>
                <w:color w:val="65C8F2"/>
                <w:sz w:val="22"/>
              </w:rPr>
              <w:t>Who is entitled to vote at the Annual Meeting?</w:t>
            </w:r>
          </w:p>
          <w:p>
            <w:pPr>
              <w:pStyle w:val="TableContents"/>
              <w:bidi w:val="0"/>
              <w:spacing w:before="0" w:after="0"/>
              <w:ind w:left="0" w:right="0" w:hanging="0"/>
              <w:jc w:val="left"/>
              <w:rPr>
                <w:caps w:val="false"/>
                <w:smallCaps w:val="false"/>
                <w:color w:val="65C8F2"/>
              </w:rPr>
            </w:pPr>
            <w:r>
              <w:rPr>
                <w:caps w:val="false"/>
                <w:smallCaps w:val="false"/>
                <w:color w:val="65C8F2"/>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Only stockholders of record of our common stock, par value $0.01 (the “Common Stock”), Series B Convertible Preferred Stock and Series B-2 Convertible Preferred Stock (collectively, the “Voting Stock”) at the close of business on January 30, 2026 (the “Record Date”), are entitled to vote at the Annual Meeting. At the close of business on the Record Date, we had 18,130,967 shares of Common Stock outstanding and entitled to vote, 14,790 shares of Series B Convertible Preferred Stock outstanding and entitled to vote and 9,300 shares of Series B-2 Convertible Preferred Stock outstanding and entitled to vote. Holders of our Common Stock and Series B-2 Convertible Preferred Stock are entitled to one (1) vote per share while holders of our Series B Convertible Preferred Stock are entitled to ten (10) votes per share.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color w:val="65C8F2"/>
                <w:sz w:val="22"/>
              </w:rPr>
            </w:pPr>
            <w:r>
              <w:rPr>
                <w:rFonts w:ascii="Arial;Helvetica;Sans-Serif" w:hAnsi="Arial;Helvetica;Sans-Serif"/>
                <w:b/>
                <w:i w:val="false"/>
                <w:caps w:val="false"/>
                <w:smallCaps w:val="false"/>
                <w:color w:val="65C8F2"/>
                <w:sz w:val="22"/>
              </w:rPr>
              <w:t>What is the purpose of the Annual Meeting?</w:t>
            </w:r>
          </w:p>
          <w:p>
            <w:pPr>
              <w:pStyle w:val="TableContents"/>
              <w:bidi w:val="0"/>
              <w:spacing w:before="0" w:after="0"/>
              <w:ind w:left="0" w:right="0" w:hanging="0"/>
              <w:jc w:val="left"/>
              <w:rPr>
                <w:caps w:val="false"/>
                <w:smallCaps w:val="false"/>
                <w:color w:val="65C8F2"/>
              </w:rPr>
            </w:pPr>
            <w:r>
              <w:rPr>
                <w:caps w:val="false"/>
                <w:smallCaps w:val="false"/>
                <w:color w:val="65C8F2"/>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At the Annual Meeting, stockholders will consider and vote on the following matters: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1. Proposal 1:</w:t>
            </w:r>
            <w:r>
              <w:rPr>
                <w:rFonts w:ascii="Arial;Helvetica;Sans-Serif" w:hAnsi="Arial;Helvetica;Sans-Serif"/>
                <w:b w:val="false"/>
                <w:i w:val="false"/>
                <w:caps w:val="false"/>
                <w:smallCaps w:val="false"/>
                <w:sz w:val="18"/>
              </w:rPr>
              <w:t xml:space="preserve"> To elect two (2) Class III directors to the Board of Directors, each to serve for a three-year term. Below are the nominees for election by stockholders at the 2026 Annual Meeting, all of whom are current directors:</w:t>
            </w:r>
          </w:p>
          <w:p>
            <w:pPr>
              <w:pStyle w:val="TableContents"/>
              <w:bidi w:val="0"/>
              <w:spacing w:before="0" w:after="0"/>
              <w:ind w:left="0" w:right="0" w:hanging="0"/>
              <w:jc w:val="left"/>
              <w:rPr>
                <w:caps w:val="false"/>
                <w:smallCaps w:val="false"/>
              </w:rPr>
            </w:pPr>
            <w:r>
              <w:rPr>
                <w:caps w:val="false"/>
                <w:smallCaps w:val="false"/>
              </w:rPr>
              <w:t> </w:t>
            </w:r>
          </w:p>
        </w:tc>
      </w:tr>
      <w:tr>
        <w:trPr/>
        <w:tc>
          <w:tcPr>
            <w:tcW w:w="221" w:type="dxa"/>
            <w:tcBorders>
              <w:top w:val="single" w:sz="8" w:space="0" w:color="FFFFFF"/>
              <w:left w:val="single" w:sz="8" w:space="0" w:color="66CCFF"/>
              <w:right w:val="single" w:sz="8" w:space="0" w:color="FFFFFF"/>
            </w:tcBorders>
            <w:shd w:fill="FFFFFF" w:val="clear"/>
            <w:tcMar>
              <w:top w:w="56" w:type="dxa"/>
              <w:left w:w="28" w:type="dxa"/>
              <w:right w:w="28" w:type="dxa"/>
            </w:tcMar>
            <w:vAlign w:val="center"/>
          </w:tcPr>
          <w:p>
            <w:pPr>
              <w:pStyle w:val="TableContents"/>
              <w:bidi w:val="0"/>
              <w:spacing w:before="0" w:after="283"/>
              <w:jc w:val="left"/>
              <w:rPr/>
            </w:pPr>
            <w:r>
              <w:rPr/>
              <w:t> </w:t>
            </w:r>
          </w:p>
        </w:tc>
        <w:tc>
          <w:tcPr>
            <w:tcW w:w="2890" w:type="dxa"/>
            <w:tcBorders>
              <w:top w:val="single" w:sz="8" w:space="0" w:color="FFFFFF"/>
              <w:left w:val="single" w:sz="8" w:space="0" w:color="FFFFFF"/>
              <w:right w:val="single" w:sz="8" w:space="0" w:color="FFFFFF"/>
            </w:tcBorders>
            <w:shd w:fill="D2D6E4" w:val="clear"/>
            <w:tcMar>
              <w:top w:w="56" w:type="dxa"/>
              <w:left w:w="28" w:type="dxa"/>
              <w:right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Director</w:t>
            </w:r>
          </w:p>
        </w:tc>
        <w:tc>
          <w:tcPr>
            <w:tcW w:w="993" w:type="dxa"/>
            <w:tcBorders>
              <w:top w:val="single" w:sz="8" w:space="0" w:color="FFFFFF"/>
              <w:right w:val="single" w:sz="8" w:space="0" w:color="FFFFFF"/>
            </w:tcBorders>
            <w:shd w:fill="D2D6E4" w:val="clear"/>
            <w:tcMar>
              <w:top w:w="56" w:type="dxa"/>
              <w:left w:w="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Age</w:t>
            </w:r>
          </w:p>
        </w:tc>
        <w:tc>
          <w:tcPr>
            <w:tcW w:w="2837" w:type="dxa"/>
            <w:tcBorders>
              <w:top w:val="single" w:sz="8" w:space="0" w:color="FFFFFF"/>
              <w:right w:val="single" w:sz="8" w:space="0" w:color="FFFFFF"/>
            </w:tcBorders>
            <w:shd w:fill="D2D6E4" w:val="clear"/>
            <w:tcMar>
              <w:top w:w="56" w:type="dxa"/>
              <w:left w:w="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Serving Since</w:t>
            </w:r>
          </w:p>
        </w:tc>
        <w:tc>
          <w:tcPr>
            <w:tcW w:w="3039" w:type="dxa"/>
            <w:tcBorders>
              <w:top w:val="single" w:sz="8" w:space="0" w:color="FFFFFF"/>
              <w:right w:val="single" w:sz="8" w:space="0" w:color="FFFFFF"/>
            </w:tcBorders>
            <w:shd w:fill="D2D6E4" w:val="clear"/>
            <w:tcMar>
              <w:top w:w="56" w:type="dxa"/>
              <w:left w:w="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Independent</w:t>
            </w:r>
          </w:p>
        </w:tc>
        <w:tc>
          <w:tcPr>
            <w:tcW w:w="225" w:type="dxa"/>
            <w:tcBorders>
              <w:top w:val="single" w:sz="8" w:space="0" w:color="FFFFFF"/>
              <w:right w:val="single" w:sz="8" w:space="0" w:color="66CCFF"/>
            </w:tcBorders>
            <w:shd w:fill="FFFFFF" w:val="clear"/>
            <w:tcMar>
              <w:top w:w="56" w:type="dxa"/>
              <w:left w:w="0" w:type="dxa"/>
              <w:right w:w="28" w:type="dxa"/>
            </w:tcMar>
            <w:vAlign w:val="center"/>
          </w:tcPr>
          <w:p>
            <w:pPr>
              <w:pStyle w:val="TableContents"/>
              <w:bidi w:val="0"/>
              <w:spacing w:before="0" w:after="283"/>
              <w:jc w:val="center"/>
              <w:rPr/>
            </w:pPr>
            <w:r>
              <w:rPr/>
              <w:t> </w:t>
            </w:r>
          </w:p>
        </w:tc>
      </w:tr>
      <w:tr>
        <w:trPr/>
        <w:tc>
          <w:tcPr>
            <w:tcW w:w="221" w:type="dxa"/>
            <w:tcBorders>
              <w:top w:val="single" w:sz="8" w:space="0" w:color="FFFFFF"/>
              <w:left w:val="single" w:sz="8" w:space="0" w:color="66CCFF"/>
              <w:right w:val="single" w:sz="8" w:space="0" w:color="FFFFFF"/>
            </w:tcBorders>
            <w:shd w:fill="FFFFFF" w:val="clear"/>
            <w:tcMar>
              <w:top w:w="56" w:type="dxa"/>
              <w:left w:w="28" w:type="dxa"/>
              <w:right w:w="28" w:type="dxa"/>
            </w:tcMar>
            <w:vAlign w:val="center"/>
          </w:tcPr>
          <w:p>
            <w:pPr>
              <w:pStyle w:val="TableContents"/>
              <w:bidi w:val="0"/>
              <w:spacing w:before="0" w:after="283"/>
              <w:jc w:val="left"/>
              <w:rPr/>
            </w:pPr>
            <w:r>
              <w:rPr/>
              <w:t> </w:t>
            </w:r>
          </w:p>
        </w:tc>
        <w:tc>
          <w:tcPr>
            <w:tcW w:w="2890" w:type="dxa"/>
            <w:tcBorders>
              <w:right w:val="single" w:sz="8" w:space="0" w:color="E5F5FD"/>
            </w:tcBorders>
            <w:tcMar>
              <w:top w:w="0" w:type="dxa"/>
              <w:left w:w="0" w:type="dxa"/>
              <w:right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Elizabeth Mora</w:t>
            </w:r>
          </w:p>
        </w:tc>
        <w:tc>
          <w:tcPr>
            <w:tcW w:w="993" w:type="dxa"/>
            <w:tcBorders>
              <w:right w:val="single" w:sz="8" w:space="0" w:color="E5F5FD"/>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65</w:t>
            </w:r>
          </w:p>
        </w:tc>
        <w:tc>
          <w:tcPr>
            <w:tcW w:w="2837" w:type="dxa"/>
            <w:tcBorders>
              <w:right w:val="single" w:sz="8" w:space="0" w:color="E3F2E7"/>
            </w:tcBorders>
            <w:tcMar>
              <w:top w:w="0" w:type="dxa"/>
              <w:lef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2021</w:t>
            </w:r>
          </w:p>
        </w:tc>
        <w:tc>
          <w:tcPr>
            <w:tcW w:w="3039" w:type="dxa"/>
            <w:tcBorders/>
            <w:tcMar>
              <w:top w:w="0" w:type="dxa"/>
              <w:left w:w="0" w:type="dxa"/>
              <w:righ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Yes</w:t>
            </w:r>
          </w:p>
        </w:tc>
        <w:tc>
          <w:tcPr>
            <w:tcW w:w="225" w:type="dxa"/>
            <w:tcBorders>
              <w:right w:val="single" w:sz="8" w:space="0" w:color="66CCFF"/>
            </w:tcBorders>
            <w:shd w:fill="FFFFFF" w:val="clear"/>
            <w:tcMar>
              <w:top w:w="0" w:type="dxa"/>
              <w:left w:w="0" w:type="dxa"/>
              <w:right w:w="28" w:type="dxa"/>
            </w:tcMar>
            <w:vAlign w:val="center"/>
          </w:tcPr>
          <w:p>
            <w:pPr>
              <w:pStyle w:val="TableContents"/>
              <w:bidi w:val="0"/>
              <w:spacing w:before="0" w:after="283"/>
              <w:jc w:val="center"/>
              <w:rPr/>
            </w:pPr>
            <w:r>
              <w:rPr/>
              <w:t> </w:t>
            </w:r>
          </w:p>
        </w:tc>
      </w:tr>
      <w:tr>
        <w:trPr/>
        <w:tc>
          <w:tcPr>
            <w:tcW w:w="221" w:type="dxa"/>
            <w:tcBorders>
              <w:top w:val="single" w:sz="8" w:space="0" w:color="FFFFFF"/>
              <w:left w:val="single" w:sz="8" w:space="0" w:color="66CCFF"/>
              <w:right w:val="single" w:sz="8" w:space="0" w:color="FFFFFF"/>
            </w:tcBorders>
            <w:shd w:fill="FFFFFF" w:val="clear"/>
            <w:tcMar>
              <w:top w:w="76" w:type="dxa"/>
              <w:left w:w="28" w:type="dxa"/>
              <w:right w:w="28" w:type="dxa"/>
            </w:tcMar>
            <w:vAlign w:val="center"/>
          </w:tcPr>
          <w:p>
            <w:pPr>
              <w:pStyle w:val="TableContents"/>
              <w:bidi w:val="0"/>
              <w:spacing w:before="0" w:after="283"/>
              <w:jc w:val="left"/>
              <w:rPr/>
            </w:pPr>
            <w:r>
              <w:rPr/>
              <w:t> </w:t>
            </w:r>
          </w:p>
        </w:tc>
        <w:tc>
          <w:tcPr>
            <w:tcW w:w="2890" w:type="dxa"/>
            <w:tcBorders>
              <w:right w:val="single" w:sz="8" w:space="0" w:color="E3F2E7"/>
            </w:tcBorders>
            <w:shd w:fill="EEF8FD" w:val="clear"/>
            <w:tcMar>
              <w:top w:w="0" w:type="dxa"/>
              <w:left w:w="0" w:type="dxa"/>
              <w:right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Peter J. Nolan</w:t>
            </w:r>
          </w:p>
        </w:tc>
        <w:tc>
          <w:tcPr>
            <w:tcW w:w="993" w:type="dxa"/>
            <w:tcBorders>
              <w:right w:val="single" w:sz="8" w:space="0" w:color="E3F2E7"/>
            </w:tcBorders>
            <w:shd w:fill="EEF8FD" w:val="clear"/>
            <w:tcMar>
              <w:top w:w="0" w:type="dxa"/>
              <w:left w:w="0"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67</w:t>
            </w:r>
          </w:p>
        </w:tc>
        <w:tc>
          <w:tcPr>
            <w:tcW w:w="2837" w:type="dxa"/>
            <w:tcBorders>
              <w:right w:val="single" w:sz="8" w:space="0" w:color="E3F2E7"/>
            </w:tcBorders>
            <w:shd w:fill="EEF8FD" w:val="clear"/>
            <w:tcMar>
              <w:top w:w="0" w:type="dxa"/>
              <w:left w:w="0"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2024</w:t>
            </w:r>
          </w:p>
        </w:tc>
        <w:tc>
          <w:tcPr>
            <w:tcW w:w="3039" w:type="dxa"/>
            <w:tcBorders/>
            <w:shd w:fill="EEF8FD" w:val="clear"/>
            <w:tcMar>
              <w:top w:w="0" w:type="dxa"/>
              <w:left w:w="0" w:type="dxa"/>
              <w:righ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Yes</w:t>
            </w:r>
          </w:p>
        </w:tc>
        <w:tc>
          <w:tcPr>
            <w:tcW w:w="225" w:type="dxa"/>
            <w:tcBorders>
              <w:right w:val="single" w:sz="8" w:space="0" w:color="66CCFF"/>
            </w:tcBorders>
            <w:shd w:fill="FFFFFF" w:val="clear"/>
            <w:tcMar>
              <w:top w:w="0" w:type="dxa"/>
              <w:left w:w="0" w:type="dxa"/>
              <w:right w:w="28" w:type="dxa"/>
            </w:tcMar>
            <w:vAlign w:val="center"/>
          </w:tcPr>
          <w:p>
            <w:pPr>
              <w:pStyle w:val="TableContents"/>
              <w:bidi w:val="0"/>
              <w:spacing w:before="0" w:after="283"/>
              <w:jc w:val="center"/>
              <w:rPr/>
            </w:pPr>
            <w:r>
              <w:rPr/>
              <w:t> </w:t>
            </w:r>
          </w:p>
        </w:tc>
      </w:tr>
      <w:tr>
        <w:trPr/>
        <w:tc>
          <w:tcPr>
            <w:tcW w:w="10205" w:type="dxa"/>
            <w:gridSpan w:val="6"/>
            <w:tcBorders>
              <w:left w:val="single" w:sz="8" w:space="0" w:color="66CCFF"/>
              <w:right w:val="single" w:sz="8" w:space="0" w:color="66CCFF"/>
            </w:tcBorders>
            <w:tcMar>
              <w:top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2. Proposal 2:</w:t>
            </w:r>
            <w:r>
              <w:rPr>
                <w:rFonts w:ascii="Arial;Helvetica;Sans-Serif" w:hAnsi="Arial;Helvetica;Sans-Serif"/>
                <w:b w:val="false"/>
                <w:i w:val="false"/>
                <w:caps w:val="false"/>
                <w:smallCaps w:val="false"/>
                <w:sz w:val="18"/>
              </w:rPr>
              <w:t xml:space="preserve"> To vote on an advisory resolution to approve the compensation of the Named Executive Officers as disclosed in this proxy statement.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This advisory stockholder vote is commonly known as “Say-on-Pay.” Our Board values stockholder input as it provides oversight of the strategic growth and initiatives of Limoneira. Throughout the year, Limoneira engages with our stockholders directly by participating in investor conferences and other presentations with current and prospective stockholders.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Additionally, we appropriately engage our stockholders informally throughout the year as needed to provide transparency regarding emerging issues, to discuss milestones and to inform our decision-making. As highlighted in more detail in these proxy materials, the Board incorporated feedback from our stockholders directly into its decision-making in 2025. Say-On- Pay is one such way that we engage with our stockholders to ensure their desires are reflected in our governance and incorporated into our decision-making.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3. Proposal 3:</w:t>
            </w:r>
            <w:r>
              <w:rPr>
                <w:rFonts w:ascii="Arial;Helvetica;Sans-Serif" w:hAnsi="Arial;Helvetica;Sans-Serif"/>
                <w:b w:val="false"/>
                <w:i w:val="false"/>
                <w:caps w:val="false"/>
                <w:smallCaps w:val="false"/>
                <w:sz w:val="18"/>
              </w:rPr>
              <w:t xml:space="preserve"> To ratify the appointment of Deloitte &amp; Touche LLP (“Deloitte”) to serve as the independent registered public accounting firm for Limoneira Company for the fiscal year ending October 31, 2026.</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Our Audit and Finance Committee (“Audit Committee”) appointed Deloitte to serve as our independent registered public accounting firm to perform the audit of our consolidated financial statements for the fiscal year ended October 31, 2026, and we ask our stockholders to ratify this appointment.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4. To transact such other business as may properly come before the meeting or any adjournment or postponement thereof.</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The Board recommends a vote “FOR” Proposals 1, 2, and 3.</w:t>
            </w:r>
          </w:p>
        </w:tc>
      </w:tr>
      <w:tr>
        <w:trPr/>
        <w:tc>
          <w:tcPr>
            <w:tcW w:w="221" w:type="dxa"/>
            <w:tcBorders>
              <w:left w:val="single" w:sz="8" w:space="0" w:color="66CCFF"/>
              <w:bottom w:val="single" w:sz="8" w:space="0" w:color="66CCFF"/>
            </w:tcBorders>
            <w:tcMar>
              <w:top w:w="0" w:type="dxa"/>
              <w:left w:w="28" w:type="dxa"/>
              <w:bottom w:w="28" w:type="dxa"/>
              <w:right w:w="0" w:type="dxa"/>
            </w:tcMar>
            <w:vAlign w:val="center"/>
          </w:tcPr>
          <w:p>
            <w:pPr>
              <w:pStyle w:val="TableContents"/>
              <w:bidi w:val="0"/>
              <w:spacing w:before="0" w:after="283"/>
              <w:jc w:val="left"/>
              <w:rPr/>
            </w:pPr>
            <w:r>
              <w:rPr/>
              <w:t> </w:t>
            </w:r>
          </w:p>
        </w:tc>
        <w:tc>
          <w:tcPr>
            <w:tcW w:w="2890" w:type="dxa"/>
            <w:tcBorders>
              <w:bottom w:val="single" w:sz="8" w:space="0" w:color="66CCFF"/>
            </w:tcBorders>
            <w:tcMar>
              <w:top w:w="0" w:type="dxa"/>
              <w:left w:w="0" w:type="dxa"/>
              <w:bottom w:w="28" w:type="dxa"/>
              <w:right w:w="0" w:type="dxa"/>
            </w:tcMar>
            <w:vAlign w:val="center"/>
          </w:tcPr>
          <w:p>
            <w:pPr>
              <w:pStyle w:val="TableContents"/>
              <w:bidi w:val="0"/>
              <w:spacing w:before="0" w:after="283"/>
              <w:jc w:val="left"/>
              <w:rPr/>
            </w:pPr>
            <w:r>
              <w:rPr/>
              <w:t> </w:t>
            </w:r>
          </w:p>
        </w:tc>
        <w:tc>
          <w:tcPr>
            <w:tcW w:w="993" w:type="dxa"/>
            <w:tcBorders>
              <w:bottom w:val="single" w:sz="8" w:space="0" w:color="66CCFF"/>
            </w:tcBorders>
            <w:tcMar>
              <w:top w:w="0" w:type="dxa"/>
              <w:left w:w="0" w:type="dxa"/>
              <w:bottom w:w="28" w:type="dxa"/>
              <w:right w:w="0" w:type="dxa"/>
            </w:tcMar>
            <w:vAlign w:val="center"/>
          </w:tcPr>
          <w:p>
            <w:pPr>
              <w:pStyle w:val="TableContents"/>
              <w:bidi w:val="0"/>
              <w:spacing w:before="0" w:after="283"/>
              <w:jc w:val="left"/>
              <w:rPr/>
            </w:pPr>
            <w:r>
              <w:rPr/>
              <w:t> </w:t>
            </w:r>
          </w:p>
        </w:tc>
        <w:tc>
          <w:tcPr>
            <w:tcW w:w="2837" w:type="dxa"/>
            <w:tcBorders>
              <w:bottom w:val="single" w:sz="8" w:space="0" w:color="66CCFF"/>
            </w:tcBorders>
            <w:tcMar>
              <w:top w:w="0" w:type="dxa"/>
              <w:left w:w="0" w:type="dxa"/>
              <w:bottom w:w="28" w:type="dxa"/>
              <w:right w:w="0" w:type="dxa"/>
            </w:tcMar>
            <w:vAlign w:val="center"/>
          </w:tcPr>
          <w:p>
            <w:pPr>
              <w:pStyle w:val="TableContents"/>
              <w:bidi w:val="0"/>
              <w:spacing w:before="0" w:after="283"/>
              <w:jc w:val="left"/>
              <w:rPr/>
            </w:pPr>
            <w:r>
              <w:rPr/>
              <w:t> </w:t>
            </w:r>
          </w:p>
        </w:tc>
        <w:tc>
          <w:tcPr>
            <w:tcW w:w="3039" w:type="dxa"/>
            <w:tcBorders>
              <w:bottom w:val="single" w:sz="8" w:space="0" w:color="66CCFF"/>
            </w:tcBorders>
            <w:tcMar>
              <w:top w:w="0" w:type="dxa"/>
              <w:left w:w="0" w:type="dxa"/>
              <w:bottom w:w="28" w:type="dxa"/>
              <w:right w:w="0" w:type="dxa"/>
            </w:tcMar>
            <w:vAlign w:val="center"/>
          </w:tcPr>
          <w:p>
            <w:pPr>
              <w:pStyle w:val="TableContents"/>
              <w:bidi w:val="0"/>
              <w:spacing w:before="0" w:after="283"/>
              <w:jc w:val="left"/>
              <w:rPr/>
            </w:pPr>
            <w:r>
              <w:rPr/>
              <w:t> </w:t>
            </w:r>
          </w:p>
        </w:tc>
        <w:tc>
          <w:tcPr>
            <w:tcW w:w="225" w:type="dxa"/>
            <w:tcBorders>
              <w:bottom w:val="single" w:sz="8" w:space="0" w:color="66CCFF"/>
              <w:right w:val="single" w:sz="8" w:space="0" w:color="66CCFF"/>
            </w:tcBorders>
            <w:tcMar>
              <w:top w:w="0" w:type="dxa"/>
              <w:left w:w="0" w:type="dxa"/>
              <w:bottom w:w="28"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270" w:type="dxa"/>
        <w:jc w:val="left"/>
        <w:tblInd w:w="0" w:type="dxa"/>
        <w:tblLayout w:type="fixed"/>
        <w:tblCellMar>
          <w:top w:w="0" w:type="dxa"/>
          <w:left w:w="0" w:type="dxa"/>
          <w:bottom w:w="0" w:type="dxa"/>
          <w:right w:w="0" w:type="dxa"/>
        </w:tblCellMar>
      </w:tblPr>
      <w:tblGrid>
        <w:gridCol w:w="1490"/>
        <w:gridCol w:w="125"/>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125"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5</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caps w:val="false"/>
          <w:smallCaps w:val="false"/>
          <w:color w:val="FF0000"/>
          <w:bdr w:val="single" w:sz="8" w:space="1" w:color="66CCFF"/>
        </w:rPr>
      </w:pPr>
      <w:r>
        <w:rPr>
          <w:caps w:val="false"/>
          <w:smallCaps w:val="false"/>
          <w:color w:val="FF0000"/>
          <w:bdr w:val="single" w:sz="8" w:space="1" w:color="66CCFF"/>
        </w:rPr>
        <w:t> </w:t>
      </w:r>
    </w:p>
    <w:p>
      <w:pPr>
        <w:pStyle w:val="TextBody"/>
        <w:bidi w:val="0"/>
        <w:spacing w:before="0" w:after="0"/>
        <w:ind w:left="0" w:right="0" w:hanging="0"/>
        <w:jc w:val="left"/>
        <w:rPr>
          <w:rFonts w:ascii="Arial;Helvetica;Sans-Serif" w:hAnsi="Arial;Helvetica;Sans-Serif"/>
          <w:b/>
          <w:i w:val="false"/>
          <w:caps w:val="false"/>
          <w:smallCaps w:val="false"/>
          <w:color w:val="65C8F2"/>
          <w:sz w:val="22"/>
          <w:bdr w:val="single" w:sz="8" w:space="1" w:color="66CCFF"/>
        </w:rPr>
      </w:pPr>
      <w:r>
        <w:rPr>
          <w:rFonts w:ascii="Arial;Helvetica;Sans-Serif" w:hAnsi="Arial;Helvetica;Sans-Serif"/>
          <w:b/>
          <w:i w:val="false"/>
          <w:caps w:val="false"/>
          <w:smallCaps w:val="false"/>
          <w:color w:val="65C8F2"/>
          <w:sz w:val="22"/>
          <w:bdr w:val="single" w:sz="8" w:space="1" w:color="66CCFF"/>
        </w:rPr>
        <w:t>What do I do if I wish to attend the meeting?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66CCFF"/>
        </w:rPr>
      </w:pPr>
      <w:r>
        <w:rPr>
          <w:rFonts w:ascii="Arial;Helvetica;Sans-Serif" w:hAnsi="Arial;Helvetica;Sans-Serif"/>
          <w:b w:val="false"/>
          <w:i w:val="false"/>
          <w:caps w:val="false"/>
          <w:smallCaps w:val="false"/>
          <w:sz w:val="18"/>
          <w:bdr w:val="single" w:sz="8" w:space="1" w:color="66CCFF"/>
        </w:rPr>
        <w:t>It is very important that you follow the Check-in Procedure below to attend the Annual Meeting. You will not be allowed access without the proper credentials.</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rFonts w:ascii="Arial;Helvetica;Sans-Serif" w:hAnsi="Arial;Helvetica;Sans-Serif"/>
          <w:b/>
          <w:i/>
          <w:caps w:val="false"/>
          <w:smallCaps w:val="false"/>
          <w:color w:val="0062AF"/>
          <w:sz w:val="20"/>
          <w:bdr w:val="single" w:sz="8" w:space="1" w:color="66CCFF"/>
        </w:rPr>
      </w:pPr>
      <w:r>
        <w:rPr>
          <w:rFonts w:ascii="Arial;Helvetica;Sans-Serif" w:hAnsi="Arial;Helvetica;Sans-Serif"/>
          <w:b/>
          <w:i/>
          <w:caps w:val="false"/>
          <w:smallCaps w:val="false"/>
          <w:color w:val="0062AF"/>
          <w:sz w:val="20"/>
          <w:bdr w:val="single" w:sz="8" w:space="1" w:color="66CCFF"/>
        </w:rPr>
        <w:t>Check-in Procedure for Attending the Annual Meeting </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66CCFF"/>
        </w:rPr>
      </w:pPr>
      <w:r>
        <w:rPr>
          <w:rFonts w:ascii="Arial;Helvetica;Sans-Serif" w:hAnsi="Arial;Helvetica;Sans-Serif"/>
          <w:b w:val="false"/>
          <w:i w:val="false"/>
          <w:caps w:val="false"/>
          <w:smallCaps w:val="false"/>
          <w:sz w:val="18"/>
          <w:bdr w:val="single" w:sz="8" w:space="1" w:color="66CCFF"/>
        </w:rPr>
        <w:t>Stockholders of Record. The documents that you need to provide to be admitted to the Annual Meeting depend on whether you are a stockholder of record or represent a stockholder of record.</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Arial;Helvetica;Sans-Serif" w:hAnsi="Arial;Helvetica;Sans-Serif"/>
                <w:i/>
                <w:sz w:val="18"/>
              </w:rPr>
              <w:t xml:space="preserve">Individuals: </w:t>
            </w:r>
            <w:r>
              <w:rPr>
                <w:sz w:val="18"/>
              </w:rPr>
              <w:t>If you are a stockholder of record holding shares in your own name, you must bring to the Annual Meeting a form of government-issued photo identification (e.g., a driver’s license or passport). Trustees who are individuals and named as stockholders of record are in this category.</w:t>
            </w:r>
          </w:p>
        </w:tc>
      </w:tr>
    </w:tbl>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Arial;Helvetica;Sans-Serif" w:hAnsi="Arial;Helvetica;Sans-Serif"/>
                <w:i/>
                <w:sz w:val="18"/>
              </w:rPr>
              <w:t>Individuals Representing a Stockholder of Record:</w:t>
            </w:r>
            <w:r>
              <w:rPr/>
              <w:t xml:space="preserve"> </w:t>
            </w:r>
            <w:r>
              <w:rPr>
                <w:sz w:val="18"/>
              </w:rPr>
              <w:t>If you attend on behalf of a stockholder of record, whether such stockholder is an individual, corporation, trust or partnership, you must bring to the Annual Meeting:</w:t>
            </w:r>
          </w:p>
        </w:tc>
      </w:tr>
    </w:tbl>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tbl>
      <w:tblPr>
        <w:tblW w:w="6753" w:type="dxa"/>
        <w:jc w:val="left"/>
        <w:tblInd w:w="0" w:type="dxa"/>
        <w:tblLayout w:type="fixed"/>
        <w:tblCellMar>
          <w:top w:w="0" w:type="dxa"/>
          <w:left w:w="0" w:type="dxa"/>
          <w:bottom w:w="0" w:type="dxa"/>
          <w:right w:w="0" w:type="dxa"/>
        </w:tblCellMar>
      </w:tblPr>
      <w:tblGrid>
        <w:gridCol w:w="38"/>
        <w:gridCol w:w="17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left"/>
              <w:rPr>
                <w:sz w:val="18"/>
              </w:rPr>
            </w:pPr>
            <w:r>
              <w:rPr>
                <w:sz w:val="18"/>
              </w:rPr>
              <w:t>a form of government-issued photo identification (e.g., a driver’s license or passport); AND</w:t>
            </w:r>
          </w:p>
        </w:tc>
      </w:tr>
    </w:tbl>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tbl>
      <w:tblPr>
        <w:tblW w:w="678" w:type="dxa"/>
        <w:jc w:val="left"/>
        <w:tblInd w:w="0" w:type="dxa"/>
        <w:tblLayout w:type="fixed"/>
        <w:tblCellMar>
          <w:top w:w="0" w:type="dxa"/>
          <w:left w:w="0" w:type="dxa"/>
          <w:bottom w:w="0" w:type="dxa"/>
          <w:right w:w="0" w:type="dxa"/>
        </w:tblCellMar>
      </w:tblPr>
      <w:tblGrid>
        <w:gridCol w:w="38"/>
        <w:gridCol w:w="170"/>
        <w:gridCol w:w="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jc w:val="left"/>
              <w:rPr>
                <w:sz w:val="18"/>
              </w:rPr>
            </w:pPr>
            <w:r>
              <w:rPr>
                <w:sz w:val="18"/>
              </w:rPr>
              <w:t>either:</w:t>
            </w:r>
          </w:p>
        </w:tc>
      </w:tr>
    </w:tbl>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tbl>
      <w:tblPr>
        <w:tblW w:w="8883" w:type="dxa"/>
        <w:jc w:val="left"/>
        <w:tblInd w:w="0" w:type="dxa"/>
        <w:tblLayout w:type="fixed"/>
        <w:tblCellMar>
          <w:top w:w="0" w:type="dxa"/>
          <w:left w:w="0" w:type="dxa"/>
          <w:bottom w:w="0" w:type="dxa"/>
          <w:right w:w="0" w:type="dxa"/>
        </w:tblCellMar>
      </w:tblPr>
      <w:tblGrid>
        <w:gridCol w:w="38"/>
        <w:gridCol w:w="170"/>
        <w:gridCol w:w="86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75" w:type="dxa"/>
            <w:tcBorders/>
            <w:vAlign w:val="center"/>
          </w:tcPr>
          <w:p>
            <w:pPr>
              <w:pStyle w:val="TableContents"/>
              <w:bidi w:val="0"/>
              <w:spacing w:before="0" w:after="283"/>
              <w:jc w:val="left"/>
              <w:rPr>
                <w:sz w:val="18"/>
              </w:rPr>
            </w:pPr>
            <w:r>
              <w:rPr>
                <w:sz w:val="18"/>
              </w:rPr>
              <w:t>a letter from the stockholder of record that you represent authorizing you to attend the Annual Meeting on their behalf; OR</w:t>
            </w:r>
          </w:p>
        </w:tc>
      </w:tr>
    </w:tbl>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18"/>
              </w:rPr>
            </w:pPr>
            <w:r>
              <w:rPr>
                <w:sz w:val="18"/>
              </w:rPr>
              <w:t>a duly executed proxy card from the stockholder of record appointing you as proxy, which must be received as set forth in this proxy statement by 11:59 p.m., Pacific Time, on March 24, 2026.</w:t>
            </w:r>
          </w:p>
        </w:tc>
      </w:tr>
    </w:tbl>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rFonts w:ascii="Arial;Helvetica;Sans-Serif" w:hAnsi="Arial;Helvetica;Sans-Serif"/>
          <w:b w:val="false"/>
          <w:i w:val="false"/>
          <w:caps w:val="false"/>
          <w:smallCaps w:val="false"/>
          <w:sz w:val="20"/>
          <w:bdr w:val="single" w:sz="8" w:space="1" w:color="66CCFF"/>
        </w:rPr>
      </w:pPr>
      <w:r>
        <w:rPr>
          <w:rFonts w:ascii="Arial;Helvetica;Sans-Serif" w:hAnsi="Arial;Helvetica;Sans-Serif"/>
          <w:b/>
          <w:i w:val="false"/>
          <w:caps w:val="false"/>
          <w:smallCaps w:val="false"/>
          <w:sz w:val="18"/>
          <w:bdr w:val="single" w:sz="8" w:space="1" w:color="66CCFF"/>
        </w:rPr>
        <w:t xml:space="preserve">Beneficial Owners. </w:t>
      </w:r>
      <w:r>
        <w:rPr>
          <w:rFonts w:ascii="Arial;Helvetica;Sans-Serif" w:hAnsi="Arial;Helvetica;Sans-Serif"/>
          <w:b w:val="false"/>
          <w:i w:val="false"/>
          <w:caps w:val="false"/>
          <w:smallCaps w:val="false"/>
          <w:sz w:val="18"/>
          <w:bdr w:val="single" w:sz="8" w:space="1" w:color="66CCFF"/>
        </w:rPr>
        <w:t>If your shares are held by a bank or broker (often referred to as holding in “street name”),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However, because you are not the stockholder of record, you may not vote your shares in person at the meeting unless you request and obtain a valid proxy from your broker, bank or other agent, and present the valid legal proxy to the inspector of elections at the meeting. If you decide to attend, you should go to the “Beneficial Owners” check-in area at the Annual Meeting. The documents that you need to provide to be admitted to the Annual Meeting depend on whether you are a beneficial owner or represent a beneficial owner.</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tbl>
      <w:tblPr>
        <w:tblW w:w="6093" w:type="dxa"/>
        <w:jc w:val="left"/>
        <w:tblInd w:w="0" w:type="dxa"/>
        <w:tblLayout w:type="fixed"/>
        <w:tblCellMar>
          <w:top w:w="0" w:type="dxa"/>
          <w:left w:w="0" w:type="dxa"/>
          <w:bottom w:w="0" w:type="dxa"/>
          <w:right w:w="0" w:type="dxa"/>
        </w:tblCellMar>
      </w:tblPr>
      <w:tblGrid>
        <w:gridCol w:w="38"/>
        <w:gridCol w:w="170"/>
        <w:gridCol w:w="5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85" w:type="dxa"/>
            <w:tcBorders/>
            <w:vAlign w:val="center"/>
          </w:tcPr>
          <w:p>
            <w:pPr>
              <w:pStyle w:val="TableContents"/>
              <w:bidi w:val="0"/>
              <w:spacing w:before="0" w:after="283"/>
              <w:jc w:val="left"/>
              <w:rPr/>
            </w:pPr>
            <w:r>
              <w:rPr>
                <w:rFonts w:ascii="Arial;Helvetica;Sans-Serif" w:hAnsi="Arial;Helvetica;Sans-Serif"/>
                <w:i/>
                <w:sz w:val="18"/>
              </w:rPr>
              <w:t xml:space="preserve">Individuals. </w:t>
            </w:r>
            <w:r>
              <w:rPr>
                <w:sz w:val="18"/>
              </w:rPr>
              <w:t>If you are a beneficial owner, you must bring to the Annual Meeting:</w:t>
            </w:r>
          </w:p>
        </w:tc>
      </w:tr>
    </w:tbl>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tbl>
      <w:tblPr>
        <w:tblW w:w="6753" w:type="dxa"/>
        <w:jc w:val="left"/>
        <w:tblInd w:w="0" w:type="dxa"/>
        <w:tblLayout w:type="fixed"/>
        <w:tblCellMar>
          <w:top w:w="0" w:type="dxa"/>
          <w:left w:w="0" w:type="dxa"/>
          <w:bottom w:w="0" w:type="dxa"/>
          <w:right w:w="0" w:type="dxa"/>
        </w:tblCellMar>
      </w:tblPr>
      <w:tblGrid>
        <w:gridCol w:w="38"/>
        <w:gridCol w:w="17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left"/>
              <w:rPr>
                <w:sz w:val="18"/>
              </w:rPr>
            </w:pPr>
            <w:r>
              <w:rPr>
                <w:sz w:val="18"/>
              </w:rPr>
              <w:t>a form of government-issued photo identification (e.g., a driver’s license or passport); AND</w:t>
            </w:r>
          </w:p>
        </w:tc>
      </w:tr>
    </w:tbl>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tbl>
      <w:tblPr>
        <w:tblW w:w="678" w:type="dxa"/>
        <w:jc w:val="left"/>
        <w:tblInd w:w="0" w:type="dxa"/>
        <w:tblLayout w:type="fixed"/>
        <w:tblCellMar>
          <w:top w:w="0" w:type="dxa"/>
          <w:left w:w="0" w:type="dxa"/>
          <w:bottom w:w="0" w:type="dxa"/>
          <w:right w:w="0" w:type="dxa"/>
        </w:tblCellMar>
      </w:tblPr>
      <w:tblGrid>
        <w:gridCol w:w="38"/>
        <w:gridCol w:w="170"/>
        <w:gridCol w:w="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0" w:type="dxa"/>
            <w:tcBorders/>
            <w:vAlign w:val="center"/>
          </w:tcPr>
          <w:p>
            <w:pPr>
              <w:pStyle w:val="TableContents"/>
              <w:bidi w:val="0"/>
              <w:spacing w:before="0" w:after="283"/>
              <w:jc w:val="left"/>
              <w:rPr>
                <w:sz w:val="18"/>
              </w:rPr>
            </w:pPr>
            <w:r>
              <w:rPr>
                <w:sz w:val="18"/>
              </w:rPr>
              <w:t>either:</w:t>
            </w:r>
          </w:p>
        </w:tc>
      </w:tr>
    </w:tbl>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tbl>
      <w:tblPr>
        <w:tblW w:w="4623" w:type="dxa"/>
        <w:jc w:val="left"/>
        <w:tblInd w:w="0" w:type="dxa"/>
        <w:tblLayout w:type="fixed"/>
        <w:tblCellMar>
          <w:top w:w="0" w:type="dxa"/>
          <w:left w:w="0" w:type="dxa"/>
          <w:bottom w:w="0" w:type="dxa"/>
          <w:right w:w="0" w:type="dxa"/>
        </w:tblCellMar>
      </w:tblPr>
      <w:tblGrid>
        <w:gridCol w:w="38"/>
        <w:gridCol w:w="17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left"/>
              <w:rPr>
                <w:sz w:val="18"/>
              </w:rPr>
            </w:pPr>
            <w:r>
              <w:rPr>
                <w:sz w:val="18"/>
              </w:rPr>
              <w:t>a legal proxy that you obtained from your bank or broker; OR</w:t>
            </w:r>
          </w:p>
        </w:tc>
      </w:tr>
    </w:tbl>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tbl>
      <w:tblPr>
        <w:tblW w:w="9858" w:type="dxa"/>
        <w:jc w:val="left"/>
        <w:tblInd w:w="0" w:type="dxa"/>
        <w:tblLayout w:type="fixed"/>
        <w:tblCellMar>
          <w:top w:w="0" w:type="dxa"/>
          <w:left w:w="0" w:type="dxa"/>
          <w:bottom w:w="0" w:type="dxa"/>
          <w:right w:w="0" w:type="dxa"/>
        </w:tblCellMar>
      </w:tblPr>
      <w:tblGrid>
        <w:gridCol w:w="38"/>
        <w:gridCol w:w="170"/>
        <w:gridCol w:w="9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left"/>
              <w:rPr>
                <w:sz w:val="18"/>
              </w:rPr>
            </w:pPr>
            <w:r>
              <w:rPr>
                <w:sz w:val="18"/>
              </w:rPr>
              <w:t>your most recent brokerage account statement or a recent letter from your bank or broker showing that you own shares of the Company.</w:t>
            </w:r>
          </w:p>
        </w:tc>
      </w:tr>
    </w:tbl>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tbl>
      <w:tblPr>
        <w:tblW w:w="9963" w:type="dxa"/>
        <w:jc w:val="left"/>
        <w:tblInd w:w="0" w:type="dxa"/>
        <w:tblLayout w:type="fixed"/>
        <w:tblCellMar>
          <w:top w:w="0" w:type="dxa"/>
          <w:left w:w="0" w:type="dxa"/>
          <w:bottom w:w="0" w:type="dxa"/>
          <w:right w:w="0" w:type="dxa"/>
        </w:tblCellMar>
      </w:tblPr>
      <w:tblGrid>
        <w:gridCol w:w="38"/>
        <w:gridCol w:w="170"/>
        <w:gridCol w:w="9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755" w:type="dxa"/>
            <w:tcBorders/>
            <w:vAlign w:val="center"/>
          </w:tcPr>
          <w:p>
            <w:pPr>
              <w:pStyle w:val="TableContents"/>
              <w:bidi w:val="0"/>
              <w:spacing w:before="0" w:after="283"/>
              <w:jc w:val="left"/>
              <w:rPr/>
            </w:pPr>
            <w:r>
              <w:rPr>
                <w:rFonts w:ascii="Arial;Helvetica;Sans-Serif" w:hAnsi="Arial;Helvetica;Sans-Serif"/>
                <w:i/>
                <w:sz w:val="18"/>
              </w:rPr>
              <w:t>Individuals Representing a Beneficial Owner.</w:t>
            </w:r>
            <w:r>
              <w:rPr/>
              <w:t xml:space="preserve"> </w:t>
            </w:r>
            <w:r>
              <w:rPr>
                <w:sz w:val="18"/>
              </w:rPr>
              <w:t>If you attend on behalf of a beneficial owner, you must bring to the Annual Meeting:</w:t>
            </w:r>
          </w:p>
        </w:tc>
      </w:tr>
    </w:tbl>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tbl>
      <w:tblPr>
        <w:tblW w:w="6753" w:type="dxa"/>
        <w:jc w:val="left"/>
        <w:tblInd w:w="0" w:type="dxa"/>
        <w:tblLayout w:type="fixed"/>
        <w:tblCellMar>
          <w:top w:w="0" w:type="dxa"/>
          <w:left w:w="0" w:type="dxa"/>
          <w:bottom w:w="0" w:type="dxa"/>
          <w:right w:w="0" w:type="dxa"/>
        </w:tblCellMar>
      </w:tblPr>
      <w:tblGrid>
        <w:gridCol w:w="38"/>
        <w:gridCol w:w="17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left"/>
              <w:rPr>
                <w:sz w:val="18"/>
              </w:rPr>
            </w:pPr>
            <w:r>
              <w:rPr>
                <w:sz w:val="18"/>
              </w:rPr>
              <w:t>a form of government-issued photo identification (e.g., a driver’s license or passport); AND</w:t>
            </w:r>
          </w:p>
        </w:tc>
      </w:tr>
    </w:tbl>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tbl>
      <w:tblPr>
        <w:tblW w:w="8478" w:type="dxa"/>
        <w:jc w:val="left"/>
        <w:tblInd w:w="0" w:type="dxa"/>
        <w:tblLayout w:type="fixed"/>
        <w:tblCellMar>
          <w:top w:w="0" w:type="dxa"/>
          <w:left w:w="0" w:type="dxa"/>
          <w:bottom w:w="0" w:type="dxa"/>
          <w:right w:w="0" w:type="dxa"/>
        </w:tblCellMar>
      </w:tblPr>
      <w:tblGrid>
        <w:gridCol w:w="38"/>
        <w:gridCol w:w="170"/>
        <w:gridCol w:w="82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270" w:type="dxa"/>
            <w:tcBorders/>
            <w:vAlign w:val="center"/>
          </w:tcPr>
          <w:p>
            <w:pPr>
              <w:pStyle w:val="TableContents"/>
              <w:bidi w:val="0"/>
              <w:spacing w:before="0" w:after="283"/>
              <w:jc w:val="left"/>
              <w:rPr>
                <w:sz w:val="18"/>
              </w:rPr>
            </w:pPr>
            <w:r>
              <w:rPr>
                <w:sz w:val="18"/>
              </w:rPr>
              <w:t>a letter from the beneficial owner authorizing you to represent such beneficial owner’s shares at the Annual Meeting.</w:t>
            </w:r>
          </w:p>
        </w:tc>
      </w:tr>
    </w:tbl>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caps w:val="false"/>
          <w:smallCaps w:val="false"/>
        </w:rPr>
      </w:pPr>
      <w:r>
        <w:rPr>
          <w:caps w:val="false"/>
          <w:smallCaps w:val="false"/>
        </w:rPr>
        <w:t> </w:t>
      </w:r>
    </w:p>
    <w:tbl>
      <w:tblPr>
        <w:tblW w:w="3270" w:type="dxa"/>
        <w:jc w:val="left"/>
        <w:tblInd w:w="0" w:type="dxa"/>
        <w:tblLayout w:type="fixed"/>
        <w:tblCellMar>
          <w:top w:w="0" w:type="dxa"/>
          <w:left w:w="0" w:type="dxa"/>
          <w:bottom w:w="0" w:type="dxa"/>
          <w:right w:w="0" w:type="dxa"/>
        </w:tblCellMar>
      </w:tblPr>
      <w:tblGrid>
        <w:gridCol w:w="1490"/>
        <w:gridCol w:w="125"/>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125"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6</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caps w:val="false"/>
          <w:smallCaps w:val="false"/>
          <w:color w:val="FF0000"/>
          <w:bdr w:val="single" w:sz="8" w:space="1" w:color="66CCFF"/>
        </w:rPr>
      </w:pPr>
      <w:r>
        <w:rPr>
          <w:caps w:val="false"/>
          <w:smallCaps w:val="false"/>
          <w:color w:val="FF0000"/>
          <w:bdr w:val="single" w:sz="8" w:space="1" w:color="66CCFF"/>
        </w:rPr>
        <w:t> </w:t>
      </w:r>
    </w:p>
    <w:p>
      <w:pPr>
        <w:pStyle w:val="TextBody"/>
        <w:bidi w:val="0"/>
        <w:spacing w:before="0" w:after="0"/>
        <w:ind w:left="0" w:right="0" w:hanging="0"/>
        <w:jc w:val="left"/>
        <w:rPr>
          <w:rFonts w:ascii="Arial;Helvetica;Sans-Serif" w:hAnsi="Arial;Helvetica;Sans-Serif"/>
          <w:b/>
          <w:i w:val="false"/>
          <w:caps w:val="false"/>
          <w:smallCaps w:val="false"/>
          <w:color w:val="65C8F2"/>
          <w:sz w:val="20"/>
          <w:bdr w:val="single" w:sz="8" w:space="1" w:color="66CCFF"/>
        </w:rPr>
      </w:pPr>
      <w:r>
        <w:rPr>
          <w:rFonts w:ascii="Arial;Helvetica;Sans-Serif" w:hAnsi="Arial;Helvetica;Sans-Serif"/>
          <w:b/>
          <w:i w:val="false"/>
          <w:caps w:val="false"/>
          <w:smallCaps w:val="false"/>
          <w:color w:val="65C8F2"/>
          <w:sz w:val="22"/>
          <w:bdr w:val="single" w:sz="8" w:space="1" w:color="66CCFF"/>
        </w:rPr>
        <w:t>If I am a stockholder of record of Voting Stock, how do I vote?</w:t>
      </w:r>
      <w:r>
        <w:rPr>
          <w:rFonts w:ascii="Arial;Helvetica;Sans-Serif" w:hAnsi="Arial;Helvetica;Sans-Serif"/>
          <w:b/>
          <w:i w:val="false"/>
          <w:caps w:val="false"/>
          <w:smallCaps w:val="false"/>
          <w:color w:val="65C8F2"/>
          <w:sz w:val="20"/>
          <w:bdr w:val="single" w:sz="8" w:space="1" w:color="66CCFF"/>
        </w:rPr>
        <w:t> </w:t>
      </w:r>
    </w:p>
    <w:tbl>
      <w:tblPr>
        <w:tblW w:w="10205" w:type="dxa"/>
        <w:jc w:val="left"/>
        <w:tblInd w:w="0" w:type="dxa"/>
        <w:tblLayout w:type="fixed"/>
        <w:tblCellMar>
          <w:top w:w="40" w:type="dxa"/>
          <w:left w:w="0" w:type="dxa"/>
          <w:bottom w:w="40" w:type="dxa"/>
          <w:right w:w="0" w:type="dxa"/>
        </w:tblCellMar>
      </w:tblPr>
      <w:tblGrid>
        <w:gridCol w:w="38"/>
        <w:gridCol w:w="780"/>
        <w:gridCol w:w="9387"/>
      </w:tblGrid>
      <w:tr>
        <w:trPr/>
        <w:tc>
          <w:tcPr>
            <w:tcW w:w="38" w:type="dxa"/>
            <w:tcBorders>
              <w:top w:val="single" w:sz="8" w:space="0" w:color="EEF8FD"/>
              <w:bottom w:val="single" w:sz="8" w:space="0" w:color="EEF8FD"/>
            </w:tcBorders>
            <w:vAlign w:val="center"/>
          </w:tcPr>
          <w:p>
            <w:pPr>
              <w:pStyle w:val="TableContents"/>
              <w:bidi w:val="0"/>
              <w:spacing w:before="0" w:after="283"/>
              <w:jc w:val="left"/>
              <w:rPr>
                <w:sz w:val="4"/>
                <w:szCs w:val="4"/>
              </w:rPr>
            </w:pPr>
            <w:r>
              <w:rPr>
                <w:sz w:val="4"/>
                <w:szCs w:val="4"/>
              </w:rPr>
            </w:r>
          </w:p>
        </w:tc>
        <w:tc>
          <w:tcPr>
            <w:tcW w:w="780" w:type="dxa"/>
            <w:tcBorders>
              <w:top w:val="single" w:sz="8" w:space="0" w:color="EEF8FD"/>
              <w:bottom w:val="single" w:sz="8" w:space="0" w:color="EEF8FD"/>
            </w:tcBorders>
            <w:vAlign w:val="center"/>
          </w:tcPr>
          <w:p>
            <w:pPr>
              <w:pStyle w:val="TableContents"/>
              <w:bidi w:val="0"/>
              <w:spacing w:before="0" w:after="283"/>
              <w:jc w:val="center"/>
              <w:rPr/>
            </w:pPr>
            <w:r>
              <w:rPr/>
              <w:drawing>
                <wp:inline distT="0" distB="0" distL="0" distR="0">
                  <wp:extent cx="495300" cy="4953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95300" cy="495300"/>
                          </a:xfrm>
                          <a:prstGeom prst="rect">
                            <a:avLst/>
                          </a:prstGeom>
                        </pic:spPr>
                      </pic:pic>
                    </a:graphicData>
                  </a:graphic>
                </wp:inline>
              </w:drawing>
            </w:r>
          </w:p>
        </w:tc>
        <w:tc>
          <w:tcPr>
            <w:tcW w:w="9387" w:type="dxa"/>
            <w:tcBorders>
              <w:top w:val="single" w:sz="8" w:space="0" w:color="EEF8FD"/>
              <w:bottom w:val="single" w:sz="8" w:space="0" w:color="EEF8FD"/>
            </w:tcBorders>
            <w:vAlign w:val="center"/>
          </w:tcPr>
          <w:p>
            <w:pPr>
              <w:pStyle w:val="TableContents"/>
              <w:bidi w:val="0"/>
              <w:spacing w:before="0" w:after="283"/>
              <w:jc w:val="left"/>
              <w:rPr/>
            </w:pPr>
            <w:r>
              <w:rPr>
                <w:rFonts w:ascii="Arial;Helvetica;Sans-Serif" w:hAnsi="Arial;Helvetica;Sans-Serif"/>
                <w:b/>
                <w:sz w:val="18"/>
                <w:u w:val="single"/>
              </w:rPr>
              <w:t xml:space="preserve">By Telephone: </w:t>
            </w:r>
            <w:r>
              <w:rPr>
                <w:sz w:val="18"/>
              </w:rPr>
              <w:t>Call 1-800-652-VOTE (8683). You can use any touch-tone telephone to transmit your voting instructions up until voting is announced to be closed during the Annual Meeting. You need to have your proxy card in hand when you call and follow the instructions.</w:t>
            </w:r>
          </w:p>
        </w:tc>
      </w:tr>
    </w:tbl>
    <w:tbl>
      <w:tblPr>
        <w:tblW w:w="10205" w:type="dxa"/>
        <w:jc w:val="left"/>
        <w:tblInd w:w="0" w:type="dxa"/>
        <w:tblLayout w:type="fixed"/>
        <w:tblCellMar>
          <w:top w:w="0" w:type="dxa"/>
          <w:left w:w="0" w:type="dxa"/>
          <w:bottom w:w="40" w:type="dxa"/>
          <w:right w:w="0" w:type="dxa"/>
        </w:tblCellMar>
      </w:tblPr>
      <w:tblGrid>
        <w:gridCol w:w="38"/>
        <w:gridCol w:w="900"/>
        <w:gridCol w:w="9267"/>
      </w:tblGrid>
      <w:tr>
        <w:trPr/>
        <w:tc>
          <w:tcPr>
            <w:tcW w:w="38" w:type="dxa"/>
            <w:tcBorders>
              <w:bottom w:val="single" w:sz="8" w:space="0" w:color="EEF8FD"/>
            </w:tcBorders>
            <w:vAlign w:val="center"/>
          </w:tcPr>
          <w:p>
            <w:pPr>
              <w:pStyle w:val="TableContents"/>
              <w:bidi w:val="0"/>
              <w:spacing w:before="0" w:after="283"/>
              <w:jc w:val="left"/>
              <w:rPr>
                <w:sz w:val="4"/>
                <w:szCs w:val="4"/>
              </w:rPr>
            </w:pPr>
            <w:r>
              <w:rPr>
                <w:sz w:val="4"/>
                <w:szCs w:val="4"/>
              </w:rPr>
            </w:r>
          </w:p>
        </w:tc>
        <w:tc>
          <w:tcPr>
            <w:tcW w:w="900" w:type="dxa"/>
            <w:tcBorders>
              <w:bottom w:val="single" w:sz="8" w:space="0" w:color="EEF8FD"/>
            </w:tcBorders>
            <w:vAlign w:val="center"/>
          </w:tcPr>
          <w:p>
            <w:pPr>
              <w:pStyle w:val="TableContents"/>
              <w:bidi w:val="0"/>
              <w:spacing w:before="0" w:after="283"/>
              <w:jc w:val="center"/>
              <w:rPr/>
            </w:pPr>
            <w:r>
              <w:rPr/>
              <w:drawing>
                <wp:inline distT="0" distB="0" distL="0" distR="0">
                  <wp:extent cx="571500" cy="4953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1500" cy="495300"/>
                          </a:xfrm>
                          <a:prstGeom prst="rect">
                            <a:avLst/>
                          </a:prstGeom>
                        </pic:spPr>
                      </pic:pic>
                    </a:graphicData>
                  </a:graphic>
                </wp:inline>
              </w:drawing>
            </w:r>
          </w:p>
        </w:tc>
        <w:tc>
          <w:tcPr>
            <w:tcW w:w="9267" w:type="dxa"/>
            <w:tcBorders>
              <w:bottom w:val="single" w:sz="8" w:space="0" w:color="EEF8FD"/>
            </w:tcBorders>
            <w:vAlign w:val="center"/>
          </w:tcPr>
          <w:p>
            <w:pPr>
              <w:pStyle w:val="TableContents"/>
              <w:bidi w:val="0"/>
              <w:spacing w:before="0" w:after="283"/>
              <w:jc w:val="left"/>
              <w:rPr/>
            </w:pPr>
            <w:r>
              <w:rPr>
                <w:rFonts w:ascii="Arial;Helvetica;Sans-Serif" w:hAnsi="Arial;Helvetica;Sans-Serif"/>
                <w:b/>
                <w:sz w:val="18"/>
                <w:u w:val="single"/>
              </w:rPr>
              <w:t>Over the Internet</w:t>
            </w:r>
            <w:r>
              <w:rPr>
                <w:rFonts w:ascii="Arial;Helvetica;Sans-Serif" w:hAnsi="Arial;Helvetica;Sans-Serif"/>
                <w:b/>
                <w:sz w:val="18"/>
              </w:rPr>
              <w:t>:</w:t>
            </w:r>
            <w:r>
              <w:rPr/>
              <w:t xml:space="preserve"> </w:t>
            </w:r>
            <w:r>
              <w:rPr>
                <w:sz w:val="18"/>
              </w:rPr>
              <w:t>Go to www.investorvote.com/LMNR. You can use the Internet 24 hours a day to transmit your voting instructions until voting is announced to be closed during the Annual Meeting. You need to have your proxy card in hand when you access the website and follow the instructions.</w:t>
            </w:r>
          </w:p>
        </w:tc>
      </w:tr>
    </w:tbl>
    <w:tbl>
      <w:tblPr>
        <w:tblW w:w="10205" w:type="dxa"/>
        <w:jc w:val="left"/>
        <w:tblInd w:w="0" w:type="dxa"/>
        <w:tblLayout w:type="fixed"/>
        <w:tblCellMar>
          <w:top w:w="0" w:type="dxa"/>
          <w:left w:w="0" w:type="dxa"/>
          <w:bottom w:w="40" w:type="dxa"/>
          <w:right w:w="0" w:type="dxa"/>
        </w:tblCellMar>
      </w:tblPr>
      <w:tblGrid>
        <w:gridCol w:w="38"/>
        <w:gridCol w:w="780"/>
        <w:gridCol w:w="9387"/>
      </w:tblGrid>
      <w:tr>
        <w:trPr/>
        <w:tc>
          <w:tcPr>
            <w:tcW w:w="38" w:type="dxa"/>
            <w:tcBorders>
              <w:bottom w:val="single" w:sz="8" w:space="0" w:color="EEF8FD"/>
            </w:tcBorders>
            <w:vAlign w:val="center"/>
          </w:tcPr>
          <w:p>
            <w:pPr>
              <w:pStyle w:val="TableContents"/>
              <w:bidi w:val="0"/>
              <w:spacing w:before="0" w:after="283"/>
              <w:jc w:val="left"/>
              <w:rPr>
                <w:sz w:val="4"/>
                <w:szCs w:val="4"/>
              </w:rPr>
            </w:pPr>
            <w:r>
              <w:rPr>
                <w:sz w:val="4"/>
                <w:szCs w:val="4"/>
              </w:rPr>
            </w:r>
          </w:p>
        </w:tc>
        <w:tc>
          <w:tcPr>
            <w:tcW w:w="780" w:type="dxa"/>
            <w:tcBorders>
              <w:bottom w:val="single" w:sz="8" w:space="0" w:color="EEF8FD"/>
            </w:tcBorders>
            <w:vAlign w:val="center"/>
          </w:tcPr>
          <w:p>
            <w:pPr>
              <w:pStyle w:val="TableContents"/>
              <w:bidi w:val="0"/>
              <w:spacing w:before="0" w:after="283"/>
              <w:jc w:val="center"/>
              <w:rPr/>
            </w:pPr>
            <w:r>
              <w:rPr/>
              <w:drawing>
                <wp:inline distT="0" distB="0" distL="0" distR="0">
                  <wp:extent cx="495300" cy="4953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95300" cy="495300"/>
                          </a:xfrm>
                          <a:prstGeom prst="rect">
                            <a:avLst/>
                          </a:prstGeom>
                        </pic:spPr>
                      </pic:pic>
                    </a:graphicData>
                  </a:graphic>
                </wp:inline>
              </w:drawing>
            </w:r>
          </w:p>
        </w:tc>
        <w:tc>
          <w:tcPr>
            <w:tcW w:w="9387" w:type="dxa"/>
            <w:tcBorders>
              <w:bottom w:val="single" w:sz="8" w:space="0" w:color="EEF8FD"/>
            </w:tcBorders>
            <w:vAlign w:val="center"/>
          </w:tcPr>
          <w:p>
            <w:pPr>
              <w:pStyle w:val="TableContents"/>
              <w:bidi w:val="0"/>
              <w:spacing w:before="0" w:after="283"/>
              <w:jc w:val="left"/>
              <w:rPr/>
            </w:pPr>
            <w:r>
              <w:rPr>
                <w:rFonts w:ascii="Arial;Helvetica;Sans-Serif" w:hAnsi="Arial;Helvetica;Sans-Serif"/>
                <w:b/>
                <w:sz w:val="18"/>
                <w:u w:val="single"/>
              </w:rPr>
              <w:t>By Mail</w:t>
            </w:r>
            <w:r>
              <w:rPr>
                <w:rFonts w:ascii="Arial;Helvetica;Sans-Serif" w:hAnsi="Arial;Helvetica;Sans-Serif"/>
                <w:b/>
                <w:sz w:val="18"/>
              </w:rPr>
              <w:t>:</w:t>
            </w:r>
            <w:r>
              <w:rPr/>
              <w:t xml:space="preserve"> </w:t>
            </w:r>
            <w:r>
              <w:rPr>
                <w:sz w:val="18"/>
              </w:rPr>
              <w:t>You may submit your vote by completing, signing and dating your proxy card and returning it in the prepaid envelope to Proxy Services, C/O Computershare Investor Services, PO Box 43101, Providence, RI 02940-5067 to be received by 11:59 p.m., Pacific Time, on March 24, 2026.</w:t>
            </w:r>
          </w:p>
        </w:tc>
      </w:tr>
    </w:tbl>
    <w:tbl>
      <w:tblPr>
        <w:tblW w:w="4858" w:type="dxa"/>
        <w:jc w:val="left"/>
        <w:tblInd w:w="0" w:type="dxa"/>
        <w:tblLayout w:type="fixed"/>
        <w:tblCellMar>
          <w:top w:w="0" w:type="dxa"/>
          <w:left w:w="0" w:type="dxa"/>
          <w:bottom w:w="40" w:type="dxa"/>
          <w:right w:w="0" w:type="dxa"/>
        </w:tblCellMar>
      </w:tblPr>
      <w:tblGrid>
        <w:gridCol w:w="38"/>
        <w:gridCol w:w="825"/>
        <w:gridCol w:w="3995"/>
      </w:tblGrid>
      <w:tr>
        <w:trPr/>
        <w:tc>
          <w:tcPr>
            <w:tcW w:w="38" w:type="dxa"/>
            <w:tcBorders>
              <w:bottom w:val="single" w:sz="8" w:space="0" w:color="EEF8FD"/>
            </w:tcBorders>
            <w:vAlign w:val="center"/>
          </w:tcPr>
          <w:p>
            <w:pPr>
              <w:pStyle w:val="TableContents"/>
              <w:bidi w:val="0"/>
              <w:spacing w:before="0" w:after="283"/>
              <w:jc w:val="left"/>
              <w:rPr>
                <w:sz w:val="4"/>
                <w:szCs w:val="4"/>
              </w:rPr>
            </w:pPr>
            <w:r>
              <w:rPr>
                <w:sz w:val="4"/>
                <w:szCs w:val="4"/>
              </w:rPr>
            </w:r>
          </w:p>
        </w:tc>
        <w:tc>
          <w:tcPr>
            <w:tcW w:w="825" w:type="dxa"/>
            <w:tcBorders>
              <w:bottom w:val="single" w:sz="8" w:space="0" w:color="EEF8FD"/>
            </w:tcBorders>
            <w:vAlign w:val="center"/>
          </w:tcPr>
          <w:p>
            <w:pPr>
              <w:pStyle w:val="TableContents"/>
              <w:bidi w:val="0"/>
              <w:spacing w:before="0" w:after="283"/>
              <w:jc w:val="center"/>
              <w:rPr/>
            </w:pPr>
            <w:r>
              <w:rPr/>
              <w:drawing>
                <wp:inline distT="0" distB="0" distL="0" distR="0">
                  <wp:extent cx="523875" cy="4953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23875" cy="495300"/>
                          </a:xfrm>
                          <a:prstGeom prst="rect">
                            <a:avLst/>
                          </a:prstGeom>
                        </pic:spPr>
                      </pic:pic>
                    </a:graphicData>
                  </a:graphic>
                </wp:inline>
              </w:drawing>
            </w:r>
          </w:p>
        </w:tc>
        <w:tc>
          <w:tcPr>
            <w:tcW w:w="3995" w:type="dxa"/>
            <w:tcBorders>
              <w:bottom w:val="single" w:sz="8" w:space="0" w:color="EEF8FD"/>
            </w:tcBorders>
            <w:vAlign w:val="center"/>
          </w:tcPr>
          <w:p>
            <w:pPr>
              <w:pStyle w:val="TableContents"/>
              <w:bidi w:val="0"/>
              <w:spacing w:before="0" w:after="283"/>
              <w:jc w:val="left"/>
              <w:rPr/>
            </w:pPr>
            <w:r>
              <w:rPr>
                <w:rFonts w:ascii="Arial;Helvetica;Sans-Serif" w:hAnsi="Arial;Helvetica;Sans-Serif"/>
                <w:b/>
                <w:sz w:val="18"/>
                <w:u w:val="single"/>
              </w:rPr>
              <w:t>During the Meeting</w:t>
            </w:r>
            <w:r>
              <w:rPr>
                <w:rFonts w:ascii="Arial;Helvetica;Sans-Serif" w:hAnsi="Arial;Helvetica;Sans-Serif"/>
                <w:b/>
                <w:sz w:val="18"/>
              </w:rPr>
              <w:t>:</w:t>
            </w:r>
            <w:r>
              <w:rPr/>
              <w:t xml:space="preserve"> </w:t>
            </w:r>
            <w:r>
              <w:rPr>
                <w:sz w:val="18"/>
              </w:rPr>
              <w:t>See specific instructions below.</w:t>
            </w:r>
          </w:p>
        </w:tc>
      </w:tr>
    </w:tbl>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rFonts w:ascii="Arial;Helvetica;Sans-Serif" w:hAnsi="Arial;Helvetica;Sans-Serif"/>
          <w:b/>
          <w:i/>
          <w:caps w:val="false"/>
          <w:smallCaps w:val="false"/>
          <w:color w:val="0062AF"/>
          <w:sz w:val="20"/>
          <w:bdr w:val="single" w:sz="8" w:space="1" w:color="66CCFF"/>
        </w:rPr>
      </w:pPr>
      <w:r>
        <w:rPr>
          <w:rFonts w:ascii="Arial;Helvetica;Sans-Serif" w:hAnsi="Arial;Helvetica;Sans-Serif"/>
          <w:b/>
          <w:i/>
          <w:caps w:val="false"/>
          <w:smallCaps w:val="false"/>
          <w:color w:val="0062AF"/>
          <w:sz w:val="20"/>
          <w:bdr w:val="single" w:sz="8" w:space="1" w:color="66CCFF"/>
        </w:rPr>
        <w:t>Voting in Person at the Annual Meeting</w:t>
      </w:r>
    </w:p>
    <w:p>
      <w:pPr>
        <w:pStyle w:val="TextBody"/>
        <w:bidi w:val="0"/>
        <w:spacing w:before="0" w:after="0"/>
        <w:ind w:left="0" w:right="0" w:hanging="0"/>
        <w:jc w:val="left"/>
        <w:rPr>
          <w:caps w:val="false"/>
          <w:smallCaps w:val="false"/>
          <w:color w:val="0062AF"/>
          <w:bdr w:val="single" w:sz="8" w:space="1" w:color="66CCFF"/>
        </w:rPr>
      </w:pPr>
      <w:r>
        <w:rPr>
          <w:caps w:val="false"/>
          <w:smallCaps w:val="false"/>
          <w:color w:val="0062AF"/>
          <w:bdr w:val="single" w:sz="8" w:space="1" w:color="66CCFF"/>
        </w:rPr>
        <w:t> </w:t>
      </w:r>
    </w:p>
    <w:p>
      <w:pPr>
        <w:pStyle w:val="TextBody"/>
        <w:bidi w:val="0"/>
        <w:spacing w:before="0" w:after="0"/>
        <w:ind w:left="0" w:right="0" w:hanging="0"/>
        <w:jc w:val="left"/>
        <w:rPr>
          <w:rFonts w:ascii="Arial;Helvetica;Sans-Serif" w:hAnsi="Arial;Helvetica;Sans-Serif"/>
          <w:b w:val="false"/>
          <w:i w:val="false"/>
          <w:caps w:val="false"/>
          <w:smallCaps w:val="false"/>
          <w:sz w:val="20"/>
          <w:bdr w:val="single" w:sz="8" w:space="1" w:color="66CCFF"/>
        </w:rPr>
      </w:pPr>
      <w:r>
        <w:rPr>
          <w:rFonts w:ascii="Arial;Helvetica;Sans-Serif" w:hAnsi="Arial;Helvetica;Sans-Serif"/>
          <w:b/>
          <w:i w:val="false"/>
          <w:caps w:val="false"/>
          <w:smallCaps w:val="false"/>
          <w:sz w:val="18"/>
          <w:bdr w:val="single" w:sz="8" w:space="1" w:color="66CCFF"/>
        </w:rPr>
        <w:t xml:space="preserve">Stockholders of Record. </w:t>
      </w:r>
      <w:r>
        <w:rPr>
          <w:rFonts w:ascii="Arial;Helvetica;Sans-Serif" w:hAnsi="Arial;Helvetica;Sans-Serif"/>
          <w:b w:val="false"/>
          <w:i w:val="false"/>
          <w:caps w:val="false"/>
          <w:smallCaps w:val="false"/>
          <w:sz w:val="18"/>
          <w:bdr w:val="single" w:sz="8" w:space="1" w:color="66CCFF"/>
        </w:rPr>
        <w:t>Stockholders of record may vote their shares in person at the Annual Meeting by ballot. Each proposal has a separate ballot. You must properly complete, sign, date and return the ballots to the inspector of election at the Annual Meeting to vote in person. To receive ballots, you must bring with you the documents described below:</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Arial;Helvetica;Sans-Serif" w:hAnsi="Arial;Helvetica;Sans-Serif"/>
                <w:i/>
                <w:sz w:val="18"/>
              </w:rPr>
              <w:t xml:space="preserve">Individuals. </w:t>
            </w:r>
            <w:r>
              <w:rPr>
                <w:sz w:val="18"/>
              </w:rPr>
              <w:t>You will receive ballots at the check-in table when you present your identification. If you already voted by proxy and do not want to change your votes, you do not need to complete the ballots. If you do complete and return the ballots to us, your previously delivered proxy will be automatically revoked.</w:t>
            </w:r>
          </w:p>
        </w:tc>
      </w:tr>
    </w:tbl>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Arial;Helvetica;Sans-Serif" w:hAnsi="Arial;Helvetica;Sans-Serif"/>
                <w:i/>
                <w:sz w:val="18"/>
              </w:rPr>
              <w:t xml:space="preserve">Individuals Voting on Behalf of Another Individual. </w:t>
            </w:r>
            <w:r>
              <w:rPr>
                <w:sz w:val="18"/>
              </w:rPr>
              <w:t>If you vote on behalf of another individual who is a stockholder of record, we must receive by 11:59 p.m., Pacific Time, on March 24, 2026, a duly executed proxy card from such individual stockholder of record appointing you as his or her proxy. If we received such executed proxy card, you will receive ballots at the check-in table when you present your identification.</w:t>
            </w:r>
          </w:p>
        </w:tc>
      </w:tr>
    </w:tbl>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Arial;Helvetica;Sans-Serif" w:hAnsi="Arial;Helvetica;Sans-Serif"/>
                <w:i/>
                <w:sz w:val="18"/>
              </w:rPr>
              <w:t>Individuals Voting on Behalf of a Legal Entity.</w:t>
            </w:r>
            <w:r>
              <w:rPr/>
              <w:t xml:space="preserve"> </w:t>
            </w:r>
            <w:r>
              <w:rPr>
                <w:sz w:val="18"/>
              </w:rPr>
              <w:t>If you represent a stockholder of record that is a legal entity, you may vote that legal entity’s shares if it authorizes you to do so. The documents you must provide to receive ballots at the check-in table depend on whether you are representing a corporation, trust, partnership or other legal entity.</w:t>
            </w:r>
          </w:p>
        </w:tc>
      </w:tr>
    </w:tbl>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tbl>
      <w:tblPr>
        <w:tblW w:w="2388" w:type="dxa"/>
        <w:jc w:val="left"/>
        <w:tblInd w:w="0" w:type="dxa"/>
        <w:tblLayout w:type="fixed"/>
        <w:tblCellMar>
          <w:top w:w="0" w:type="dxa"/>
          <w:left w:w="0" w:type="dxa"/>
          <w:bottom w:w="0" w:type="dxa"/>
          <w:right w:w="0" w:type="dxa"/>
        </w:tblCellMar>
      </w:tblPr>
      <w:tblGrid>
        <w:gridCol w:w="38"/>
        <w:gridCol w:w="17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283"/>
              <w:jc w:val="left"/>
              <w:rPr>
                <w:sz w:val="18"/>
              </w:rPr>
            </w:pPr>
            <w:r>
              <w:rPr>
                <w:sz w:val="18"/>
              </w:rPr>
              <w:t>If you represent a corporation:</w:t>
            </w:r>
          </w:p>
        </w:tc>
      </w:tr>
    </w:tbl>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18"/>
              </w:rPr>
            </w:pPr>
            <w:r>
              <w:rPr>
                <w:sz w:val="18"/>
              </w:rPr>
              <w:t>you must bring to the Annual Meeting a letter or other document from the corporation, on the corporation’s letterhead and signed by an officer of the corporation, that authorizes you to vote the corporation’s shares on its behalf; OR</w:t>
            </w:r>
          </w:p>
        </w:tc>
      </w:tr>
    </w:tbl>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18"/>
              </w:rPr>
            </w:pPr>
            <w:r>
              <w:rPr>
                <w:sz w:val="18"/>
              </w:rPr>
              <w:t>a duly executed proxy card from the corporation appointing you as its proxy, which must be received as set forth in this proxy statement by 11:59 p.m., Pacific Time, on March 24, 2026.</w:t>
            </w:r>
          </w:p>
        </w:tc>
      </w:tr>
    </w:tbl>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Arial;Helvetica;Sans-Serif" w:hAnsi="Arial;Helvetica;Sans-Serif"/>
                <w:i/>
                <w:sz w:val="18"/>
              </w:rPr>
              <w:t>If you represent a trust, partnership or other legal entity</w:t>
            </w:r>
            <w:r>
              <w:rPr>
                <w:sz w:val="18"/>
              </w:rPr>
              <w:t>, we must receive by 11:59 p.m., Pacific Time, on March 24, 2026, a duly executed proxy card from the legal entity appointing you as its proxy. A letter or other document will not be sufficient for you to vote on behalf of a trust, partnership or other legal entity other than a corporation.</w:t>
            </w:r>
          </w:p>
        </w:tc>
      </w:tr>
    </w:tbl>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both"/>
        <w:rPr>
          <w:rFonts w:ascii="Arial;Helvetica;Sans-Serif" w:hAnsi="Arial;Helvetica;Sans-Serif"/>
          <w:b w:val="false"/>
          <w:i w:val="false"/>
          <w:caps w:val="false"/>
          <w:smallCaps w:val="false"/>
          <w:sz w:val="20"/>
          <w:bdr w:val="single" w:sz="8" w:space="1" w:color="66CCFF"/>
        </w:rPr>
      </w:pPr>
      <w:r>
        <w:rPr>
          <w:rFonts w:ascii="Arial;Helvetica;Sans-Serif" w:hAnsi="Arial;Helvetica;Sans-Serif"/>
          <w:b/>
          <w:i w:val="false"/>
          <w:caps w:val="false"/>
          <w:smallCaps w:val="false"/>
          <w:sz w:val="18"/>
          <w:bdr w:val="single" w:sz="8" w:space="1" w:color="66CCFF"/>
        </w:rPr>
        <w:t xml:space="preserve">Beneficial Owners. </w:t>
      </w:r>
      <w:r>
        <w:rPr>
          <w:rFonts w:ascii="Arial;Helvetica;Sans-Serif" w:hAnsi="Arial;Helvetica;Sans-Serif"/>
          <w:b w:val="false"/>
          <w:i w:val="false"/>
          <w:caps w:val="false"/>
          <w:smallCaps w:val="false"/>
          <w:sz w:val="18"/>
          <w:bdr w:val="single" w:sz="8" w:space="1" w:color="66CCFF"/>
        </w:rPr>
        <w:t>If you hold your shares in street name, your bank, broker or their appointed agent is forwarding these proxy materials to you. Because your name does not appear on the share register of the Company, you will not be able to vote in person at the Annual Meeting unless you request a legal proxy from your bank or broker and bring it with you to the Annual Meeting.</w:t>
      </w:r>
    </w:p>
    <w:p>
      <w:pPr>
        <w:pStyle w:val="TextBody"/>
        <w:bidi w:val="0"/>
        <w:spacing w:before="0" w:after="0"/>
        <w:ind w:left="0" w:right="0" w:hanging="0"/>
        <w:jc w:val="both"/>
        <w:rPr>
          <w:caps w:val="false"/>
          <w:smallCaps w:val="false"/>
          <w:bdr w:val="single" w:sz="8" w:space="1" w:color="66CCFF"/>
        </w:rPr>
      </w:pPr>
      <w:r>
        <w:rPr>
          <w:caps w:val="false"/>
          <w:smallCaps w:val="false"/>
          <w:bdr w:val="single" w:sz="8" w:space="1" w:color="66CCF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Arial;Helvetica;Sans-Serif" w:hAnsi="Arial;Helvetica;Sans-Serif"/>
                <w:i/>
                <w:sz w:val="18"/>
              </w:rPr>
              <w:t xml:space="preserve">Individuals. </w:t>
            </w:r>
            <w:r>
              <w:rPr>
                <w:sz w:val="18"/>
              </w:rPr>
              <w:t>As an individual, the legal proxy will have your name on it. You must present the legal proxy at check-in to the inspector of election at the Annual Meeting to receive your ballots.</w:t>
            </w:r>
          </w:p>
        </w:tc>
      </w:tr>
    </w:tbl>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Arial;Helvetica;Sans-Serif" w:hAnsi="Arial;Helvetica;Sans-Serif"/>
                <w:i/>
                <w:sz w:val="18"/>
              </w:rPr>
              <w:t>Individuals Voting on Behalf of a Beneficial Owner.</w:t>
            </w:r>
            <w:r>
              <w:rPr/>
              <w:t xml:space="preserve"> </w:t>
            </w:r>
            <w:r>
              <w:rPr>
                <w:sz w:val="18"/>
              </w:rPr>
              <w:t>Because the legal proxy will not have your name on it, to receive your ballots, you must bring to the Annual Meeting a letter from the person or entity named on the legal proxy that authorizes you to vote its shares at the Annual Meeting.</w:t>
            </w:r>
          </w:p>
        </w:tc>
      </w:tr>
    </w:tbl>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caps w:val="false"/>
          <w:smallCaps w:val="false"/>
        </w:rPr>
      </w:pPr>
      <w:r>
        <w:rPr>
          <w:caps w:val="false"/>
          <w:smallCaps w:val="false"/>
        </w:rPr>
        <w:t> </w:t>
      </w:r>
    </w:p>
    <w:tbl>
      <w:tblPr>
        <w:tblW w:w="3270" w:type="dxa"/>
        <w:jc w:val="left"/>
        <w:tblInd w:w="0" w:type="dxa"/>
        <w:tblLayout w:type="fixed"/>
        <w:tblCellMar>
          <w:top w:w="0" w:type="dxa"/>
          <w:left w:w="0" w:type="dxa"/>
          <w:bottom w:w="0" w:type="dxa"/>
          <w:right w:w="0" w:type="dxa"/>
        </w:tblCellMar>
      </w:tblPr>
      <w:tblGrid>
        <w:gridCol w:w="1490"/>
        <w:gridCol w:w="125"/>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125"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7</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caps w:val="false"/>
          <w:smallCaps w:val="false"/>
          <w:color w:val="FF0000"/>
          <w:bdr w:val="single" w:sz="8" w:space="1" w:color="66CCFF"/>
        </w:rPr>
      </w:pPr>
      <w:r>
        <w:rPr>
          <w:caps w:val="false"/>
          <w:smallCaps w:val="false"/>
          <w:color w:val="FF0000"/>
          <w:bdr w:val="single" w:sz="8" w:space="1" w:color="66CCFF"/>
        </w:rPr>
        <w:t> </w:t>
      </w:r>
    </w:p>
    <w:p>
      <w:pPr>
        <w:pStyle w:val="TextBody"/>
        <w:bidi w:val="0"/>
        <w:spacing w:before="0" w:after="0"/>
        <w:ind w:left="0" w:right="0" w:hanging="0"/>
        <w:jc w:val="left"/>
        <w:rPr>
          <w:rFonts w:ascii="Arial;Helvetica;Sans-Serif" w:hAnsi="Arial;Helvetica;Sans-Serif"/>
          <w:b/>
          <w:i/>
          <w:caps w:val="false"/>
          <w:smallCaps w:val="false"/>
          <w:color w:val="0062AF"/>
          <w:sz w:val="20"/>
          <w:bdr w:val="single" w:sz="8" w:space="1" w:color="66CCFF"/>
        </w:rPr>
      </w:pPr>
      <w:r>
        <w:rPr>
          <w:rFonts w:ascii="Arial;Helvetica;Sans-Serif" w:hAnsi="Arial;Helvetica;Sans-Serif"/>
          <w:b/>
          <w:i/>
          <w:caps w:val="false"/>
          <w:smallCaps w:val="false"/>
          <w:color w:val="0062AF"/>
          <w:sz w:val="20"/>
          <w:bdr w:val="single" w:sz="8" w:space="1" w:color="66CCFF"/>
        </w:rPr>
        <w:t>What does it mean to vote by designated proxies?</w:t>
      </w:r>
    </w:p>
    <w:p>
      <w:pPr>
        <w:pStyle w:val="TextBody"/>
        <w:bidi w:val="0"/>
        <w:spacing w:before="0" w:after="0"/>
        <w:ind w:left="0" w:right="0" w:hanging="0"/>
        <w:jc w:val="left"/>
        <w:rPr>
          <w:caps w:val="false"/>
          <w:smallCaps w:val="false"/>
          <w:color w:val="0062AF"/>
          <w:bdr w:val="single" w:sz="8" w:space="1" w:color="66CCFF"/>
        </w:rPr>
      </w:pPr>
      <w:r>
        <w:rPr>
          <w:caps w:val="false"/>
          <w:smallCaps w:val="false"/>
          <w:color w:val="0062AF"/>
          <w:bdr w:val="single" w:sz="8" w:space="1" w:color="66CCFF"/>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66CCFF"/>
        </w:rPr>
      </w:pPr>
      <w:r>
        <w:rPr>
          <w:rFonts w:ascii="Arial;Helvetica;Sans-Serif" w:hAnsi="Arial;Helvetica;Sans-Serif"/>
          <w:b w:val="false"/>
          <w:i w:val="false"/>
          <w:caps w:val="false"/>
          <w:smallCaps w:val="false"/>
          <w:sz w:val="18"/>
          <w:bdr w:val="single" w:sz="8" w:space="1" w:color="66CCFF"/>
        </w:rPr>
        <w:t>The persons who are the designated proxies will vote as you direct in your proxy or voter instruction card.</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66CCFF"/>
        </w:rPr>
      </w:pPr>
      <w:r>
        <w:rPr>
          <w:rFonts w:ascii="Arial;Helvetica;Sans-Serif" w:hAnsi="Arial;Helvetica;Sans-Serif"/>
          <w:b w:val="false"/>
          <w:i w:val="false"/>
          <w:caps w:val="false"/>
          <w:smallCaps w:val="false"/>
          <w:sz w:val="18"/>
          <w:bdr w:val="single" w:sz="8" w:space="1" w:color="66CCFF"/>
        </w:rPr>
        <w:t>Please note that proxies returned without voting directions, and without specifying a proxy to attend the Annual Meeting and vote on your behalf, will be voted by the proxies designated by our Board in accordance with the recommendations of our Board.</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rFonts w:ascii="Arial;Helvetica;Sans-Serif" w:hAnsi="Arial;Helvetica;Sans-Serif"/>
          <w:b/>
          <w:i w:val="false"/>
          <w:caps w:val="false"/>
          <w:smallCaps w:val="false"/>
          <w:color w:val="65C8F2"/>
          <w:sz w:val="24"/>
          <w:bdr w:val="single" w:sz="8" w:space="1" w:color="66CCFF"/>
        </w:rPr>
      </w:pPr>
      <w:r>
        <w:rPr>
          <w:rFonts w:ascii="Arial;Helvetica;Sans-Serif" w:hAnsi="Arial;Helvetica;Sans-Serif"/>
          <w:b/>
          <w:i w:val="false"/>
          <w:caps w:val="false"/>
          <w:smallCaps w:val="false"/>
          <w:color w:val="65C8F2"/>
          <w:sz w:val="24"/>
          <w:bdr w:val="single" w:sz="8" w:space="1" w:color="66CCFF"/>
        </w:rPr>
        <w:t>What if I want to change or revoke my vote?</w:t>
      </w:r>
    </w:p>
    <w:p>
      <w:pPr>
        <w:pStyle w:val="TextBody"/>
        <w:bidi w:val="0"/>
        <w:spacing w:before="0" w:after="0"/>
        <w:ind w:left="0" w:right="0" w:hanging="0"/>
        <w:jc w:val="left"/>
        <w:rPr>
          <w:caps w:val="false"/>
          <w:smallCaps w:val="false"/>
          <w:color w:val="65C8F2"/>
          <w:bdr w:val="single" w:sz="8" w:space="1" w:color="66CCFF"/>
        </w:rPr>
      </w:pPr>
      <w:r>
        <w:rPr>
          <w:caps w:val="false"/>
          <w:smallCaps w:val="false"/>
          <w:color w:val="65C8F2"/>
          <w:bdr w:val="single" w:sz="8" w:space="1" w:color="66CCFF"/>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66CCFF"/>
        </w:rPr>
      </w:pPr>
      <w:r>
        <w:rPr>
          <w:rFonts w:ascii="Arial;Helvetica;Sans-Serif" w:hAnsi="Arial;Helvetica;Sans-Serif"/>
          <w:b w:val="false"/>
          <w:i w:val="false"/>
          <w:caps w:val="false"/>
          <w:smallCaps w:val="false"/>
          <w:sz w:val="18"/>
          <w:bdr w:val="single" w:sz="8" w:space="1" w:color="66CCFF"/>
        </w:rPr>
        <w:t>You may revoke or change your proxy any time before the Annual Meeting by:</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tbl>
      <w:tblPr>
        <w:tblW w:w="7893" w:type="dxa"/>
        <w:jc w:val="left"/>
        <w:tblInd w:w="0" w:type="dxa"/>
        <w:tblLayout w:type="fixed"/>
        <w:tblCellMar>
          <w:top w:w="0" w:type="dxa"/>
          <w:left w:w="0" w:type="dxa"/>
          <w:bottom w:w="0" w:type="dxa"/>
          <w:right w:w="0" w:type="dxa"/>
        </w:tblCellMar>
      </w:tblPr>
      <w:tblGrid>
        <w:gridCol w:w="38"/>
        <w:gridCol w:w="17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85" w:type="dxa"/>
            <w:tcBorders/>
            <w:vAlign w:val="center"/>
          </w:tcPr>
          <w:p>
            <w:pPr>
              <w:pStyle w:val="TableContents"/>
              <w:bidi w:val="0"/>
              <w:spacing w:before="0" w:after="283"/>
              <w:jc w:val="left"/>
              <w:rPr>
                <w:sz w:val="18"/>
              </w:rPr>
            </w:pPr>
            <w:r>
              <w:rPr>
                <w:sz w:val="18"/>
              </w:rPr>
              <w:t>Submitting a later vote via the Internet or telephone prior to 11:59 p.m., Pacific Time, on March 24, 2026; or</w:t>
            </w:r>
          </w:p>
        </w:tc>
      </w:tr>
    </w:tbl>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tbl>
      <w:tblPr>
        <w:tblW w:w="7983" w:type="dxa"/>
        <w:jc w:val="left"/>
        <w:tblInd w:w="0" w:type="dxa"/>
        <w:tblLayout w:type="fixed"/>
        <w:tblCellMar>
          <w:top w:w="0" w:type="dxa"/>
          <w:left w:w="0" w:type="dxa"/>
          <w:bottom w:w="0" w:type="dxa"/>
          <w:right w:w="0" w:type="dxa"/>
        </w:tblCellMar>
      </w:tblPr>
      <w:tblGrid>
        <w:gridCol w:w="38"/>
        <w:gridCol w:w="170"/>
        <w:gridCol w:w="77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775" w:type="dxa"/>
            <w:tcBorders/>
            <w:vAlign w:val="center"/>
          </w:tcPr>
          <w:p>
            <w:pPr>
              <w:pStyle w:val="TableContents"/>
              <w:bidi w:val="0"/>
              <w:spacing w:before="0" w:after="283"/>
              <w:jc w:val="left"/>
              <w:rPr>
                <w:sz w:val="18"/>
              </w:rPr>
            </w:pPr>
            <w:r>
              <w:rPr>
                <w:sz w:val="18"/>
              </w:rPr>
              <w:t>Submitting a properly signed proxy card with a later date that is received at or prior to the Annual Meeting; or</w:t>
            </w:r>
          </w:p>
        </w:tc>
      </w:tr>
    </w:tbl>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18"/>
              </w:rPr>
            </w:pPr>
            <w:r>
              <w:rPr>
                <w:sz w:val="18"/>
              </w:rPr>
              <w:t>Providing notice in writing before the meeting to: Gregory C. Hamm, Vice President, Chief Financial Officer and Treasurer, Limoneira Company, 1141 Cummings Road, Santa Paula, California 93060 or by facsimile to (805) 525-8211.</w:t>
            </w:r>
          </w:p>
        </w:tc>
      </w:tr>
    </w:tbl>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rFonts w:ascii="Arial;Helvetica;Sans-Serif" w:hAnsi="Arial;Helvetica;Sans-Serif"/>
          <w:b/>
          <w:i w:val="false"/>
          <w:caps w:val="false"/>
          <w:smallCaps w:val="false"/>
          <w:color w:val="65C8F2"/>
          <w:sz w:val="24"/>
          <w:bdr w:val="single" w:sz="8" w:space="1" w:color="66CCFF"/>
        </w:rPr>
      </w:pPr>
      <w:r>
        <w:rPr>
          <w:rFonts w:ascii="Arial;Helvetica;Sans-Serif" w:hAnsi="Arial;Helvetica;Sans-Serif"/>
          <w:b/>
          <w:i w:val="false"/>
          <w:caps w:val="false"/>
          <w:smallCaps w:val="false"/>
          <w:color w:val="65C8F2"/>
          <w:sz w:val="24"/>
          <w:bdr w:val="single" w:sz="8" w:space="1" w:color="66CCFF"/>
        </w:rPr>
        <w:t>What if I submit a proxy without giving specific voting instructions?</w:t>
      </w:r>
    </w:p>
    <w:p>
      <w:pPr>
        <w:pStyle w:val="TextBody"/>
        <w:bidi w:val="0"/>
        <w:spacing w:before="0" w:after="0"/>
        <w:ind w:left="0" w:right="0" w:hanging="0"/>
        <w:jc w:val="left"/>
        <w:rPr>
          <w:caps w:val="false"/>
          <w:smallCaps w:val="false"/>
          <w:color w:val="65C8F2"/>
          <w:bdr w:val="single" w:sz="8" w:space="1" w:color="66CCFF"/>
        </w:rPr>
      </w:pPr>
      <w:r>
        <w:rPr>
          <w:caps w:val="false"/>
          <w:smallCaps w:val="false"/>
          <w:color w:val="65C8F2"/>
          <w:bdr w:val="single" w:sz="8" w:space="1" w:color="66CCFF"/>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66CCFF"/>
        </w:rPr>
      </w:pPr>
      <w:r>
        <w:rPr>
          <w:rFonts w:ascii="Arial;Helvetica;Sans-Serif" w:hAnsi="Arial;Helvetica;Sans-Serif"/>
          <w:b w:val="false"/>
          <w:i w:val="false"/>
          <w:caps w:val="false"/>
          <w:smallCaps w:val="false"/>
          <w:sz w:val="18"/>
          <w:bdr w:val="single" w:sz="8" w:space="1" w:color="66CCFF"/>
        </w:rPr>
        <w:t>If you properly submit a proxy without giving specific voting instructions, the individuals named as proxies on the proxy card will vote your shares:</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tbl>
      <w:tblPr>
        <w:tblW w:w="6633" w:type="dxa"/>
        <w:jc w:val="left"/>
        <w:tblInd w:w="0" w:type="dxa"/>
        <w:tblLayout w:type="fixed"/>
        <w:tblCellMar>
          <w:top w:w="0" w:type="dxa"/>
          <w:left w:w="0" w:type="dxa"/>
          <w:bottom w:w="0" w:type="dxa"/>
          <w:right w:w="0" w:type="dxa"/>
        </w:tblCellMar>
      </w:tblPr>
      <w:tblGrid>
        <w:gridCol w:w="38"/>
        <w:gridCol w:w="170"/>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25" w:type="dxa"/>
            <w:tcBorders/>
            <w:vAlign w:val="center"/>
          </w:tcPr>
          <w:p>
            <w:pPr>
              <w:pStyle w:val="TableContents"/>
              <w:bidi w:val="0"/>
              <w:spacing w:before="0" w:after="283"/>
              <w:jc w:val="left"/>
              <w:rPr/>
            </w:pPr>
            <w:r>
              <w:rPr>
                <w:rFonts w:ascii="Arial;Helvetica;Sans-Serif" w:hAnsi="Arial;Helvetica;Sans-Serif"/>
                <w:b/>
                <w:sz w:val="18"/>
              </w:rPr>
              <w:t xml:space="preserve">FOR </w:t>
            </w:r>
            <w:r>
              <w:rPr>
                <w:sz w:val="18"/>
              </w:rPr>
              <w:t>the election of the two (2) Class III nominees for directors to the Board of Directors;</w:t>
            </w:r>
          </w:p>
        </w:tc>
      </w:tr>
    </w:tbl>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tbl>
      <w:tblPr>
        <w:tblW w:w="7878" w:type="dxa"/>
        <w:jc w:val="left"/>
        <w:tblInd w:w="0" w:type="dxa"/>
        <w:tblLayout w:type="fixed"/>
        <w:tblCellMar>
          <w:top w:w="0" w:type="dxa"/>
          <w:left w:w="0" w:type="dxa"/>
          <w:bottom w:w="0" w:type="dxa"/>
          <w:right w:w="0" w:type="dxa"/>
        </w:tblCellMar>
      </w:tblPr>
      <w:tblGrid>
        <w:gridCol w:w="38"/>
        <w:gridCol w:w="170"/>
        <w:gridCol w:w="7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left"/>
              <w:rPr/>
            </w:pPr>
            <w:r>
              <w:rPr>
                <w:rFonts w:ascii="Arial;Helvetica;Sans-Serif" w:hAnsi="Arial;Helvetica;Sans-Serif"/>
                <w:b/>
                <w:sz w:val="18"/>
              </w:rPr>
              <w:t xml:space="preserve">FOR </w:t>
            </w:r>
            <w:r>
              <w:rPr>
                <w:sz w:val="18"/>
              </w:rPr>
              <w:t>the approval, on an advisory basis, of the compensation of the Company’s Named Executive Officers;</w:t>
            </w:r>
          </w:p>
        </w:tc>
      </w:tr>
    </w:tbl>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rFonts w:ascii="Arial;Helvetica;Sans-Serif" w:hAnsi="Arial;Helvetica;Sans-Serif"/>
                <w:b/>
                <w:sz w:val="18"/>
              </w:rPr>
              <w:t xml:space="preserve">FOR </w:t>
            </w:r>
            <w:r>
              <w:rPr>
                <w:sz w:val="18"/>
              </w:rPr>
              <w:t>the ratification of Deloitte &amp; Touche LLP as the Company’s independent registered public accounting firm for fiscal year ending October 31, 2026; and</w:t>
            </w:r>
          </w:p>
        </w:tc>
      </w:tr>
    </w:tbl>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18"/>
              </w:rPr>
            </w:pPr>
            <w:r>
              <w:rPr>
                <w:sz w:val="18"/>
              </w:rPr>
              <w:t>in accordance with the best judgment of the individuals named as proxies on the proxy card on any other matters properly brought before the Annual Meeting.</w:t>
            </w:r>
          </w:p>
        </w:tc>
      </w:tr>
    </w:tbl>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rFonts w:ascii="Arial;Helvetica;Sans-Serif" w:hAnsi="Arial;Helvetica;Sans-Serif"/>
          <w:b/>
          <w:i w:val="false"/>
          <w:caps w:val="false"/>
          <w:smallCaps w:val="false"/>
          <w:color w:val="65C8F2"/>
          <w:sz w:val="24"/>
          <w:bdr w:val="single" w:sz="8" w:space="1" w:color="66CCFF"/>
        </w:rPr>
      </w:pPr>
      <w:r>
        <w:rPr>
          <w:rFonts w:ascii="Arial;Helvetica;Sans-Serif" w:hAnsi="Arial;Helvetica;Sans-Serif"/>
          <w:b/>
          <w:i w:val="false"/>
          <w:caps w:val="false"/>
          <w:smallCaps w:val="false"/>
          <w:color w:val="65C8F2"/>
          <w:sz w:val="24"/>
          <w:bdr w:val="single" w:sz="8" w:space="1" w:color="66CCFF"/>
        </w:rPr>
        <w:t>Will my shares be voted if I do not provide my proxy?</w:t>
      </w:r>
    </w:p>
    <w:p>
      <w:pPr>
        <w:pStyle w:val="TextBody"/>
        <w:bidi w:val="0"/>
        <w:spacing w:before="0" w:after="0"/>
        <w:ind w:left="0" w:right="0" w:hanging="0"/>
        <w:jc w:val="left"/>
        <w:rPr>
          <w:caps w:val="false"/>
          <w:smallCaps w:val="false"/>
          <w:color w:val="65C8F2"/>
          <w:bdr w:val="single" w:sz="8" w:space="1" w:color="66CCFF"/>
        </w:rPr>
      </w:pPr>
      <w:r>
        <w:rPr>
          <w:caps w:val="false"/>
          <w:smallCaps w:val="false"/>
          <w:color w:val="65C8F2"/>
          <w:bdr w:val="single" w:sz="8" w:space="1" w:color="66CCFF"/>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66CCFF"/>
        </w:rPr>
      </w:pPr>
      <w:r>
        <w:rPr>
          <w:rFonts w:ascii="Arial;Helvetica;Sans-Serif" w:hAnsi="Arial;Helvetica;Sans-Serif"/>
          <w:b w:val="false"/>
          <w:i w:val="false"/>
          <w:caps w:val="false"/>
          <w:smallCaps w:val="false"/>
          <w:sz w:val="18"/>
          <w:bdr w:val="single" w:sz="8" w:space="1" w:color="66CCFF"/>
        </w:rPr>
        <w:t>If you are a registered stockholder and do not submit a proxy, you must attend the meeting to vote your shares up until voting is announced to be closed at the Annual Meeting. If you hold shares in “street name,” your shares may be voted with respect to discretionary matters even if you do not provide voting instructions to your bank or broker but will not be voted with respect to non-discretionary items, pursuant to current industry practice. In the case of non-discretionary items, shares not voted are treated as “broker non-votes.”</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66CCFF"/>
        </w:rPr>
      </w:pPr>
      <w:r>
        <w:rPr>
          <w:rFonts w:ascii="Arial;Helvetica;Sans-Serif" w:hAnsi="Arial;Helvetica;Sans-Serif"/>
          <w:b w:val="false"/>
          <w:i w:val="false"/>
          <w:caps w:val="false"/>
          <w:smallCaps w:val="false"/>
          <w:sz w:val="18"/>
          <w:bdr w:val="single" w:sz="8" w:space="1" w:color="66CCFF"/>
        </w:rPr>
        <w:t>The proposals to elect two (2) Class III directors (Proposal 1) and to vote on an advisory resolution to approve the executive compensation (Proposal 2) are considered non-discretionary items; therefore, you must provide instructions in order to have your shares voted on these matters. If your shares are held in street name and you do not instruct your broker how to vote, your broker will have discretion to vote your shares on our sole “routine” matter - Proposal 3, the ratification of the appointment of Deloitte &amp; Touche LLP as the Company’s independent registered public accounting firm to perform the audit of our consolidated financial statements for the fiscal year ending October 31, 2026.</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rFonts w:ascii="Arial;Helvetica;Sans-Serif" w:hAnsi="Arial;Helvetica;Sans-Serif"/>
          <w:b/>
          <w:i w:val="false"/>
          <w:caps w:val="false"/>
          <w:smallCaps w:val="false"/>
          <w:color w:val="65C8F2"/>
          <w:sz w:val="24"/>
          <w:bdr w:val="single" w:sz="8" w:space="1" w:color="66CCFF"/>
        </w:rPr>
      </w:pPr>
      <w:r>
        <w:rPr>
          <w:rFonts w:ascii="Arial;Helvetica;Sans-Serif" w:hAnsi="Arial;Helvetica;Sans-Serif"/>
          <w:b/>
          <w:i w:val="false"/>
          <w:caps w:val="false"/>
          <w:smallCaps w:val="false"/>
          <w:color w:val="65C8F2"/>
          <w:sz w:val="24"/>
          <w:bdr w:val="single" w:sz="8" w:space="1" w:color="66CCFF"/>
        </w:rPr>
        <w:t>What constitutes a quorum permitting the meeting to conduct its business?</w:t>
      </w:r>
    </w:p>
    <w:p>
      <w:pPr>
        <w:pStyle w:val="TextBody"/>
        <w:bidi w:val="0"/>
        <w:spacing w:before="0" w:after="0"/>
        <w:ind w:left="0" w:right="0" w:hanging="0"/>
        <w:jc w:val="left"/>
        <w:rPr>
          <w:caps w:val="false"/>
          <w:smallCaps w:val="false"/>
          <w:color w:val="65C8F2"/>
          <w:bdr w:val="single" w:sz="8" w:space="1" w:color="66CCFF"/>
        </w:rPr>
      </w:pPr>
      <w:r>
        <w:rPr>
          <w:caps w:val="false"/>
          <w:smallCaps w:val="false"/>
          <w:color w:val="65C8F2"/>
          <w:bdr w:val="single" w:sz="8" w:space="1" w:color="66CCFF"/>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66CCFF"/>
        </w:rPr>
      </w:pPr>
      <w:r>
        <w:rPr>
          <w:rFonts w:ascii="Arial;Helvetica;Sans-Serif" w:hAnsi="Arial;Helvetica;Sans-Serif"/>
          <w:b w:val="false"/>
          <w:i w:val="false"/>
          <w:caps w:val="false"/>
          <w:smallCaps w:val="false"/>
          <w:sz w:val="18"/>
          <w:bdr w:val="single" w:sz="8" w:space="1" w:color="66CCFF"/>
        </w:rPr>
        <w:t>The presence at the Annual Meeting, participating in person or by proxy, of holders of a majority of the issued and outstanding shares of Voting Stock entitled to vote as of the Record Date is considered a quorum for the transaction of business at the Annual Meeting. If you attend the Annual Meeting to vote in person or submit a properly completed proxy by mail, by telephone or via the Internet, your shares of Voting Stock will be considered part of the quorum.</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66CCFF"/>
        </w:rPr>
      </w:pPr>
      <w:r>
        <w:rPr>
          <w:rFonts w:ascii="Arial;Helvetica;Sans-Serif" w:hAnsi="Arial;Helvetica;Sans-Serif"/>
          <w:b w:val="false"/>
          <w:i w:val="false"/>
          <w:caps w:val="false"/>
          <w:smallCaps w:val="false"/>
          <w:sz w:val="18"/>
          <w:bdr w:val="single" w:sz="8" w:space="1" w:color="66CCFF"/>
        </w:rPr>
        <w:t>Shares represented by proxies that are marked “Abstain” or “Withhold” will be counted as shares present for purposes of determining the presence of a quorum. Shares of stock entitled to vote that are represented by broker non-votes will be counted as shares present for purposes of determining the presence of a quorum. A broker non-vote occurs when the broker holding shares for a beneficial owner does not vote on a particular proposal because the broker does not have discretionary voting power to vote on that proposal without specific voting instructions from the beneficial owner.</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caps w:val="false"/>
          <w:smallCaps w:val="false"/>
        </w:rPr>
      </w:pPr>
      <w:r>
        <w:rPr>
          <w:caps w:val="false"/>
          <w:smallCaps w:val="false"/>
        </w:rPr>
        <w:t> </w:t>
      </w:r>
    </w:p>
    <w:tbl>
      <w:tblPr>
        <w:tblW w:w="3270" w:type="dxa"/>
        <w:jc w:val="left"/>
        <w:tblInd w:w="0" w:type="dxa"/>
        <w:tblLayout w:type="fixed"/>
        <w:tblCellMar>
          <w:top w:w="0" w:type="dxa"/>
          <w:left w:w="0" w:type="dxa"/>
          <w:bottom w:w="0" w:type="dxa"/>
          <w:right w:w="0" w:type="dxa"/>
        </w:tblCellMar>
      </w:tblPr>
      <w:tblGrid>
        <w:gridCol w:w="1490"/>
        <w:gridCol w:w="125"/>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125"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8</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caps w:val="false"/>
          <w:smallCaps w:val="false"/>
          <w:color w:val="FF0000"/>
          <w:bdr w:val="single" w:sz="8" w:space="1" w:color="66CCFF"/>
        </w:rPr>
      </w:pPr>
      <w:r>
        <w:rPr>
          <w:caps w:val="false"/>
          <w:smallCaps w:val="false"/>
          <w:color w:val="FF0000"/>
          <w:bdr w:val="single" w:sz="8" w:space="1" w:color="66CCFF"/>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66CCFF"/>
        </w:rPr>
      </w:pPr>
      <w:r>
        <w:rPr>
          <w:rFonts w:ascii="Arial;Helvetica;Sans-Serif" w:hAnsi="Arial;Helvetica;Sans-Serif"/>
          <w:b w:val="false"/>
          <w:i w:val="false"/>
          <w:caps w:val="false"/>
          <w:smallCaps w:val="false"/>
          <w:sz w:val="18"/>
          <w:bdr w:val="single" w:sz="8" w:space="1" w:color="66CCFF"/>
        </w:rPr>
        <w:t>If the stockholders present or represented by proxies at the Annual Meeting do not constitute a quorum, we will postpone the Annual Meeting to a later date.</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rFonts w:ascii="Arial;Helvetica;Sans-Serif" w:hAnsi="Arial;Helvetica;Sans-Serif"/>
          <w:b/>
          <w:i w:val="false"/>
          <w:caps w:val="false"/>
          <w:smallCaps w:val="false"/>
          <w:color w:val="65C8F2"/>
          <w:sz w:val="24"/>
          <w:bdr w:val="single" w:sz="8" w:space="1" w:color="66CCFF"/>
        </w:rPr>
      </w:pPr>
      <w:r>
        <w:rPr>
          <w:rFonts w:ascii="Arial;Helvetica;Sans-Serif" w:hAnsi="Arial;Helvetica;Sans-Serif"/>
          <w:b/>
          <w:i w:val="false"/>
          <w:caps w:val="false"/>
          <w:smallCaps w:val="false"/>
          <w:color w:val="65C8F2"/>
          <w:sz w:val="24"/>
          <w:bdr w:val="single" w:sz="8" w:space="1" w:color="66CCFF"/>
        </w:rPr>
        <w:t>How many votes are needed to approve a proposal?</w:t>
      </w:r>
    </w:p>
    <w:p>
      <w:pPr>
        <w:pStyle w:val="TextBody"/>
        <w:bidi w:val="0"/>
        <w:spacing w:before="0" w:after="0"/>
        <w:ind w:left="0" w:right="0" w:hanging="0"/>
        <w:jc w:val="left"/>
        <w:rPr>
          <w:caps w:val="false"/>
          <w:smallCaps w:val="false"/>
          <w:color w:val="65C8F2"/>
          <w:bdr w:val="single" w:sz="8" w:space="1" w:color="66CCFF"/>
        </w:rPr>
      </w:pPr>
      <w:r>
        <w:rPr>
          <w:caps w:val="false"/>
          <w:smallCaps w:val="false"/>
          <w:color w:val="65C8F2"/>
          <w:bdr w:val="single" w:sz="8" w:space="1" w:color="66CCFF"/>
        </w:rPr>
        <w:t> </w:t>
      </w:r>
    </w:p>
    <w:p>
      <w:pPr>
        <w:pStyle w:val="TextBody"/>
        <w:bidi w:val="0"/>
        <w:spacing w:before="0" w:after="0"/>
        <w:ind w:left="0" w:right="0" w:hanging="0"/>
        <w:jc w:val="both"/>
        <w:rPr>
          <w:rFonts w:ascii="Arial;Helvetica;Sans-Serif" w:hAnsi="Arial;Helvetica;Sans-Serif"/>
          <w:b w:val="false"/>
          <w:i w:val="false"/>
          <w:caps w:val="false"/>
          <w:smallCaps w:val="false"/>
          <w:sz w:val="18"/>
          <w:bdr w:val="single" w:sz="8" w:space="1" w:color="66CCFF"/>
        </w:rPr>
      </w:pPr>
      <w:r>
        <w:rPr>
          <w:rFonts w:ascii="Arial;Helvetica;Sans-Serif" w:hAnsi="Arial;Helvetica;Sans-Serif"/>
          <w:b w:val="false"/>
          <w:i w:val="false"/>
          <w:caps w:val="false"/>
          <w:smallCaps w:val="false"/>
          <w:sz w:val="18"/>
          <w:bdr w:val="single" w:sz="8" w:space="1" w:color="66CCFF"/>
        </w:rPr>
        <w:t>For the proposal to elect two (2) Class III directors to the Board of Directors (Proposal 1), each director nominee receiving a plurality of the votes cast at the Annual Meeting will be elected as a director. Stockholders of any class or series of stock shall be permitted to cumulate votes for the election of directors.</w:t>
      </w:r>
    </w:p>
    <w:p>
      <w:pPr>
        <w:pStyle w:val="TextBody"/>
        <w:bidi w:val="0"/>
        <w:spacing w:before="0" w:after="0"/>
        <w:ind w:left="0" w:right="0" w:hanging="0"/>
        <w:jc w:val="both"/>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66CCFF"/>
        </w:rPr>
      </w:pPr>
      <w:r>
        <w:rPr>
          <w:rFonts w:ascii="Arial;Helvetica;Sans-Serif" w:hAnsi="Arial;Helvetica;Sans-Serif"/>
          <w:b w:val="false"/>
          <w:i w:val="false"/>
          <w:caps w:val="false"/>
          <w:smallCaps w:val="false"/>
          <w:sz w:val="18"/>
          <w:bdr w:val="single" w:sz="8" w:space="1" w:color="66CCFF"/>
        </w:rPr>
        <w:t>The proposal to approve, on an advisory basis, of the compensation of the Company’s named executive officers (“NEOs”) (Proposal 2), and the proposal to ratify the appointment of Deloitte &amp; Touche LLP as the Company’s independent registered public accounting firm to perform the audit of our consolidated financial statements for the fiscal year ended October 31, 2026 (Proposal 3), each require the affirmative vote of the holders of at least a majority of the outstanding shares present, in person or by proxy, at the Annual Meeting and entitled to vote thereon. Abstentions have the same effect as a vote “against” the proposal. Broker non-votes have no impact on these proposals.</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66CCFF"/>
        </w:rPr>
      </w:pPr>
      <w:r>
        <w:rPr>
          <w:rFonts w:ascii="Arial;Helvetica;Sans-Serif" w:hAnsi="Arial;Helvetica;Sans-Serif"/>
          <w:b w:val="false"/>
          <w:i w:val="false"/>
          <w:caps w:val="false"/>
          <w:smallCaps w:val="false"/>
          <w:sz w:val="18"/>
          <w:bdr w:val="single" w:sz="8" w:space="1" w:color="66CCFF"/>
        </w:rPr>
        <w:t>Computershare, the proxy tabulator and inspector of election appointed for the Annual Meeting, will tabulate all votes. Computershare will separately tabulate affirmative and negative votes, abstentions and broker non-votes.</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rFonts w:ascii="Arial;Helvetica;Sans-Serif" w:hAnsi="Arial;Helvetica;Sans-Serif"/>
          <w:b/>
          <w:i w:val="false"/>
          <w:caps w:val="false"/>
          <w:smallCaps w:val="false"/>
          <w:color w:val="65C8F2"/>
          <w:sz w:val="24"/>
          <w:bdr w:val="single" w:sz="8" w:space="1" w:color="66CCFF"/>
        </w:rPr>
      </w:pPr>
      <w:r>
        <w:rPr>
          <w:rFonts w:ascii="Arial;Helvetica;Sans-Serif" w:hAnsi="Arial;Helvetica;Sans-Serif"/>
          <w:b/>
          <w:i w:val="false"/>
          <w:caps w:val="false"/>
          <w:smallCaps w:val="false"/>
          <w:color w:val="65C8F2"/>
          <w:sz w:val="24"/>
          <w:bdr w:val="single" w:sz="8" w:space="1" w:color="66CCFF"/>
        </w:rPr>
        <w:t>How is solicitation being made?</w:t>
      </w:r>
    </w:p>
    <w:p>
      <w:pPr>
        <w:pStyle w:val="TextBody"/>
        <w:bidi w:val="0"/>
        <w:spacing w:before="0" w:after="0"/>
        <w:ind w:left="0" w:right="0" w:hanging="0"/>
        <w:jc w:val="left"/>
        <w:rPr>
          <w:caps w:val="false"/>
          <w:smallCaps w:val="false"/>
          <w:color w:val="65C8F2"/>
          <w:bdr w:val="single" w:sz="8" w:space="1" w:color="66CCFF"/>
        </w:rPr>
      </w:pPr>
      <w:r>
        <w:rPr>
          <w:caps w:val="false"/>
          <w:smallCaps w:val="false"/>
          <w:color w:val="65C8F2"/>
          <w:bdr w:val="single" w:sz="8" w:space="1" w:color="66CCFF"/>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66CCFF"/>
        </w:rPr>
      </w:pPr>
      <w:r>
        <w:rPr>
          <w:rFonts w:ascii="Arial;Helvetica;Sans-Serif" w:hAnsi="Arial;Helvetica;Sans-Serif"/>
          <w:b w:val="false"/>
          <w:i w:val="false"/>
          <w:caps w:val="false"/>
          <w:smallCaps w:val="false"/>
          <w:sz w:val="18"/>
          <w:bdr w:val="single" w:sz="8" w:space="1" w:color="66CCFF"/>
        </w:rPr>
        <w:t>We, the Company, are making this solicitation and as such, the cost of solicitation of proxies will be borne by us. Our directors, officers, and employees may make solicitation, personally or by telephone, email or fax. The Notice and the Proxy Materials will be distributed to beneficial owners of common stock through brokers, custodians, nominees and other like parties, and we expect to reimburse such parties for their charges and expenses.</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66CCFF"/>
        </w:rPr>
      </w:pPr>
      <w:r>
        <w:rPr>
          <w:rFonts w:ascii="Arial;Helvetica;Sans-Serif" w:hAnsi="Arial;Helvetica;Sans-Serif"/>
          <w:b w:val="false"/>
          <w:i w:val="false"/>
          <w:caps w:val="false"/>
          <w:smallCaps w:val="false"/>
          <w:sz w:val="18"/>
          <w:bdr w:val="single" w:sz="8" w:space="1" w:color="66CCFF"/>
        </w:rPr>
        <w:t>We may supplement the original solicitation of proxies by mail with solicitation by telephone, and other means by directors, officers and/or employees of the Company. We will not pay any additional compensation to these individuals for any such services.</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rFonts w:ascii="Arial;Helvetica;Sans-Serif" w:hAnsi="Arial;Helvetica;Sans-Serif"/>
          <w:b/>
          <w:i w:val="false"/>
          <w:caps w:val="false"/>
          <w:smallCaps w:val="false"/>
          <w:color w:val="65C8F2"/>
          <w:sz w:val="24"/>
          <w:bdr w:val="single" w:sz="8" w:space="1" w:color="66CCFF"/>
        </w:rPr>
      </w:pPr>
      <w:r>
        <w:rPr>
          <w:rFonts w:ascii="Arial;Helvetica;Sans-Serif" w:hAnsi="Arial;Helvetica;Sans-Serif"/>
          <w:b/>
          <w:i w:val="false"/>
          <w:caps w:val="false"/>
          <w:smallCaps w:val="false"/>
          <w:color w:val="65C8F2"/>
          <w:sz w:val="24"/>
          <w:bdr w:val="single" w:sz="8" w:space="1" w:color="66CCFF"/>
        </w:rPr>
        <w:t>What should I do if I have any questions?</w:t>
      </w:r>
    </w:p>
    <w:p>
      <w:pPr>
        <w:pStyle w:val="TextBody"/>
        <w:bidi w:val="0"/>
        <w:spacing w:before="0" w:after="0"/>
        <w:ind w:left="0" w:right="0" w:hanging="0"/>
        <w:jc w:val="left"/>
        <w:rPr>
          <w:caps w:val="false"/>
          <w:smallCaps w:val="false"/>
          <w:color w:val="65C8F2"/>
          <w:bdr w:val="single" w:sz="8" w:space="1" w:color="66CCFF"/>
        </w:rPr>
      </w:pPr>
      <w:r>
        <w:rPr>
          <w:caps w:val="false"/>
          <w:smallCaps w:val="false"/>
          <w:color w:val="65C8F2"/>
          <w:bdr w:val="single" w:sz="8" w:space="1" w:color="66CCFF"/>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66CCFF"/>
        </w:rPr>
      </w:pPr>
      <w:r>
        <w:rPr>
          <w:rFonts w:ascii="Arial;Helvetica;Sans-Serif" w:hAnsi="Arial;Helvetica;Sans-Serif"/>
          <w:b w:val="false"/>
          <w:i w:val="false"/>
          <w:caps w:val="false"/>
          <w:smallCaps w:val="false"/>
          <w:sz w:val="18"/>
          <w:bdr w:val="single" w:sz="8" w:space="1" w:color="66CCFF"/>
        </w:rPr>
        <w:t>If you have any questions or require any assistance with voting your shares of Voting Stock, please contact via mail directed to our corporate headquarters located at: Limoneira Company, 1141 Cummings Road, Santa Paula, California 93060, attention: Gregory C. Hamm, Vice President, Chief Financial Officer and Treasurer, or by facsimile to (805) 525-8211</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rFonts w:ascii="Arial;Helvetica;Sans-Serif" w:hAnsi="Arial;Helvetica;Sans-Serif"/>
          <w:b/>
          <w:i w:val="false"/>
          <w:caps w:val="false"/>
          <w:smallCaps w:val="false"/>
          <w:color w:val="65C8F2"/>
          <w:sz w:val="24"/>
          <w:bdr w:val="single" w:sz="8" w:space="1" w:color="66CCFF"/>
        </w:rPr>
      </w:pPr>
      <w:r>
        <w:rPr>
          <w:rFonts w:ascii="Arial;Helvetica;Sans-Serif" w:hAnsi="Arial;Helvetica;Sans-Serif"/>
          <w:b/>
          <w:i w:val="false"/>
          <w:caps w:val="false"/>
          <w:smallCaps w:val="false"/>
          <w:color w:val="65C8F2"/>
          <w:sz w:val="24"/>
          <w:bdr w:val="single" w:sz="8" w:space="1" w:color="66CCFF"/>
        </w:rPr>
        <w:t>How can I find out the results of the voting at the Annual Meeting?</w:t>
      </w:r>
    </w:p>
    <w:p>
      <w:pPr>
        <w:pStyle w:val="TextBody"/>
        <w:bidi w:val="0"/>
        <w:spacing w:before="0" w:after="0"/>
        <w:ind w:left="0" w:right="0" w:hanging="0"/>
        <w:jc w:val="left"/>
        <w:rPr>
          <w:caps w:val="false"/>
          <w:smallCaps w:val="false"/>
          <w:color w:val="65C8F2"/>
          <w:bdr w:val="single" w:sz="8" w:space="1" w:color="66CCFF"/>
        </w:rPr>
      </w:pPr>
      <w:r>
        <w:rPr>
          <w:caps w:val="false"/>
          <w:smallCaps w:val="false"/>
          <w:color w:val="65C8F2"/>
          <w:bdr w:val="single" w:sz="8" w:space="1" w:color="66CCFF"/>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66CCFF"/>
        </w:rPr>
      </w:pPr>
      <w:r>
        <w:rPr>
          <w:rFonts w:ascii="Arial;Helvetica;Sans-Serif" w:hAnsi="Arial;Helvetica;Sans-Serif"/>
          <w:b w:val="false"/>
          <w:i w:val="false"/>
          <w:caps w:val="false"/>
          <w:smallCaps w:val="false"/>
          <w:sz w:val="18"/>
          <w:bdr w:val="single" w:sz="8" w:space="1" w:color="66CCFF"/>
        </w:rPr>
        <w:t>Preliminary voting results will be announced at the Annual Meeting. In addition, final voting results will be published in a current report on Form 8-K within four (4) business days after the Annual Meeting. If final voting results are not available to us at that time, we intend to file a current report on Form 8-K to publish preliminary results and, within four (4) business days after the final results are known to us, file an amendment to such current report on Form 8-K to publish the final results.</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caps w:val="false"/>
          <w:smallCaps w:val="false"/>
          <w:bdr w:val="single" w:sz="8" w:space="1" w:color="66CCFF"/>
        </w:rPr>
      </w:pPr>
      <w:r>
        <w:rPr>
          <w:caps w:val="false"/>
          <w:smallCaps w:val="false"/>
          <w:bdr w:val="single" w:sz="8" w:space="1" w:color="66CCFF"/>
        </w:rPr>
        <w:t> </w:t>
      </w:r>
    </w:p>
    <w:p>
      <w:pPr>
        <w:pStyle w:val="TextBody"/>
        <w:bidi w:val="0"/>
        <w:spacing w:before="0" w:after="0"/>
        <w:ind w:left="0" w:right="0" w:hanging="0"/>
        <w:jc w:val="left"/>
        <w:rPr>
          <w:caps w:val="false"/>
          <w:smallCaps w:val="false"/>
        </w:rPr>
      </w:pPr>
      <w:r>
        <w:rPr>
          <w:caps w:val="false"/>
          <w:smallCaps w:val="false"/>
        </w:rPr>
        <w:t> </w:t>
      </w:r>
    </w:p>
    <w:tbl>
      <w:tblPr>
        <w:tblW w:w="3270" w:type="dxa"/>
        <w:jc w:val="left"/>
        <w:tblInd w:w="0" w:type="dxa"/>
        <w:tblLayout w:type="fixed"/>
        <w:tblCellMar>
          <w:top w:w="0" w:type="dxa"/>
          <w:left w:w="0" w:type="dxa"/>
          <w:bottom w:w="0" w:type="dxa"/>
          <w:right w:w="0" w:type="dxa"/>
        </w:tblCellMar>
      </w:tblPr>
      <w:tblGrid>
        <w:gridCol w:w="1490"/>
        <w:gridCol w:w="125"/>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125"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9</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00" w:right="200" w:hanging="0"/>
        <w:jc w:val="left"/>
        <w:rPr>
          <w:caps w:val="false"/>
          <w:smallCaps w:val="false"/>
          <w:color w:val="008DCF"/>
        </w:rPr>
      </w:pPr>
      <w:r>
        <w:rPr>
          <w:caps w:val="false"/>
          <w:smallCaps w:val="false"/>
          <w:color w:val="008DCF"/>
        </w:rPr>
        <w:t> </w:t>
      </w:r>
    </w:p>
    <w:tbl>
      <w:tblPr>
        <w:tblW w:w="3650" w:type="dxa"/>
        <w:jc w:val="center"/>
        <w:tblInd w:w="0" w:type="dxa"/>
        <w:tblLayout w:type="fixed"/>
        <w:tblCellMar>
          <w:top w:w="0" w:type="dxa"/>
          <w:left w:w="0" w:type="dxa"/>
          <w:bottom w:w="0" w:type="dxa"/>
          <w:right w:w="0" w:type="dxa"/>
        </w:tblCellMar>
      </w:tblPr>
      <w:tblGrid>
        <w:gridCol w:w="3650"/>
      </w:tblGrid>
      <w:tr>
        <w:trPr/>
        <w:tc>
          <w:tcPr>
            <w:tcW w:w="3650" w:type="dxa"/>
            <w:tcBorders/>
            <w:vAlign w:val="center"/>
          </w:tcPr>
          <w:p>
            <w:pPr>
              <w:pStyle w:val="TableContents"/>
              <w:bidi w:val="0"/>
              <w:spacing w:before="0" w:after="283"/>
              <w:jc w:val="left"/>
              <w:rPr>
                <w:b/>
                <w:color w:val="FFFFFF"/>
                <w:sz w:val="38"/>
              </w:rPr>
            </w:pPr>
            <w:bookmarkStart w:id="7" w:name="lmnrdef14aa004"/>
            <w:bookmarkEnd w:id="7"/>
            <w:r>
              <w:rPr>
                <w:b/>
                <w:color w:val="FFFFFF"/>
                <w:sz w:val="38"/>
              </w:rPr>
              <w:t>Fiscal Year Highlights</w:t>
            </w:r>
          </w:p>
        </w:tc>
      </w:tr>
    </w:tbl>
    <w:p>
      <w:pPr>
        <w:pStyle w:val="TextBody"/>
        <w:bidi w:val="0"/>
        <w:spacing w:before="0" w:after="0"/>
        <w:ind w:left="200" w:right="200" w:hanging="0"/>
        <w:jc w:val="center"/>
        <w:rPr>
          <w:caps w:val="false"/>
          <w:smallCaps w:val="false"/>
          <w:color w:val="008DCF"/>
          <w:bdr w:val="single" w:sz="8" w:space="1" w:color="008DCF"/>
        </w:rPr>
      </w:pPr>
      <w:r>
        <w:rPr>
          <w:caps w:val="false"/>
          <w:smallCaps w:val="false"/>
          <w:color w:val="008DCF"/>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008DCF"/>
          <w:sz w:val="26"/>
          <w:bdr w:val="single" w:sz="8" w:space="1" w:color="008DCF"/>
        </w:rPr>
      </w:pPr>
      <w:bookmarkStart w:id="8" w:name="lmnrdef14aa005"/>
      <w:bookmarkEnd w:id="8"/>
      <w:r>
        <w:rPr>
          <w:rFonts w:ascii="Arial;Helvetica;Sans-Serif" w:hAnsi="Arial;Helvetica;Sans-Serif"/>
          <w:b/>
          <w:i w:val="false"/>
          <w:caps w:val="false"/>
          <w:smallCaps w:val="false"/>
          <w:color w:val="008DCF"/>
          <w:sz w:val="26"/>
          <w:bdr w:val="single" w:sz="8" w:space="1" w:color="008DCF"/>
        </w:rPr>
        <w:t>Business Performance / Fiscal Year 2025 Achievements / Recent Events</w:t>
      </w:r>
    </w:p>
    <w:p>
      <w:pPr>
        <w:pStyle w:val="TextBody"/>
        <w:bidi w:val="0"/>
        <w:spacing w:before="0" w:after="0"/>
        <w:ind w:left="200" w:right="200" w:hanging="0"/>
        <w:jc w:val="left"/>
        <w:rPr>
          <w:caps w:val="false"/>
          <w:smallCaps w:val="false"/>
          <w:color w:val="008DCF"/>
          <w:bdr w:val="single" w:sz="8" w:space="1" w:color="008DCF"/>
        </w:rPr>
      </w:pPr>
      <w:r>
        <w:rPr>
          <w:caps w:val="false"/>
          <w:smallCaps w:val="false"/>
          <w:color w:val="008DCF"/>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On December 17, 2024, we declared a cash dividend of $0.075 per common share payable on January 15, 2025, in the aggregate amount of $1.4 million to common stockholders of record as of December 30, 2024.</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In January 2025, we completed three separate sale transactions of Santa Paula Basin water pumping rights at a selling price of $30,000 per acre-foot, totaling $1.7 million and recorded a gain on sales of water rights of $1.5 million.</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On March 1, 2025, we received a notice of termination from PGIM Real Estate Finance, LLC (“PGIM”) regarding The Farm Management Agreement (“FMA”) dated January 31, 2023. The FMA was terminated effective March 31, 2025. Under the FMA, we provided farming, management and operations related to the 3,537 acres in Tulare County, California (the “Northern Properties”), which we previously sold to PGIM.</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On March 17, 2025, we announced that our Board of Directors approved a share repurchase program authorizing us to repurchase up to $30.0 million in shares of our outstanding Common Stock. The share repurchase program may be modified, suspended or discontinued at any time and does not commit us to repurchase any shares.</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On March 17, 2025, we announced that we formally concluded our process to explore potential strategic alternatives that we previously announced on December 1, 2023. While this formal exploration process has concluded, we remain committed to executing our comprehensive strategic roadmap to create long-term stockholder value. As part of our normal course of business, we will continue to be opportunistic in evaluating potential strategic merger and acquisition opportunities, while also advancing our initiatives to monetize non-core assets.</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On March 18, 2025, we declared a cash dividend of $0.075 per common share payable on April 11, 2025, in the aggregate amount of $1.4 million to common stockholders of record as of March 31, 2025.</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On April 8, 2025, we announced that we are entering into a letter of intent to form a 50%/50% joint venture with Agromin Corporation, the largest organics waste recycler in California, to significantly expand Agromin Corporation’s successful organic waste recycling program. The joint venture plans to expand from the existing 15-acre green waste composting facility at Limoneira Ranch in Santa Paula into a 70-acre, commercial-scale composting facility capable of processing green waste and food waste. We expect to enter into the joint venture and begin construction in fiscal year 2026.</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On April 9, 2025, we announced that we received a cash distribution of $10.0 million representing our share of a $20.0 million cash distribution from our real estate joint venture, Harvest at Limoneira, with the Lewis Group of Companies (“Lewis”).</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On June 6, 2025, we entered into a Commercial Packinghouse License Agreement with Sunkist Growers, Inc., a nonprofit marketing cooperative (“Sunkist”), effective as of November 1, 2025. The agreement permits us to grade, label, pack, prepare for marketing by Sunkist and ship Sunkist grower fruit, and to use Sunkist trademarks in these activities. The agreement has an initial term of three years with automatic one-year extensions. In relation to our decision to merge our sales and marketing operations into Sunkist, we incurred cash and stock compensation severance expenses of approximately $0.7 million in the fourth quarter of fiscal year 2025.</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On June 24, 2025, we declared a cash dividend of $0.075 per common share payable on July 18, 2025, in the aggregate amount of $1.4 million to common stockholders of record as of July 7, 2025.</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On June 26, 2025, we entered into a Master Loan Agreement (the “MLA”) with AgWest Farm Credit, PCA (the “Lender”), dated June 26, 2025, together with a revolving credit facility supplement and a non-revolving credit facility supplement. The MLA amends and restates the previous Master Loan Agreement between us and the Lender and extends the principal repayment to July 1, 2030.</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We are the General Partner of Limco Del Mar, Ltd. (“Del Mar”), a California partnership that produces lemons and avocados and operates certain real property known as the Limco Del Mar ranch. To enable us to determine the strategy for Del Mar to enhance long term financial returns and to provide liquidity for limited partners, on March 21, 2025, we made an offer to purchase up to 224,859 limited partnership units of Del Mar from the limited partners (the “Offer”). On August 4, 2025, we closed the Offer and purchased 80,608 limited partnership units from 78 limited partners at a price of $70 per </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both"/>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10</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00" w:right="200" w:hanging="0"/>
        <w:jc w:val="left"/>
        <w:rPr>
          <w:caps w:val="false"/>
          <w:smallCaps w:val="false"/>
          <w:color w:val="FF0000"/>
        </w:rPr>
      </w:pPr>
      <w:r>
        <w:rPr>
          <w:caps w:val="false"/>
          <w:smallCaps w:val="false"/>
          <w:color w:val="FF0000"/>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unit for approximately $5.6 million (the “Purchase”). The Purchase increased our ownership from 28.8% to 54.5% and we recognized a gain of approximately $2.9 million. As a result of obtaining a controlling interest, Del Mar transitioned from an equity method investment to a consolidated subsidiary.</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On September 9, 2025, we announced a plan to explore providing housing on the Limco Del Mar ranch to address Ventura County’s housing needs.</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On September 23, 2025, we declared a cash dividend of $0.075 per common share payable on October 17, 2025, in the aggregate amount of $1.4 million to common stockholders of record as of October 6, 2025.</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Effective October 13, 2025, we terminated the Grower Packing and Marketing Agreement (“GPMA”) with PGIM dated January 31, 2023. The GPMA provided packing, marketing and selling services for lemons harvested on the Northern Properties for a minimum five-year term, subject to certain benchmarking standards.</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On November 7, 2025, our Chilean subsidiaries, PDA and San Pablo (collectively, the “Sellers”), each entered into a Purchase and Sale Agreement and Novation Agreement (collectively, the “Purchase Agreements”) with San Pedro, SpA, a Chilean joint stock company (the “Buyer”), to sell certain real estate parcels consisting of approximately 500 acres of lemons, 100 acres of oranges and other unplanted lands including water rights associated with the parcels for an aggregate purchase price of $15.0 million. The transactions closed upon transfer of the deeds simultaneously with the execution of the Purchase Agreements.</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After a period of 60-90 days to record the transactions, which is customary in Chilean real estate transactions, the Buyer will make an initial payment to the Sellers in the aggregate amount of $6.8 million, of which approximately $0.7 million will be deferred until certain requirements have been fulfilled. The remainder of the Buyer’s payment obligations, in the aggregate amount of $8.2 million, will be made in installment payments in amounts that will be calculated based on the excess free cash flows of the combined operations of the sold properties and a third citrus ranch owned by the Buyer, measured annually as of March 31 until the remaining balance is paid in full (the “Balance Payments”). Following the final Balance Payment, the Buyer will also make an additional payment, in an amount equal to 50% of the prior year’s Balance Payment. The Buyer’s payment obligations are secured by a pledge on its corporate equity interests in favor of the Sellers.</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On November 17, 2025, the Board approved a Form of Award Agreement for employees (the “Award Agreement”) with respect to the granting of restricted shares of the Company’s Common Stock, performance-based share awards, and performance-based compensation awards under the Limoneira Company 2022 Omnibus Incentive Plan (the “2022 Plan”). The Award Agreement is designed to replace the existing Form of Performance-Based Restricted Share Award Agreement under the 2022 Plan, disclosed by the Company on November 2, 2023. The Award Agreement is intended to align the Company’s compensation program with recent changes in the Company’s business model due to the merger of the Company’s sales and marketing functions into Sunkist.</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On December 16, 2025, we declared a cash dividend of $0.075 per common share payable on January 16, 2026, in the aggregate amount of $1.4 million to common stockholders of record as of December 30, 2025.</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On February 8, 2026, Mark Palamountain resigned from his position as Executive Vice President, Chief Financial Officer and Treasurer of the Company. Following his departure, Gregory C. Hamm, the Company’s former Vice President and Corporate Controller, assumed the position of Vice President, Chief Financial Officer and Treasurer.</w:t>
      </w:r>
    </w:p>
    <w:p>
      <w:pPr>
        <w:pStyle w:val="TextBody"/>
        <w:bidi w:val="0"/>
        <w:spacing w:before="0" w:after="0"/>
        <w:ind w:left="200" w:right="200" w:hanging="0"/>
        <w:jc w:val="left"/>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11</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00" w:right="200" w:hanging="0"/>
        <w:jc w:val="left"/>
        <w:rPr>
          <w:caps w:val="false"/>
          <w:smallCaps w:val="false"/>
        </w:rPr>
      </w:pPr>
      <w:r>
        <w:rPr>
          <w:caps w:val="false"/>
          <w:smallCaps w:val="false"/>
        </w:rPr>
        <w:t> </w:t>
      </w:r>
    </w:p>
    <w:tbl>
      <w:tblPr>
        <w:tblW w:w="7130" w:type="dxa"/>
        <w:jc w:val="center"/>
        <w:tblInd w:w="0" w:type="dxa"/>
        <w:tblLayout w:type="fixed"/>
        <w:tblCellMar>
          <w:top w:w="0" w:type="dxa"/>
          <w:left w:w="0" w:type="dxa"/>
          <w:bottom w:w="0" w:type="dxa"/>
          <w:right w:w="0" w:type="dxa"/>
        </w:tblCellMar>
      </w:tblPr>
      <w:tblGrid>
        <w:gridCol w:w="7130"/>
      </w:tblGrid>
      <w:tr>
        <w:trPr/>
        <w:tc>
          <w:tcPr>
            <w:tcW w:w="7130" w:type="dxa"/>
            <w:tcBorders/>
            <w:vAlign w:val="center"/>
          </w:tcPr>
          <w:p>
            <w:pPr>
              <w:pStyle w:val="TableContents"/>
              <w:bidi w:val="0"/>
              <w:spacing w:before="0" w:after="283"/>
              <w:jc w:val="left"/>
              <w:rPr>
                <w:rFonts w:ascii="Arial;Helvetica;Sans-Serif" w:hAnsi="Arial;Helvetica;Sans-Serif"/>
                <w:b/>
                <w:color w:val="FFFFFF"/>
                <w:sz w:val="30"/>
              </w:rPr>
            </w:pPr>
            <w:bookmarkStart w:id="9" w:name="lmnrdef14aa006"/>
            <w:bookmarkEnd w:id="9"/>
            <w:r>
              <w:rPr>
                <w:rFonts w:ascii="Arial;Helvetica;Sans-Serif" w:hAnsi="Arial;Helvetica;Sans-Serif"/>
                <w:b/>
                <w:color w:val="FFFFFF"/>
                <w:sz w:val="30"/>
              </w:rPr>
              <w:t>Environmental, Social and Governance Initiatives</w:t>
            </w:r>
          </w:p>
        </w:tc>
      </w:tr>
    </w:tbl>
    <w:p>
      <w:pPr>
        <w:pStyle w:val="TextBody"/>
        <w:bidi w:val="0"/>
        <w:spacing w:before="0" w:after="0"/>
        <w:ind w:left="200" w:right="200" w:hanging="0"/>
        <w:jc w:val="center"/>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65C8F2"/>
          <w:sz w:val="24"/>
          <w:bdr w:val="single" w:sz="8" w:space="1" w:color="008DCF"/>
        </w:rPr>
      </w:pPr>
      <w:r>
        <w:rPr>
          <w:rFonts w:ascii="Arial;Helvetica;Sans-Serif" w:hAnsi="Arial;Helvetica;Sans-Serif"/>
          <w:b/>
          <w:i w:val="false"/>
          <w:caps w:val="false"/>
          <w:smallCaps w:val="false"/>
          <w:color w:val="65C8F2"/>
          <w:sz w:val="24"/>
          <w:bdr w:val="single" w:sz="8" w:space="1" w:color="008DCF"/>
        </w:rPr>
        <w:t>Our Mission Statement</w:t>
      </w:r>
    </w:p>
    <w:p>
      <w:pPr>
        <w:pStyle w:val="TextBody"/>
        <w:bidi w:val="0"/>
        <w:spacing w:before="0" w:after="0"/>
        <w:ind w:left="200" w:right="200" w:hanging="0"/>
        <w:jc w:val="left"/>
        <w:rPr>
          <w:caps w:val="false"/>
          <w:smallCaps w:val="false"/>
          <w:color w:val="65C8F2"/>
          <w:bdr w:val="single" w:sz="8" w:space="1" w:color="008DCF"/>
        </w:rPr>
      </w:pPr>
      <w:r>
        <w:rPr>
          <w:caps w:val="false"/>
          <w:smallCaps w:val="false"/>
          <w:color w:val="65C8F2"/>
          <w:bdr w:val="single" w:sz="8" w:space="1" w:color="008DCF"/>
        </w:rPr>
        <w:t> </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w:t>
      </w:r>
      <w:r>
        <w:rPr>
          <w:rFonts w:ascii="Arial;Helvetica;Sans-Serif" w:hAnsi="Arial;Helvetica;Sans-Serif"/>
          <w:b/>
          <w:i/>
          <w:caps w:val="false"/>
          <w:smallCaps w:val="false"/>
          <w:sz w:val="18"/>
          <w:bdr w:val="single" w:sz="8" w:space="1" w:color="008DCF"/>
        </w:rPr>
        <w:t>Limoneira is an agricultural and community development company which, based upon its rich heritage and traditions, seeks to not only maximize value for its customers and stockholders, but to enhance its legacy by employing sustainable practices in all aspects of operations including stewardship of both its natural and human resources.”</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Since 1893, Limoneira has been committed to being a force for good within our local neighborhoods, focusing on the wellbeing of our communities and employees and caring for the land that supports us. These efforts are not only fundamental to the strength of our communities, but are fundamental to strengthening the long-term resilience of our business and farming operations. By prioritizing workforce well-being and community engagement, we enhance operational continuity by reducing turnover and fostering a reliable and skilled labor force. Similarly, by prioritizing efficient use of land and water resources and responsible farming practices, we help safeguard the productivity of our orchards in a climate-sensitive region, directly supporting yield stability, cost efficiency and product quality.</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Our environmental sustainability, social responsibility, and corporate governance (“ESG”) efforts are governed at the highest level and include Board and committee oversight, executive leadership, and subject matter experts who lead initiatives across our business. We listen to feedback from our employees, stakeholders, investors, business partners, and other essential contributors to continually evolve our practices as we strive to exceed their expectations. The Nominating and Corporate Governance Committee (the “Nominating Committee”) of our Board oversees our ESG programs and practices, including climate change, human capital management, diversity, stakeholder relations, and health, safety and the environment. The Nominating Committee considers long- and short-term trends and their potential environmental and social impact to our business. The Nominating Committee’s role in overseeing our ESG programs has been formally designated and codified in the Nominating Committee’s charter. The Chairperson of this committee, Elizabeth Mora, is a seasoned ESG professional who provides guidance to our Board and management. Our ESG programs are managed by our Vice President of Human Resources, Compliance and Corporate Secretary, Amy Fukutomi. Our Corporate Social Responsibility Committee (“CSR Committee”), which oversees human rights, supply chain and customer social audits, is chaired by Ms. Fukutomi. We also have an ESG Council comprised of members of senior management, company Vice Presidents and department stakeholders.</w:t>
      </w:r>
    </w:p>
    <w:p>
      <w:pPr>
        <w:pStyle w:val="TextBody"/>
        <w:bidi w:val="0"/>
        <w:spacing w:before="0" w:after="0"/>
        <w:ind w:left="200" w:right="200" w:hanging="0"/>
        <w:jc w:val="both"/>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12</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00" w:right="200" w:hanging="0"/>
        <w:jc w:val="left"/>
        <w:rPr>
          <w:caps w:val="false"/>
          <w:smallCaps w:val="false"/>
          <w:color w:val="FF0000"/>
        </w:rPr>
      </w:pPr>
      <w:r>
        <w:rPr>
          <w:caps w:val="false"/>
          <w:smallCaps w:val="false"/>
          <w:color w:val="FF0000"/>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The ESG Council also functions as the Company’s Environmental Management System (“EMS”), which provides a formal structure for reducing our environmental impact and improving operating efficiency. The roadmap of our EMS, as set forth below, outlines the procedure for continuously identifying problems, planning and implementing the solutions, measuring progress, and reviewing results before returning to the identification phase. Our Board considers any environmental, social, or health and safety matters at each of its regular meetings with reports by management.</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jc w:val="center"/>
        <w:rPr>
          <w:caps w:val="false"/>
          <w:smallCaps w:val="false"/>
          <w:bdr w:val="single" w:sz="8" w:space="1" w:color="008DCF"/>
        </w:rPr>
      </w:pPr>
      <w:r>
        <w:rPr>
          <w:caps w:val="false"/>
          <w:smallCaps w:val="false"/>
          <w:bdr w:val="single" w:sz="8" w:space="1" w:color="008DCF"/>
        </w:rPr>
        <w:t> </w:t>
      </w:r>
      <w:r>
        <w:rPr>
          <w:caps w:val="false"/>
          <w:smallCaps w:val="false"/>
          <w:bdr w:val="single" w:sz="8" w:space="1" w:color="008DCF"/>
        </w:rPr>
        <w:drawing>
          <wp:inline distT="0" distB="0" distL="0" distR="0">
            <wp:extent cx="6543675" cy="40386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543675" cy="4038600"/>
                    </a:xfrm>
                    <a:prstGeom prst="rect">
                      <a:avLst/>
                    </a:prstGeom>
                  </pic:spPr>
                </pic:pic>
              </a:graphicData>
            </a:graphic>
          </wp:inline>
        </w:drawing>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008DCF"/>
          <w:sz w:val="26"/>
          <w:bdr w:val="single" w:sz="8" w:space="1" w:color="008DCF"/>
        </w:rPr>
      </w:pPr>
      <w:r>
        <w:rPr>
          <w:rFonts w:ascii="Arial;Helvetica;Sans-Serif" w:hAnsi="Arial;Helvetica;Sans-Serif"/>
          <w:b/>
          <w:i w:val="false"/>
          <w:caps w:val="false"/>
          <w:smallCaps w:val="false"/>
          <w:color w:val="008DCF"/>
          <w:sz w:val="26"/>
          <w:bdr w:val="single" w:sz="8" w:space="1" w:color="008DCF"/>
        </w:rPr>
        <w:t>Sustainable Development Goals Roadmap</w:t>
      </w:r>
    </w:p>
    <w:p>
      <w:pPr>
        <w:pStyle w:val="TextBody"/>
        <w:bidi w:val="0"/>
        <w:spacing w:before="0" w:after="0"/>
        <w:ind w:left="200" w:right="200" w:hanging="0"/>
        <w:jc w:val="left"/>
        <w:rPr>
          <w:caps w:val="false"/>
          <w:smallCaps w:val="false"/>
          <w:color w:val="008DCF"/>
          <w:bdr w:val="single" w:sz="8" w:space="1" w:color="008DCF"/>
        </w:rPr>
      </w:pPr>
      <w:r>
        <w:rPr>
          <w:caps w:val="false"/>
          <w:smallCaps w:val="false"/>
          <w:color w:val="008DCF"/>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Limoneira aligns with the United Nation’s Sustainable Development Goals (“SDGs”). While the goals were originally developed for use by governments, the goals prove to be valuable for corporations as well. We use the SDGs to inform the direction of our sustainability program and to align on common goals with other like-minded institutions. </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tbl>
      <w:tblPr>
        <w:tblW w:w="10205" w:type="dxa"/>
        <w:jc w:val="center"/>
        <w:tblInd w:w="0" w:type="dxa"/>
        <w:tblLayout w:type="fixed"/>
        <w:tblCellMar>
          <w:top w:w="80" w:type="dxa"/>
          <w:left w:w="80" w:type="dxa"/>
          <w:bottom w:w="80" w:type="dxa"/>
          <w:right w:w="0" w:type="dxa"/>
        </w:tblCellMar>
      </w:tblPr>
      <w:tblGrid>
        <w:gridCol w:w="7340"/>
        <w:gridCol w:w="2865"/>
      </w:tblGrid>
      <w:tr>
        <w:trPr/>
        <w:tc>
          <w:tcPr>
            <w:tcW w:w="7340" w:type="dxa"/>
            <w:tcBorders>
              <w:top w:val="single" w:sz="8" w:space="0" w:color="008000"/>
              <w:left w:val="single" w:sz="8" w:space="0" w:color="008000"/>
              <w:bottom w:val="single" w:sz="8" w:space="0" w:color="008000"/>
            </w:tcBorders>
            <w:vAlign w:val="center"/>
          </w:tcPr>
          <w:p>
            <w:pPr>
              <w:pStyle w:val="TableContents"/>
              <w:bidi w:val="0"/>
              <w:jc w:val="left"/>
              <w:rPr>
                <w:b/>
                <w:color w:val="008DCF"/>
                <w:sz w:val="22"/>
              </w:rPr>
            </w:pPr>
            <w:r>
              <w:rPr>
                <w:b/>
                <w:color w:val="008DCF"/>
                <w:sz w:val="22"/>
              </w:rPr>
              <w:t>Environmental:</w:t>
            </w:r>
          </w:p>
          <w:p>
            <w:pPr>
              <w:pStyle w:val="TableContents"/>
              <w:bidi w:val="0"/>
              <w:jc w:val="left"/>
              <w:rPr/>
            </w:pPr>
            <w:r>
              <w:rPr/>
              <w:t> </w:t>
            </w:r>
          </w:p>
          <w:p>
            <w:pPr>
              <w:pStyle w:val="TableContents"/>
              <w:bidi w:val="0"/>
              <w:jc w:val="left"/>
              <w:rPr>
                <w:sz w:val="18"/>
              </w:rPr>
            </w:pPr>
            <w:r>
              <w:rPr>
                <w:sz w:val="18"/>
              </w:rPr>
              <w:t>We are dedicated to continual improvement and the adoption of practices that strengthen our business, minimize negative environmental impact, and ensure the long-term viability of our operations.</w:t>
            </w:r>
          </w:p>
          <w:p>
            <w:pPr>
              <w:pStyle w:val="TableContents"/>
              <w:bidi w:val="0"/>
              <w:jc w:val="left"/>
              <w:rPr/>
            </w:pPr>
            <w:r>
              <w:rPr/>
              <w:t> </w:t>
            </w:r>
          </w:p>
          <w:p>
            <w:pPr>
              <w:pStyle w:val="TableContents"/>
              <w:bidi w:val="0"/>
              <w:jc w:val="left"/>
              <w:rPr>
                <w:b/>
                <w:color w:val="008DCF"/>
                <w:sz w:val="22"/>
              </w:rPr>
            </w:pPr>
            <w:r>
              <w:rPr>
                <w:b/>
                <w:color w:val="008DCF"/>
                <w:sz w:val="22"/>
              </w:rPr>
              <w:t>Social:</w:t>
            </w:r>
          </w:p>
          <w:p>
            <w:pPr>
              <w:pStyle w:val="TableContents"/>
              <w:bidi w:val="0"/>
              <w:jc w:val="left"/>
              <w:rPr/>
            </w:pPr>
            <w:r>
              <w:rPr/>
              <w:t> </w:t>
            </w:r>
          </w:p>
          <w:p>
            <w:pPr>
              <w:pStyle w:val="TableContents"/>
              <w:bidi w:val="0"/>
              <w:jc w:val="left"/>
              <w:rPr>
                <w:sz w:val="18"/>
              </w:rPr>
            </w:pPr>
            <w:r>
              <w:rPr>
                <w:sz w:val="18"/>
              </w:rPr>
              <w:t>We are committed to improving the lives of all our stakeholders by helping to provide access to our products, increasing the diversity within our Company, and safeguarding human rights.</w:t>
            </w:r>
          </w:p>
          <w:p>
            <w:pPr>
              <w:pStyle w:val="TableContents"/>
              <w:bidi w:val="0"/>
              <w:jc w:val="left"/>
              <w:rPr/>
            </w:pPr>
            <w:r>
              <w:rPr/>
              <w:t> </w:t>
            </w:r>
          </w:p>
          <w:p>
            <w:pPr>
              <w:pStyle w:val="TableContents"/>
              <w:bidi w:val="0"/>
              <w:jc w:val="left"/>
              <w:rPr>
                <w:b/>
                <w:color w:val="008DCF"/>
                <w:sz w:val="22"/>
              </w:rPr>
            </w:pPr>
            <w:r>
              <w:rPr>
                <w:b/>
                <w:color w:val="008DCF"/>
                <w:sz w:val="22"/>
              </w:rPr>
              <w:t>Governance:</w:t>
            </w:r>
          </w:p>
          <w:p>
            <w:pPr>
              <w:pStyle w:val="TableContents"/>
              <w:bidi w:val="0"/>
              <w:jc w:val="left"/>
              <w:rPr/>
            </w:pPr>
            <w:r>
              <w:rPr/>
              <w:t> </w:t>
            </w:r>
          </w:p>
          <w:p>
            <w:pPr>
              <w:pStyle w:val="TableContents"/>
              <w:bidi w:val="0"/>
              <w:spacing w:before="0" w:after="283"/>
              <w:jc w:val="left"/>
              <w:rPr>
                <w:sz w:val="18"/>
              </w:rPr>
            </w:pPr>
            <w:r>
              <w:rPr>
                <w:sz w:val="18"/>
              </w:rPr>
              <w:t>We are resolute in upholding strong governance practices to protect the interests of and create long-term value for our investors, supply chain, customers, employees and communities.</w:t>
            </w:r>
          </w:p>
        </w:tc>
        <w:tc>
          <w:tcPr>
            <w:tcW w:w="2865" w:type="dxa"/>
            <w:tcBorders>
              <w:top w:val="single" w:sz="8" w:space="0" w:color="008000"/>
              <w:bottom w:val="single" w:sz="8" w:space="0" w:color="008000"/>
              <w:right w:val="single" w:sz="8" w:space="0" w:color="008000"/>
            </w:tcBorders>
            <w:tcMar>
              <w:left w:w="0" w:type="dxa"/>
              <w:right w:w="80" w:type="dxa"/>
            </w:tcMar>
            <w:vAlign w:val="center"/>
          </w:tcPr>
          <w:p>
            <w:pPr>
              <w:pStyle w:val="TableContents"/>
              <w:bidi w:val="0"/>
              <w:spacing w:before="0" w:after="283"/>
              <w:jc w:val="right"/>
              <w:rPr/>
            </w:pPr>
            <w:r>
              <w:rPr/>
              <w:drawing>
                <wp:inline distT="0" distB="0" distL="0" distR="0">
                  <wp:extent cx="1771650" cy="1762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771650" cy="1762125"/>
                          </a:xfrm>
                          <a:prstGeom prst="rect">
                            <a:avLst/>
                          </a:prstGeom>
                        </pic:spPr>
                      </pic:pic>
                    </a:graphicData>
                  </a:graphic>
                </wp:inline>
              </w:drawing>
            </w:r>
            <w:r>
              <w:rPr/>
              <w:t> </w:t>
            </w:r>
          </w:p>
        </w:tc>
      </w:tr>
    </w:tbl>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caps w:val="false"/>
          <w:smallCaps w:val="false"/>
          <w:color w:val="FF0000"/>
        </w:rPr>
      </w:pPr>
      <w:r>
        <w:rPr>
          <w:caps w:val="false"/>
          <w:smallCaps w:val="false"/>
          <w:color w:val="FF0000"/>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13</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00" w:right="200" w:hanging="0"/>
        <w:jc w:val="left"/>
        <w:rPr>
          <w:caps w:val="false"/>
          <w:smallCaps w:val="false"/>
          <w:color w:val="FF0000"/>
        </w:rPr>
      </w:pPr>
      <w:r>
        <w:rPr>
          <w:caps w:val="false"/>
          <w:smallCaps w:val="false"/>
          <w:color w:val="FF0000"/>
        </w:rPr>
        <w:t> </w:t>
      </w:r>
    </w:p>
    <w:p>
      <w:pPr>
        <w:pStyle w:val="TextBody"/>
        <w:bidi w:val="0"/>
        <w:spacing w:before="0" w:after="0"/>
        <w:ind w:left="200" w:right="200" w:hanging="0"/>
        <w:jc w:val="left"/>
        <w:rPr>
          <w:rFonts w:ascii="Arial;Helvetica;Sans-Serif" w:hAnsi="Arial;Helvetica;Sans-Serif"/>
          <w:b/>
          <w:i w:val="false"/>
          <w:caps w:val="false"/>
          <w:smallCaps w:val="false"/>
          <w:color w:val="008DCF"/>
          <w:sz w:val="26"/>
          <w:bdr w:val="single" w:sz="8" w:space="1" w:color="008DCF"/>
        </w:rPr>
      </w:pPr>
      <w:r>
        <w:rPr>
          <w:rFonts w:ascii="Arial;Helvetica;Sans-Serif" w:hAnsi="Arial;Helvetica;Sans-Serif"/>
          <w:b/>
          <w:i w:val="false"/>
          <w:caps w:val="false"/>
          <w:smallCaps w:val="false"/>
          <w:color w:val="008DCF"/>
          <w:sz w:val="26"/>
          <w:bdr w:val="single" w:sz="8" w:space="1" w:color="008DCF"/>
        </w:rPr>
        <w:t>Governance</w:t>
      </w:r>
    </w:p>
    <w:p>
      <w:pPr>
        <w:pStyle w:val="TextBody"/>
        <w:bidi w:val="0"/>
        <w:spacing w:before="0" w:after="0"/>
        <w:ind w:left="200" w:right="200" w:hanging="0"/>
        <w:jc w:val="left"/>
        <w:rPr>
          <w:caps w:val="false"/>
          <w:smallCaps w:val="false"/>
          <w:color w:val="008DCF"/>
          <w:bdr w:val="single" w:sz="8" w:space="1" w:color="008DCF"/>
        </w:rPr>
      </w:pPr>
      <w:r>
        <w:rPr>
          <w:caps w:val="false"/>
          <w:smallCaps w:val="false"/>
          <w:color w:val="008DCF"/>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65C8F2"/>
          <w:sz w:val="24"/>
          <w:bdr w:val="single" w:sz="8" w:space="1" w:color="008DCF"/>
        </w:rPr>
      </w:pPr>
      <w:r>
        <w:rPr>
          <w:rFonts w:ascii="Arial;Helvetica;Sans-Serif" w:hAnsi="Arial;Helvetica;Sans-Serif"/>
          <w:b/>
          <w:i w:val="false"/>
          <w:caps w:val="false"/>
          <w:smallCaps w:val="false"/>
          <w:color w:val="65C8F2"/>
          <w:sz w:val="24"/>
          <w:bdr w:val="single" w:sz="8" w:space="1" w:color="008DCF"/>
        </w:rPr>
        <w:t>Corporate Accountability</w:t>
      </w:r>
    </w:p>
    <w:p>
      <w:pPr>
        <w:pStyle w:val="TextBody"/>
        <w:bidi w:val="0"/>
        <w:spacing w:before="0" w:after="0"/>
        <w:ind w:left="200" w:right="200" w:hanging="0"/>
        <w:jc w:val="left"/>
        <w:rPr>
          <w:caps w:val="false"/>
          <w:smallCaps w:val="false"/>
          <w:color w:val="65C8F2"/>
          <w:bdr w:val="single" w:sz="8" w:space="1" w:color="008DCF"/>
        </w:rPr>
      </w:pPr>
      <w:r>
        <w:rPr>
          <w:caps w:val="false"/>
          <w:smallCaps w:val="false"/>
          <w:color w:val="65C8F2"/>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Operating ethically and with integrity while abiding by local, regional, and national regulatory and legal standards governing our industry is an integral part of how we do business — and we expect the same from our partners and supply chain. We disclose policies on our website that govern how we operate and help ensure enterprise-wide compliance to further increase the trust and support of our stakeholders.</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65C8F2"/>
          <w:sz w:val="24"/>
          <w:bdr w:val="single" w:sz="8" w:space="1" w:color="008DCF"/>
        </w:rPr>
      </w:pPr>
      <w:r>
        <w:rPr>
          <w:rFonts w:ascii="Arial;Helvetica;Sans-Serif" w:hAnsi="Arial;Helvetica;Sans-Serif"/>
          <w:b/>
          <w:i w:val="false"/>
          <w:caps w:val="false"/>
          <w:smallCaps w:val="false"/>
          <w:color w:val="65C8F2"/>
          <w:sz w:val="24"/>
          <w:bdr w:val="single" w:sz="8" w:space="1" w:color="008DCF"/>
        </w:rPr>
        <w:t>Risk Management</w:t>
      </w:r>
    </w:p>
    <w:p>
      <w:pPr>
        <w:pStyle w:val="TextBody"/>
        <w:bidi w:val="0"/>
        <w:spacing w:before="0" w:after="0"/>
        <w:ind w:left="200" w:right="200" w:hanging="0"/>
        <w:jc w:val="left"/>
        <w:rPr>
          <w:caps w:val="false"/>
          <w:smallCaps w:val="false"/>
          <w:color w:val="65C8F2"/>
          <w:bdr w:val="single" w:sz="8" w:space="1" w:color="008DCF"/>
        </w:rPr>
      </w:pPr>
      <w:r>
        <w:rPr>
          <w:caps w:val="false"/>
          <w:smallCaps w:val="false"/>
          <w:color w:val="65C8F2"/>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Risk management is an essential and dynamic process involving identification, evaluation, and response to potential threats and uncertainties that could potentially impact the business. Risks may arise from a variety of sources including regulatory changes, environmental factors, natural disasters, economic pressures, technological disruptions, health and safety, and human rights risks across the supply chain. Ultimate oversight of the Company’s risks lies with the Board and its Risk Management Committee (“Risk Committee”).</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65C8F2"/>
          <w:sz w:val="24"/>
          <w:bdr w:val="single" w:sz="8" w:space="1" w:color="008DCF"/>
        </w:rPr>
      </w:pPr>
      <w:r>
        <w:rPr>
          <w:rFonts w:ascii="Arial;Helvetica;Sans-Serif" w:hAnsi="Arial;Helvetica;Sans-Serif"/>
          <w:b/>
          <w:i w:val="false"/>
          <w:caps w:val="false"/>
          <w:smallCaps w:val="false"/>
          <w:color w:val="65C8F2"/>
          <w:sz w:val="24"/>
          <w:bdr w:val="single" w:sz="8" w:space="1" w:color="008DCF"/>
        </w:rPr>
        <w:t>Cybersecurity</w:t>
      </w:r>
    </w:p>
    <w:p>
      <w:pPr>
        <w:pStyle w:val="TextBody"/>
        <w:bidi w:val="0"/>
        <w:spacing w:before="0" w:after="0"/>
        <w:ind w:left="200" w:right="200" w:hanging="0"/>
        <w:jc w:val="left"/>
        <w:rPr>
          <w:caps w:val="false"/>
          <w:smallCaps w:val="false"/>
          <w:color w:val="65C8F2"/>
          <w:bdr w:val="single" w:sz="8" w:space="1" w:color="008DCF"/>
        </w:rPr>
      </w:pPr>
      <w:r>
        <w:rPr>
          <w:caps w:val="false"/>
          <w:smallCaps w:val="false"/>
          <w:color w:val="65C8F2"/>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Limoneira recognizes that cybersecurity is an important aspect of risk management. Our Board and its Risk Committee oversee our cybersecurity program and receive regular reports from our management team to ensure that directors are fully versed on this topic and evaluate the program on a continual basis for its scope and efficacy. Our Vice President of Packing and Technology and Director of Information Technology directly manage information security and lead the development of enterprise-wide policies, standards, strategies, architectures, and processes. We also work with our independent registered public accounting firm and internal auditors to continually develop and evaluate our programs.</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We are committed to continued investment and strengthening of our computer systems, software, networks, and other technological assets. Our information security program is designed to preserve the integrity, confidentiality, and continued availability of data owned by, or in the care of, the Company and to protect against cybersecurity attacks by unauthorized parties or individuals attempting to gain access to confidential information, destroy data, degrade or disrupt service, sabotage systems, or otherwise cause damage.</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008DCF"/>
          <w:sz w:val="26"/>
          <w:bdr w:val="single" w:sz="8" w:space="1" w:color="008DCF"/>
        </w:rPr>
      </w:pPr>
      <w:r>
        <w:rPr>
          <w:rFonts w:ascii="Arial;Helvetica;Sans-Serif" w:hAnsi="Arial;Helvetica;Sans-Serif"/>
          <w:b/>
          <w:i w:val="false"/>
          <w:caps w:val="false"/>
          <w:smallCaps w:val="false"/>
          <w:color w:val="008DCF"/>
          <w:sz w:val="26"/>
          <w:bdr w:val="single" w:sz="8" w:space="1" w:color="008DCF"/>
        </w:rPr>
        <w:t>Social</w:t>
      </w:r>
    </w:p>
    <w:p>
      <w:pPr>
        <w:pStyle w:val="TextBody"/>
        <w:bidi w:val="0"/>
        <w:spacing w:before="0" w:after="0"/>
        <w:ind w:left="200" w:right="200" w:hanging="0"/>
        <w:jc w:val="left"/>
        <w:rPr>
          <w:caps w:val="false"/>
          <w:smallCaps w:val="false"/>
          <w:color w:val="008DCF"/>
          <w:bdr w:val="single" w:sz="8" w:space="1" w:color="008DCF"/>
        </w:rPr>
      </w:pPr>
      <w:r>
        <w:rPr>
          <w:caps w:val="false"/>
          <w:smallCaps w:val="false"/>
          <w:color w:val="008DCF"/>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65C8F2"/>
          <w:sz w:val="24"/>
          <w:bdr w:val="single" w:sz="8" w:space="1" w:color="008DCF"/>
        </w:rPr>
      </w:pPr>
      <w:r>
        <w:rPr>
          <w:rFonts w:ascii="Arial;Helvetica;Sans-Serif" w:hAnsi="Arial;Helvetica;Sans-Serif"/>
          <w:b/>
          <w:i w:val="false"/>
          <w:caps w:val="false"/>
          <w:smallCaps w:val="false"/>
          <w:color w:val="65C8F2"/>
          <w:sz w:val="24"/>
          <w:bdr w:val="single" w:sz="8" w:space="1" w:color="008DCF"/>
        </w:rPr>
        <w:t>Community Involvement, Philanthropy and Education</w:t>
      </w:r>
    </w:p>
    <w:p>
      <w:pPr>
        <w:pStyle w:val="TextBody"/>
        <w:bidi w:val="0"/>
        <w:spacing w:before="0" w:after="0"/>
        <w:ind w:left="200" w:right="200" w:hanging="0"/>
        <w:jc w:val="left"/>
        <w:rPr>
          <w:caps w:val="false"/>
          <w:smallCaps w:val="false"/>
          <w:color w:val="65C8F2"/>
          <w:bdr w:val="single" w:sz="8" w:space="1" w:color="008DCF"/>
        </w:rPr>
      </w:pPr>
      <w:r>
        <w:rPr>
          <w:caps w:val="false"/>
          <w:smallCaps w:val="false"/>
          <w:color w:val="65C8F2"/>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Limoneira adopts a comprehensive approach to social responsibility, serving as a steadfast ally to its surrounding communities. From fostering educational avenues, making donations, to championing volunteerism, we take pride in our endeavors to uplift communities and support those in need. Our dedication transcends mere gestures; it’s woven into partnerships like the one with Food Share of Ventura County, ensuring that vital, nourishing sustenance reaches those facing hardships. We actively participate in initiatives like Crime Stoppers, contributing to the safety of our neighborhoods.</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Additionally, we collaborate with affordable housing organizations such as House Farmworkers Community Group, underscoring our commitment to accessible housing solutions. Many of our team members hold active roles in various community groups, including the Boys and Girls Club, Rotary, Chamber of Commerce, Ag Leadership, industry-specific organizations and educational boards. As a company, we endeavor to play our part in shaping a brighter future for all.</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Recognizing the value of education, we sponsor a Limoneira Employee Scholarship Fund open to all employees and their dependents. By providing the opportunity to access higher education, we are able to enrich the lives of our employees by investing in their futures and promoting opportunities for upward social mobility.</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Education is among a community’s most valuable assets. As such, we work to share our knowledge and encourage the next generation in sustainable agriculture. We often host educational tour groups of various ages to provide insights into the fascinating world of agriculture, help people to connect with the origins of their food, and learn what it takes to put a piece of fruit on the table. We also participate in career seminars and STEM Day activities both at the ranch and offsite.</w:t>
      </w:r>
    </w:p>
    <w:p>
      <w:pPr>
        <w:pStyle w:val="TextBody"/>
        <w:bidi w:val="0"/>
        <w:spacing w:before="0" w:after="0"/>
        <w:ind w:left="200" w:right="200" w:hanging="0"/>
        <w:jc w:val="left"/>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14</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00" w:right="200" w:hanging="0"/>
        <w:jc w:val="left"/>
        <w:rPr>
          <w:caps w:val="false"/>
          <w:smallCaps w:val="false"/>
          <w:color w:val="FF0000"/>
        </w:rPr>
      </w:pPr>
      <w:r>
        <w:rPr>
          <w:caps w:val="false"/>
          <w:smallCaps w:val="false"/>
          <w:color w:val="FF0000"/>
        </w:rPr>
        <w:t> </w:t>
      </w:r>
    </w:p>
    <w:p>
      <w:pPr>
        <w:pStyle w:val="TextBody"/>
        <w:bidi w:val="0"/>
        <w:spacing w:before="0" w:after="0"/>
        <w:ind w:left="200" w:right="200" w:hanging="0"/>
        <w:jc w:val="left"/>
        <w:rPr>
          <w:rFonts w:ascii="Arial;Helvetica;Sans-Serif" w:hAnsi="Arial;Helvetica;Sans-Serif"/>
          <w:b/>
          <w:i w:val="false"/>
          <w:caps w:val="false"/>
          <w:smallCaps w:val="false"/>
          <w:color w:val="65C8F2"/>
          <w:sz w:val="24"/>
          <w:bdr w:val="single" w:sz="8" w:space="1" w:color="008DCF"/>
        </w:rPr>
      </w:pPr>
      <w:r>
        <w:rPr>
          <w:rFonts w:ascii="Arial;Helvetica;Sans-Serif" w:hAnsi="Arial;Helvetica;Sans-Serif"/>
          <w:b/>
          <w:i w:val="false"/>
          <w:caps w:val="false"/>
          <w:smallCaps w:val="false"/>
          <w:color w:val="65C8F2"/>
          <w:sz w:val="24"/>
          <w:bdr w:val="single" w:sz="8" w:space="1" w:color="008DCF"/>
        </w:rPr>
        <w:t>Employee Wellbeing and Safety</w:t>
      </w:r>
    </w:p>
    <w:p>
      <w:pPr>
        <w:pStyle w:val="TextBody"/>
        <w:bidi w:val="0"/>
        <w:spacing w:before="0" w:after="0"/>
        <w:ind w:left="200" w:right="200" w:hanging="0"/>
        <w:jc w:val="left"/>
        <w:rPr>
          <w:caps w:val="false"/>
          <w:smallCaps w:val="false"/>
          <w:color w:val="65C8F2"/>
          <w:bdr w:val="single" w:sz="8" w:space="1" w:color="008DCF"/>
        </w:rPr>
      </w:pPr>
      <w:r>
        <w:rPr>
          <w:caps w:val="false"/>
          <w:smallCaps w:val="false"/>
          <w:color w:val="65C8F2"/>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Employee wellbeing and safety stand as non-negotiable priorities at Limoneira. We recognize that our team members are the life force of our organization, and we make every effort to promote a culture of health and safety. We firmly believe that a healthy, safe, and valued workforce not only drives our success but also embodies the core values that define Limoneira’s culture and identity. We are steadfast in our commitment to workplace safety through rigorous training and protocols, ensuring the mental and physical wellbeing of our employees through support systems and on-site health resources and providing competitive compensation and benefits packages that recognize their contributions. We firmly believe that a healthy, safe, and valued workforce not only drives our success but also embodies the core values that define Limoneira’s culture and identity.</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65C8F2"/>
          <w:sz w:val="24"/>
          <w:bdr w:val="single" w:sz="8" w:space="1" w:color="008DCF"/>
        </w:rPr>
      </w:pPr>
      <w:r>
        <w:rPr>
          <w:rFonts w:ascii="Arial;Helvetica;Sans-Serif" w:hAnsi="Arial;Helvetica;Sans-Serif"/>
          <w:b/>
          <w:i w:val="false"/>
          <w:caps w:val="false"/>
          <w:smallCaps w:val="false"/>
          <w:color w:val="65C8F2"/>
          <w:sz w:val="24"/>
          <w:bdr w:val="single" w:sz="8" w:space="1" w:color="008DCF"/>
        </w:rPr>
        <w:t>Employee Compensation and Benefits</w:t>
      </w:r>
    </w:p>
    <w:p>
      <w:pPr>
        <w:pStyle w:val="TextBody"/>
        <w:bidi w:val="0"/>
        <w:spacing w:before="0" w:after="0"/>
        <w:ind w:left="200" w:right="200" w:hanging="0"/>
        <w:jc w:val="left"/>
        <w:rPr>
          <w:caps w:val="false"/>
          <w:smallCaps w:val="false"/>
          <w:color w:val="65C8F2"/>
          <w:bdr w:val="single" w:sz="8" w:space="1" w:color="008DCF"/>
        </w:rPr>
      </w:pPr>
      <w:r>
        <w:rPr>
          <w:caps w:val="false"/>
          <w:smallCaps w:val="false"/>
          <w:color w:val="65C8F2"/>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We are an equal opportunity employer offering equitable pay and opportunities, paired with a best-in-class benefits package including affordable top-tier healthcare, vision and dental insurance, and an optional flexible spending account. To better help our employees secure their financial futures, we also provide a generous 401(k) contribution and matching program.</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We recognize the difficulty in finding affordable housing. We own and maintain 238 housing units located primarily near our headquarters in Ventura County, California. Leasing priority is offered to Limoneira employees, labor contractors, and other farmworkers. This unique employment benefit provides safe and affordable housing while allowing us to maintain a dependable, long-term employee base. We contract with a local transportation company to provide our residents’ children with safe and convenient transportation to and from school. The proximity of our housing units to our facilities allows workers to easily commute to and from work.</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008DCF"/>
          <w:sz w:val="26"/>
          <w:bdr w:val="single" w:sz="8" w:space="1" w:color="008DCF"/>
        </w:rPr>
      </w:pPr>
      <w:r>
        <w:rPr>
          <w:rFonts w:ascii="Arial;Helvetica;Sans-Serif" w:hAnsi="Arial;Helvetica;Sans-Serif"/>
          <w:b/>
          <w:i w:val="false"/>
          <w:caps w:val="false"/>
          <w:smallCaps w:val="false"/>
          <w:color w:val="008DCF"/>
          <w:sz w:val="26"/>
          <w:bdr w:val="single" w:sz="8" w:space="1" w:color="008DCF"/>
        </w:rPr>
        <w:t>Environmental</w:t>
      </w:r>
    </w:p>
    <w:p>
      <w:pPr>
        <w:pStyle w:val="TextBody"/>
        <w:bidi w:val="0"/>
        <w:spacing w:before="0" w:after="0"/>
        <w:ind w:left="200" w:right="200" w:hanging="0"/>
        <w:jc w:val="left"/>
        <w:rPr>
          <w:caps w:val="false"/>
          <w:smallCaps w:val="false"/>
          <w:color w:val="008DCF"/>
          <w:bdr w:val="single" w:sz="8" w:space="1" w:color="008DCF"/>
        </w:rPr>
      </w:pPr>
      <w:r>
        <w:rPr>
          <w:caps w:val="false"/>
          <w:smallCaps w:val="false"/>
          <w:color w:val="008DCF"/>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65C8F2"/>
          <w:sz w:val="24"/>
          <w:bdr w:val="single" w:sz="8" w:space="1" w:color="008DCF"/>
        </w:rPr>
      </w:pPr>
      <w:r>
        <w:rPr>
          <w:rFonts w:ascii="Arial;Helvetica;Sans-Serif" w:hAnsi="Arial;Helvetica;Sans-Serif"/>
          <w:b/>
          <w:i w:val="false"/>
          <w:caps w:val="false"/>
          <w:smallCaps w:val="false"/>
          <w:color w:val="65C8F2"/>
          <w:sz w:val="24"/>
          <w:bdr w:val="single" w:sz="8" w:space="1" w:color="008DCF"/>
        </w:rPr>
        <w:t>Natural Resources</w:t>
      </w:r>
    </w:p>
    <w:p>
      <w:pPr>
        <w:pStyle w:val="TextBody"/>
        <w:bidi w:val="0"/>
        <w:spacing w:before="0" w:after="0"/>
        <w:ind w:left="200" w:right="200" w:hanging="0"/>
        <w:jc w:val="left"/>
        <w:rPr>
          <w:caps w:val="false"/>
          <w:smallCaps w:val="false"/>
          <w:color w:val="65C8F2"/>
          <w:bdr w:val="single" w:sz="8" w:space="1" w:color="008DCF"/>
        </w:rPr>
      </w:pPr>
      <w:r>
        <w:rPr>
          <w:caps w:val="false"/>
          <w:smallCaps w:val="false"/>
          <w:color w:val="65C8F2"/>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Limoneira recognizes that agriculture would be impossible without natural resources, and we created an array of initiatives to promote and protect them. Our team is constantly experimenting with regenerative practices to utilize land and water resources as efficiently as possible, while we continue to expand our application of cover crops and pollinator habitats to support above and belowground biodiversity.</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65C8F2"/>
          <w:sz w:val="24"/>
          <w:bdr w:val="single" w:sz="8" w:space="1" w:color="008DCF"/>
        </w:rPr>
      </w:pPr>
      <w:r>
        <w:rPr>
          <w:rFonts w:ascii="Arial;Helvetica;Sans-Serif" w:hAnsi="Arial;Helvetica;Sans-Serif"/>
          <w:b/>
          <w:i w:val="false"/>
          <w:caps w:val="false"/>
          <w:smallCaps w:val="false"/>
          <w:color w:val="65C8F2"/>
          <w:sz w:val="24"/>
          <w:bdr w:val="single" w:sz="8" w:space="1" w:color="008DCF"/>
        </w:rPr>
        <w:t>Climate Smart Agriculture</w:t>
      </w:r>
    </w:p>
    <w:p>
      <w:pPr>
        <w:pStyle w:val="TextBody"/>
        <w:bidi w:val="0"/>
        <w:spacing w:before="0" w:after="0"/>
        <w:ind w:left="200" w:right="200" w:hanging="0"/>
        <w:jc w:val="left"/>
        <w:rPr>
          <w:caps w:val="false"/>
          <w:smallCaps w:val="false"/>
          <w:color w:val="65C8F2"/>
          <w:bdr w:val="single" w:sz="8" w:space="1" w:color="008DCF"/>
        </w:rPr>
      </w:pPr>
      <w:r>
        <w:rPr>
          <w:caps w:val="false"/>
          <w:smallCaps w:val="false"/>
          <w:color w:val="65C8F2"/>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Climate smart agriculture is a farming methodology that promotes sustainability while addressing challenges posed by climate change. It is intended to improve resilience to climate variability and enhance food security, while mitigating the effects of climate change on agricultural systems and reducing the environmental burden of agricultural activities. The approach involves the integration of technology, such as our soil moisture monitoring systems, and the adaptation of sustainable land management practices, such as cover cropping or the conversion to no-till. At Limoneira, climate smart agriculture is exemplified by our application of integrated pest management, low-impact farming practices, and our leverage of natural ecosystem services.</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65C8F2"/>
          <w:sz w:val="24"/>
          <w:bdr w:val="single" w:sz="8" w:space="1" w:color="008DCF"/>
        </w:rPr>
      </w:pPr>
      <w:r>
        <w:rPr>
          <w:rFonts w:ascii="Arial;Helvetica;Sans-Serif" w:hAnsi="Arial;Helvetica;Sans-Serif"/>
          <w:b/>
          <w:i w:val="false"/>
          <w:caps w:val="false"/>
          <w:smallCaps w:val="false"/>
          <w:color w:val="65C8F2"/>
          <w:sz w:val="24"/>
          <w:bdr w:val="single" w:sz="8" w:space="1" w:color="008DCF"/>
        </w:rPr>
        <w:t>Waste</w:t>
      </w:r>
    </w:p>
    <w:p>
      <w:pPr>
        <w:pStyle w:val="TextBody"/>
        <w:bidi w:val="0"/>
        <w:spacing w:before="0" w:after="0"/>
        <w:ind w:left="200" w:right="200" w:hanging="0"/>
        <w:jc w:val="left"/>
        <w:rPr>
          <w:caps w:val="false"/>
          <w:smallCaps w:val="false"/>
          <w:color w:val="65C8F2"/>
          <w:bdr w:val="single" w:sz="8" w:space="1" w:color="008DCF"/>
        </w:rPr>
      </w:pPr>
      <w:r>
        <w:rPr>
          <w:caps w:val="false"/>
          <w:smallCaps w:val="false"/>
          <w:color w:val="65C8F2"/>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We appreciate that resources are finite, and we manage our waste stream to prioritize environmental responsibility, resource conservation, and community wellbeing. We strive to minimize waste generation at the source and divert as much waste from landfills as possible. The majority of waste produced by Limoneira is organic material from the production process, which accounts for 88% of our total waste stream by mass. We recycle 100% of our organic waste through our strategic partnership with Agromin. This, along with other green waste collected across Ventura County, is transformed into nutrient-rich mulch, which is then reapplied to our orchards. In doing so, we are able to divert this material from landfills while enhancing the quality of our soil.</w:t>
      </w:r>
    </w:p>
    <w:p>
      <w:pPr>
        <w:pStyle w:val="TextBody"/>
        <w:bidi w:val="0"/>
        <w:spacing w:before="0" w:after="0"/>
        <w:ind w:left="200" w:right="200" w:hanging="0"/>
        <w:jc w:val="left"/>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15</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00" w:right="200" w:hanging="0"/>
        <w:jc w:val="left"/>
        <w:rPr>
          <w:caps w:val="false"/>
          <w:smallCaps w:val="false"/>
        </w:rPr>
      </w:pPr>
      <w:r>
        <w:rPr>
          <w:caps w:val="false"/>
          <w:smallCaps w:val="false"/>
        </w:rPr>
        <w:t> </w:t>
      </w:r>
    </w:p>
    <w:tbl>
      <w:tblPr>
        <w:tblW w:w="6245" w:type="dxa"/>
        <w:jc w:val="center"/>
        <w:tblInd w:w="0" w:type="dxa"/>
        <w:tblLayout w:type="fixed"/>
        <w:tblCellMar>
          <w:top w:w="0" w:type="dxa"/>
          <w:left w:w="0" w:type="dxa"/>
          <w:bottom w:w="0" w:type="dxa"/>
          <w:right w:w="0" w:type="dxa"/>
        </w:tblCellMar>
      </w:tblPr>
      <w:tblGrid>
        <w:gridCol w:w="6245"/>
      </w:tblGrid>
      <w:tr>
        <w:trPr/>
        <w:tc>
          <w:tcPr>
            <w:tcW w:w="6245" w:type="dxa"/>
            <w:tcBorders/>
            <w:vAlign w:val="center"/>
          </w:tcPr>
          <w:p>
            <w:pPr>
              <w:pStyle w:val="TableContents"/>
              <w:bidi w:val="0"/>
              <w:spacing w:before="0" w:after="283"/>
              <w:jc w:val="left"/>
              <w:rPr>
                <w:rFonts w:ascii="Arial;Helvetica;Sans-Serif" w:hAnsi="Arial;Helvetica;Sans-Serif"/>
                <w:b/>
                <w:color w:val="FFFFFF"/>
                <w:sz w:val="30"/>
              </w:rPr>
            </w:pPr>
            <w:bookmarkStart w:id="10" w:name="lmnrdef14aa007"/>
            <w:bookmarkEnd w:id="10"/>
            <w:r>
              <w:rPr>
                <w:rFonts w:ascii="Arial;Helvetica;Sans-Serif" w:hAnsi="Arial;Helvetica;Sans-Serif"/>
                <w:b/>
                <w:color w:val="FFFFFF"/>
                <w:sz w:val="30"/>
              </w:rPr>
              <w:t>Corporate Governance and Related Matters</w:t>
            </w:r>
          </w:p>
        </w:tc>
      </w:tr>
    </w:tbl>
    <w:p>
      <w:pPr>
        <w:pStyle w:val="TextBody"/>
        <w:bidi w:val="0"/>
        <w:spacing w:before="0" w:after="0"/>
        <w:ind w:left="200" w:right="200" w:hanging="0"/>
        <w:jc w:val="center"/>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008DCF"/>
          <w:sz w:val="26"/>
          <w:bdr w:val="single" w:sz="8" w:space="1" w:color="008DCF"/>
        </w:rPr>
      </w:pPr>
      <w:bookmarkStart w:id="11" w:name="lmnrdef14aa008"/>
      <w:bookmarkEnd w:id="11"/>
      <w:r>
        <w:rPr>
          <w:rFonts w:ascii="Arial;Helvetica;Sans-Serif" w:hAnsi="Arial;Helvetica;Sans-Serif"/>
          <w:b/>
          <w:i w:val="false"/>
          <w:caps w:val="false"/>
          <w:smallCaps w:val="false"/>
          <w:color w:val="008DCF"/>
          <w:sz w:val="26"/>
          <w:bdr w:val="single" w:sz="8" w:space="1" w:color="008DCF"/>
        </w:rPr>
        <w:t>Corporate Governance Policies</w:t>
      </w:r>
    </w:p>
    <w:p>
      <w:pPr>
        <w:pStyle w:val="TextBody"/>
        <w:bidi w:val="0"/>
        <w:spacing w:before="0" w:after="0"/>
        <w:ind w:left="200" w:right="200" w:hanging="0"/>
        <w:jc w:val="left"/>
        <w:rPr>
          <w:caps w:val="false"/>
          <w:smallCaps w:val="false"/>
          <w:color w:val="008DCF"/>
          <w:bdr w:val="single" w:sz="8" w:space="1" w:color="008DCF"/>
        </w:rPr>
      </w:pPr>
      <w:r>
        <w:rPr>
          <w:caps w:val="false"/>
          <w:smallCaps w:val="false"/>
          <w:color w:val="008DCF"/>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We have the following corporate governance policies:</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tbl>
      <w:tblPr>
        <w:tblW w:w="2013" w:type="dxa"/>
        <w:jc w:val="center"/>
        <w:tblInd w:w="0" w:type="dxa"/>
        <w:tblLayout w:type="fixed"/>
        <w:tblCellMar>
          <w:top w:w="0" w:type="dxa"/>
          <w:left w:w="0" w:type="dxa"/>
          <w:bottom w:w="0" w:type="dxa"/>
          <w:right w:w="0" w:type="dxa"/>
        </w:tblCellMar>
      </w:tblPr>
      <w:tblGrid>
        <w:gridCol w:w="38"/>
        <w:gridCol w:w="110"/>
        <w:gridCol w:w="18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86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Anti-Corruption Policy;</w:t>
            </w:r>
          </w:p>
        </w:tc>
      </w:tr>
    </w:tbl>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tbl>
      <w:tblPr>
        <w:tblW w:w="1218" w:type="dxa"/>
        <w:jc w:val="center"/>
        <w:tblInd w:w="0" w:type="dxa"/>
        <w:tblLayout w:type="fixed"/>
        <w:tblCellMar>
          <w:top w:w="0" w:type="dxa"/>
          <w:left w:w="0" w:type="dxa"/>
          <w:bottom w:w="0" w:type="dxa"/>
          <w:right w:w="0" w:type="dxa"/>
        </w:tblCellMar>
      </w:tblPr>
      <w:tblGrid>
        <w:gridCol w:w="38"/>
        <w:gridCol w:w="110"/>
        <w:gridCol w:w="107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7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Ethics Code;</w:t>
            </w:r>
          </w:p>
        </w:tc>
      </w:tr>
    </w:tbl>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tbl>
      <w:tblPr>
        <w:tblW w:w="3033" w:type="dxa"/>
        <w:jc w:val="center"/>
        <w:tblInd w:w="0" w:type="dxa"/>
        <w:tblLayout w:type="fixed"/>
        <w:tblCellMar>
          <w:top w:w="0" w:type="dxa"/>
          <w:left w:w="0" w:type="dxa"/>
          <w:bottom w:w="0" w:type="dxa"/>
          <w:right w:w="0" w:type="dxa"/>
        </w:tblCellMar>
      </w:tblPr>
      <w:tblGrid>
        <w:gridCol w:w="38"/>
        <w:gridCol w:w="110"/>
        <w:gridCol w:w="288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288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Corporate Governance Guidelines;</w:t>
            </w:r>
          </w:p>
        </w:tc>
      </w:tr>
    </w:tbl>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tbl>
      <w:tblPr>
        <w:tblW w:w="2868" w:type="dxa"/>
        <w:jc w:val="center"/>
        <w:tblInd w:w="0" w:type="dxa"/>
        <w:tblLayout w:type="fixed"/>
        <w:tblCellMar>
          <w:top w:w="0" w:type="dxa"/>
          <w:left w:w="0" w:type="dxa"/>
          <w:bottom w:w="0" w:type="dxa"/>
          <w:right w:w="0" w:type="dxa"/>
        </w:tblCellMar>
      </w:tblPr>
      <w:tblGrid>
        <w:gridCol w:w="38"/>
        <w:gridCol w:w="11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27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Regulation FD Disclosure Policy;</w:t>
            </w:r>
          </w:p>
        </w:tc>
      </w:tr>
    </w:tbl>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tbl>
      <w:tblPr>
        <w:tblW w:w="4638" w:type="dxa"/>
        <w:jc w:val="center"/>
        <w:tblInd w:w="0" w:type="dxa"/>
        <w:tblLayout w:type="fixed"/>
        <w:tblCellMar>
          <w:top w:w="0" w:type="dxa"/>
          <w:left w:w="0" w:type="dxa"/>
          <w:bottom w:w="0" w:type="dxa"/>
          <w:right w:w="0" w:type="dxa"/>
        </w:tblCellMar>
      </w:tblPr>
      <w:tblGrid>
        <w:gridCol w:w="38"/>
        <w:gridCol w:w="110"/>
        <w:gridCol w:w="449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449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Stock Ownership Guidelines (“Ownership Guidelines”);</w:t>
            </w:r>
          </w:p>
        </w:tc>
      </w:tr>
    </w:tbl>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tbl>
      <w:tblPr>
        <w:tblW w:w="5193" w:type="dxa"/>
        <w:jc w:val="center"/>
        <w:tblInd w:w="0" w:type="dxa"/>
        <w:tblLayout w:type="fixed"/>
        <w:tblCellMar>
          <w:top w:w="0" w:type="dxa"/>
          <w:left w:w="0" w:type="dxa"/>
          <w:bottom w:w="0" w:type="dxa"/>
          <w:right w:w="0" w:type="dxa"/>
        </w:tblCellMar>
      </w:tblPr>
      <w:tblGrid>
        <w:gridCol w:w="38"/>
        <w:gridCol w:w="110"/>
        <w:gridCol w:w="504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504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Amended and Restated Clawback Policy (“Clawback Policy”);</w:t>
            </w:r>
          </w:p>
        </w:tc>
      </w:tr>
    </w:tbl>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tbl>
      <w:tblPr>
        <w:tblW w:w="6213" w:type="dxa"/>
        <w:jc w:val="center"/>
        <w:tblInd w:w="0" w:type="dxa"/>
        <w:tblLayout w:type="fixed"/>
        <w:tblCellMar>
          <w:top w:w="0" w:type="dxa"/>
          <w:left w:w="0" w:type="dxa"/>
          <w:bottom w:w="0" w:type="dxa"/>
          <w:right w:w="0" w:type="dxa"/>
        </w:tblCellMar>
      </w:tblPr>
      <w:tblGrid>
        <w:gridCol w:w="38"/>
        <w:gridCol w:w="110"/>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606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Code of Business Conduct and Ethics for Directors (“Directors Code”); and</w:t>
            </w:r>
          </w:p>
        </w:tc>
      </w:tr>
    </w:tbl>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tbl>
      <w:tblPr>
        <w:tblW w:w="10205" w:type="dxa"/>
        <w:jc w:val="center"/>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Policy Regarding Insider Trading, Tipping and Other Wrongful Disclosures and Guidelines with Respect to Certain Transactions in Securities of Limoneira Company and Other Companies in which Limoneira Maintains a Relationship (“Insider Trading Policy”).</w:t>
            </w:r>
          </w:p>
        </w:tc>
      </w:tr>
    </w:tbl>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008DCF"/>
          <w:sz w:val="26"/>
          <w:bdr w:val="single" w:sz="8" w:space="1" w:color="008DCF"/>
        </w:rPr>
      </w:pPr>
      <w:bookmarkStart w:id="12" w:name="lmnrdef14aa009"/>
      <w:bookmarkEnd w:id="12"/>
      <w:r>
        <w:rPr>
          <w:rFonts w:ascii="Arial;Helvetica;Sans-Serif" w:hAnsi="Arial;Helvetica;Sans-Serif"/>
          <w:b/>
          <w:i w:val="false"/>
          <w:caps w:val="false"/>
          <w:smallCaps w:val="false"/>
          <w:color w:val="008DCF"/>
          <w:sz w:val="26"/>
          <w:bdr w:val="single" w:sz="8" w:space="1" w:color="008DCF"/>
        </w:rPr>
        <w:t>Board of Directors Highlights</w:t>
      </w:r>
    </w:p>
    <w:p>
      <w:pPr>
        <w:pStyle w:val="TextBody"/>
        <w:bidi w:val="0"/>
        <w:spacing w:before="0" w:after="0"/>
        <w:ind w:left="200" w:right="200" w:hanging="0"/>
        <w:jc w:val="left"/>
        <w:rPr>
          <w:caps w:val="false"/>
          <w:smallCaps w:val="false"/>
          <w:color w:val="008DCF"/>
          <w:bdr w:val="single" w:sz="8" w:space="1" w:color="008DCF"/>
        </w:rPr>
      </w:pPr>
      <w:r>
        <w:rPr>
          <w:caps w:val="false"/>
          <w:smallCaps w:val="false"/>
          <w:color w:val="008DCF"/>
          <w:bdr w:val="single" w:sz="8" w:space="1" w:color="008DCF"/>
        </w:rPr>
        <w:t> </w:t>
      </w:r>
    </w:p>
    <w:tbl>
      <w:tblPr>
        <w:tblW w:w="6288" w:type="dxa"/>
        <w:jc w:val="center"/>
        <w:tblInd w:w="0" w:type="dxa"/>
        <w:tblLayout w:type="fixed"/>
        <w:tblCellMar>
          <w:top w:w="0" w:type="dxa"/>
          <w:left w:w="0" w:type="dxa"/>
          <w:bottom w:w="0" w:type="dxa"/>
          <w:right w:w="0" w:type="dxa"/>
        </w:tblCellMar>
      </w:tblPr>
      <w:tblGrid>
        <w:gridCol w:w="38"/>
        <w:gridCol w:w="11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614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Seven (7) current directors; six (6) are independent and two (2) are women;</w:t>
            </w:r>
          </w:p>
        </w:tc>
      </w:tr>
    </w:tbl>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tbl>
      <w:tblPr>
        <w:tblW w:w="10205" w:type="dxa"/>
        <w:jc w:val="center"/>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Standing committee chairs are independent, consisting of independent chairs of the Audit &amp; Finance Committee (“Audit Committee”), Compensation Committee, Nominating &amp; Corporate Governance Committee (“Nominating Committee”), and Risk Management Committee (“Risk Committee”);</w:t>
            </w:r>
          </w:p>
        </w:tc>
      </w:tr>
    </w:tbl>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tbl>
      <w:tblPr>
        <w:tblW w:w="8808" w:type="dxa"/>
        <w:jc w:val="center"/>
        <w:tblInd w:w="0" w:type="dxa"/>
        <w:tblLayout w:type="fixed"/>
        <w:tblCellMar>
          <w:top w:w="0" w:type="dxa"/>
          <w:left w:w="0" w:type="dxa"/>
          <w:bottom w:w="0" w:type="dxa"/>
          <w:right w:w="0" w:type="dxa"/>
        </w:tblCellMar>
      </w:tblPr>
      <w:tblGrid>
        <w:gridCol w:w="38"/>
        <w:gridCol w:w="110"/>
        <w:gridCol w:w="866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866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Executive sessions of non-management directors are held at each regular Board and committee meetings;</w:t>
            </w:r>
          </w:p>
        </w:tc>
      </w:tr>
    </w:tbl>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tbl>
      <w:tblPr>
        <w:tblW w:w="4653" w:type="dxa"/>
        <w:jc w:val="center"/>
        <w:tblInd w:w="0" w:type="dxa"/>
        <w:tblLayout w:type="fixed"/>
        <w:tblCellMar>
          <w:top w:w="0" w:type="dxa"/>
          <w:left w:w="0" w:type="dxa"/>
          <w:bottom w:w="0" w:type="dxa"/>
          <w:right w:w="0" w:type="dxa"/>
        </w:tblCellMar>
      </w:tblPr>
      <w:tblGrid>
        <w:gridCol w:w="38"/>
        <w:gridCol w:w="110"/>
        <w:gridCol w:w="450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450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75% of committee leadership roles are held by women;</w:t>
            </w:r>
          </w:p>
        </w:tc>
      </w:tr>
    </w:tbl>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tbl>
      <w:tblPr>
        <w:tblW w:w="10205" w:type="dxa"/>
        <w:jc w:val="center"/>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Six (6) of our seven (7) Board members have experience on other public company boards and two (2) of our seven (7) Board members are current or former public company chief executive officers; and</w:t>
            </w:r>
          </w:p>
        </w:tc>
      </w:tr>
    </w:tbl>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tbl>
      <w:tblPr>
        <w:tblW w:w="9663" w:type="dxa"/>
        <w:jc w:val="center"/>
        <w:tblInd w:w="0" w:type="dxa"/>
        <w:tblLayout w:type="fixed"/>
        <w:tblCellMar>
          <w:top w:w="0" w:type="dxa"/>
          <w:left w:w="0" w:type="dxa"/>
          <w:bottom w:w="0" w:type="dxa"/>
          <w:right w:w="0" w:type="dxa"/>
        </w:tblCellMar>
      </w:tblPr>
      <w:tblGrid>
        <w:gridCol w:w="38"/>
        <w:gridCol w:w="110"/>
        <w:gridCol w:w="95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951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Annual Board, committee, and individual performance evaluations assess the skills and performance of our directors.</w:t>
            </w:r>
          </w:p>
        </w:tc>
      </w:tr>
    </w:tbl>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008DCF"/>
          <w:sz w:val="26"/>
          <w:bdr w:val="single" w:sz="8" w:space="1" w:color="008DCF"/>
        </w:rPr>
      </w:pPr>
      <w:bookmarkStart w:id="13" w:name="lmnrdef14aa010"/>
      <w:bookmarkEnd w:id="13"/>
      <w:r>
        <w:rPr>
          <w:rFonts w:ascii="Arial;Helvetica;Sans-Serif" w:hAnsi="Arial;Helvetica;Sans-Serif"/>
          <w:b/>
          <w:i w:val="false"/>
          <w:caps w:val="false"/>
          <w:smallCaps w:val="false"/>
          <w:color w:val="008DCF"/>
          <w:sz w:val="26"/>
          <w:bdr w:val="single" w:sz="8" w:space="1" w:color="008DCF"/>
        </w:rPr>
        <w:t>Board of Directors Structure</w:t>
      </w:r>
    </w:p>
    <w:p>
      <w:pPr>
        <w:pStyle w:val="TextBody"/>
        <w:bidi w:val="0"/>
        <w:spacing w:before="0" w:after="0"/>
        <w:ind w:left="200" w:right="200" w:hanging="0"/>
        <w:jc w:val="left"/>
        <w:rPr>
          <w:caps w:val="false"/>
          <w:smallCaps w:val="false"/>
          <w:color w:val="008DCF"/>
          <w:bdr w:val="single" w:sz="8" w:space="1" w:color="008DCF"/>
        </w:rPr>
      </w:pPr>
      <w:r>
        <w:rPr>
          <w:caps w:val="false"/>
          <w:smallCaps w:val="false"/>
          <w:color w:val="008DCF"/>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The Bylaws provide that the exact number of directors shall consist of not less than six (6) and not more than twelve (12) directors as fixed from time to time by resolution of a majority of the total number of directors that the Company would have if there were no vacancies. Our Board is currently fixed at seven (7) directors. Our Bylaws divide the Board into three (3) classes, each class serving for a term ending on the date of the third Annual Meeting of Stockholders following the Annual Meeting of Stockholders at which such director was elected.</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Effective January 1, 2024, our seven (7) directors are divided among the three (3) classes as follows:</w:t>
      </w:r>
    </w:p>
    <w:p>
      <w:pPr>
        <w:pStyle w:val="TextBody"/>
        <w:bidi w:val="0"/>
        <w:spacing w:before="0" w:after="0"/>
        <w:ind w:left="200" w:right="200" w:hanging="0"/>
        <w:jc w:val="center"/>
        <w:rPr>
          <w:caps w:val="false"/>
          <w:smallCaps w:val="false"/>
          <w:bdr w:val="single" w:sz="8" w:space="1" w:color="008DCF"/>
        </w:rPr>
      </w:pPr>
      <w:r>
        <w:rPr>
          <w:caps w:val="false"/>
          <w:smallCaps w:val="false"/>
          <w:bdr w:val="single" w:sz="8" w:space="1" w:color="008DCF"/>
        </w:rPr>
        <w:t> </w:t>
      </w:r>
    </w:p>
    <w:tbl>
      <w:tblPr>
        <w:tblW w:w="9645" w:type="dxa"/>
        <w:jc w:val="center"/>
        <w:tblInd w:w="0" w:type="dxa"/>
        <w:tblLayout w:type="fixed"/>
        <w:tblCellMar>
          <w:top w:w="76" w:type="dxa"/>
          <w:left w:w="0" w:type="dxa"/>
          <w:bottom w:w="28" w:type="dxa"/>
          <w:right w:w="28" w:type="dxa"/>
        </w:tblCellMar>
      </w:tblPr>
      <w:tblGrid>
        <w:gridCol w:w="2780"/>
        <w:gridCol w:w="4115"/>
        <w:gridCol w:w="2750"/>
      </w:tblGrid>
      <w:tr>
        <w:trPr/>
        <w:tc>
          <w:tcPr>
            <w:tcW w:w="2780" w:type="dxa"/>
            <w:tcBorders>
              <w:top w:val="single" w:sz="8" w:space="0" w:color="E5F5FD"/>
              <w:bottom w:val="single" w:sz="8" w:space="0" w:color="E5F5FD"/>
              <w:right w:val="single" w:sz="8" w:space="0" w:color="E5F5FD"/>
            </w:tcBorders>
            <w:shd w:fill="D2D6E4" w:val="cle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Class I Directors</w:t>
            </w:r>
          </w:p>
        </w:tc>
        <w:tc>
          <w:tcPr>
            <w:tcW w:w="4115" w:type="dxa"/>
            <w:tcBorders>
              <w:top w:val="single" w:sz="8" w:space="0" w:color="E5F5FD"/>
              <w:bottom w:val="single" w:sz="8" w:space="0" w:color="E5F5FD"/>
              <w:right w:val="single" w:sz="8" w:space="0" w:color="E3F2E7"/>
            </w:tcBorders>
            <w:shd w:fill="D2D6E4" w:val="cle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Class II Directors</w:t>
            </w:r>
          </w:p>
        </w:tc>
        <w:tc>
          <w:tcPr>
            <w:tcW w:w="2750" w:type="dxa"/>
            <w:tcBorders>
              <w:top w:val="single" w:sz="8" w:space="0" w:color="E5F5FD"/>
              <w:bottom w:val="single" w:sz="8" w:space="0" w:color="E5F5FD"/>
            </w:tcBorders>
            <w:shd w:fill="D2D6E4" w:val="clear"/>
            <w:tcMar>
              <w:right w:w="0"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Class III Directors</w:t>
            </w:r>
          </w:p>
        </w:tc>
      </w:tr>
      <w:tr>
        <w:trPr/>
        <w:tc>
          <w:tcPr>
            <w:tcW w:w="2780" w:type="dxa"/>
            <w:tcBorders>
              <w:bottom w:val="single" w:sz="8" w:space="0" w:color="E5F5FD"/>
              <w:right w:val="single" w:sz="8" w:space="0" w:color="E5F5FD"/>
            </w:tcBorders>
            <w:shd w:fill="D2D6E4" w:val="clear"/>
            <w:tcMar>
              <w:top w:w="0"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Term expires 2027 Annual Meeting</w:t>
            </w:r>
          </w:p>
        </w:tc>
        <w:tc>
          <w:tcPr>
            <w:tcW w:w="4115" w:type="dxa"/>
            <w:tcBorders>
              <w:bottom w:val="single" w:sz="8" w:space="0" w:color="E5F5FD"/>
              <w:right w:val="single" w:sz="8" w:space="0" w:color="E3F2E7"/>
            </w:tcBorders>
            <w:shd w:fill="D2D6E4" w:val="clear"/>
            <w:tcMar>
              <w:top w:w="0"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Term expires 2028 Annual Meeting</w:t>
            </w:r>
          </w:p>
        </w:tc>
        <w:tc>
          <w:tcPr>
            <w:tcW w:w="2750" w:type="dxa"/>
            <w:tcBorders>
              <w:bottom w:val="single" w:sz="8" w:space="0" w:color="E5F5FD"/>
            </w:tcBorders>
            <w:shd w:fill="D2D6E4" w:val="clear"/>
            <w:tcMar>
              <w:top w:w="0" w:type="dxa"/>
              <w:right w:w="0"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Term expires 2026 Annual Meeting</w:t>
            </w:r>
          </w:p>
        </w:tc>
      </w:tr>
      <w:tr>
        <w:trPr/>
        <w:tc>
          <w:tcPr>
            <w:tcW w:w="2780" w:type="dxa"/>
            <w:tcBorders>
              <w:bottom w:val="single" w:sz="8" w:space="0" w:color="E5F5FD"/>
              <w:right w:val="single" w:sz="8" w:space="0" w:color="E5F5FD"/>
            </w:tcBorders>
            <w:tcMar>
              <w:top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Harold S. Edwards Edgar A. Terry</w:t>
            </w:r>
          </w:p>
        </w:tc>
        <w:tc>
          <w:tcPr>
            <w:tcW w:w="4115" w:type="dxa"/>
            <w:tcBorders>
              <w:bottom w:val="single" w:sz="8" w:space="0" w:color="E5F5FD"/>
              <w:right w:val="single" w:sz="8" w:space="0" w:color="E3F2E7"/>
            </w:tcBorders>
            <w:tcMar>
              <w:top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Barbara Carbone Gordon E Kimball Scott S. Slater</w:t>
            </w:r>
          </w:p>
        </w:tc>
        <w:tc>
          <w:tcPr>
            <w:tcW w:w="2750" w:type="dxa"/>
            <w:tcBorders>
              <w:bottom w:val="single" w:sz="8" w:space="0" w:color="E5F5FD"/>
            </w:tcBorders>
            <w:tcMar>
              <w:top w:w="0" w:type="dxa"/>
              <w:righ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Elizabeth Mora Peter J. Nolan</w:t>
            </w:r>
          </w:p>
        </w:tc>
      </w:tr>
    </w:tbl>
    <w:p>
      <w:pPr>
        <w:pStyle w:val="TextBody"/>
        <w:bidi w:val="0"/>
        <w:ind w:left="200" w:right="200" w:hanging="0"/>
        <w:jc w:val="left"/>
        <w:rPr/>
      </w:pPr>
      <w:r>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16</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00" w:right="200" w:hanging="0"/>
        <w:jc w:val="left"/>
        <w:rPr>
          <w:caps w:val="false"/>
          <w:smallCaps w:val="false"/>
          <w:color w:val="FF0000"/>
        </w:rPr>
      </w:pPr>
      <w:r>
        <w:rPr>
          <w:caps w:val="false"/>
          <w:smallCaps w:val="false"/>
          <w:color w:val="FF0000"/>
        </w:rPr>
        <w:t> </w:t>
      </w:r>
    </w:p>
    <w:p>
      <w:pPr>
        <w:pStyle w:val="TextBody"/>
        <w:bidi w:val="0"/>
        <w:spacing w:before="0" w:after="0"/>
        <w:ind w:left="200" w:right="200" w:hanging="0"/>
        <w:jc w:val="left"/>
        <w:rPr>
          <w:rFonts w:ascii="Arial;Helvetica;Sans-Serif" w:hAnsi="Arial;Helvetica;Sans-Serif"/>
          <w:b/>
          <w:i w:val="false"/>
          <w:caps w:val="false"/>
          <w:smallCaps w:val="false"/>
          <w:color w:val="008DCF"/>
          <w:sz w:val="26"/>
          <w:bdr w:val="single" w:sz="8" w:space="1" w:color="008DCF"/>
        </w:rPr>
      </w:pPr>
      <w:bookmarkStart w:id="14" w:name="lmnrdef14aa011"/>
      <w:bookmarkEnd w:id="14"/>
      <w:r>
        <w:rPr>
          <w:rFonts w:ascii="Arial;Helvetica;Sans-Serif" w:hAnsi="Arial;Helvetica;Sans-Serif"/>
          <w:b/>
          <w:i w:val="false"/>
          <w:caps w:val="false"/>
          <w:smallCaps w:val="false"/>
          <w:color w:val="008DCF"/>
          <w:sz w:val="26"/>
          <w:bdr w:val="single" w:sz="8" w:space="1" w:color="008DCF"/>
        </w:rPr>
        <w:t>Board of Directors Oversight Responsibilities</w:t>
      </w:r>
    </w:p>
    <w:p>
      <w:pPr>
        <w:pStyle w:val="TextBody"/>
        <w:bidi w:val="0"/>
        <w:spacing w:before="0" w:after="0"/>
        <w:ind w:left="200" w:right="200" w:hanging="0"/>
        <w:jc w:val="left"/>
        <w:rPr>
          <w:caps w:val="false"/>
          <w:smallCaps w:val="false"/>
          <w:color w:val="008DCF"/>
          <w:bdr w:val="single" w:sz="8" w:space="1" w:color="008DCF"/>
        </w:rPr>
      </w:pPr>
      <w:r>
        <w:rPr>
          <w:caps w:val="false"/>
          <w:smallCaps w:val="false"/>
          <w:color w:val="008DCF"/>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65C8F2"/>
          <w:sz w:val="24"/>
          <w:bdr w:val="single" w:sz="8" w:space="1" w:color="008DCF"/>
        </w:rPr>
      </w:pPr>
      <w:bookmarkStart w:id="15" w:name="lmnrdef14aa012"/>
      <w:bookmarkEnd w:id="15"/>
      <w:r>
        <w:rPr>
          <w:rFonts w:ascii="Arial;Helvetica;Sans-Serif" w:hAnsi="Arial;Helvetica;Sans-Serif"/>
          <w:b/>
          <w:i w:val="false"/>
          <w:caps w:val="false"/>
          <w:smallCaps w:val="false"/>
          <w:color w:val="65C8F2"/>
          <w:sz w:val="24"/>
          <w:bdr w:val="single" w:sz="8" w:space="1" w:color="008DCF"/>
        </w:rPr>
        <w:t>Leadership Structure</w:t>
      </w:r>
    </w:p>
    <w:p>
      <w:pPr>
        <w:pStyle w:val="TextBody"/>
        <w:bidi w:val="0"/>
        <w:spacing w:before="0" w:after="0"/>
        <w:ind w:left="200" w:right="200" w:hanging="0"/>
        <w:jc w:val="left"/>
        <w:rPr>
          <w:caps w:val="false"/>
          <w:smallCaps w:val="false"/>
          <w:color w:val="65C8F2"/>
          <w:bdr w:val="single" w:sz="8" w:space="1" w:color="008DCF"/>
        </w:rPr>
      </w:pPr>
      <w:r>
        <w:rPr>
          <w:caps w:val="false"/>
          <w:smallCaps w:val="false"/>
          <w:color w:val="65C8F2"/>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The leadership structure of the Board is centered on the concept of an appropriate balance between management and the Board. The Board believes that it is in the Company’s best interests that the Chairperson and Chief Executive Officer roles are separate. The separation allows the Chief Executive Officer to focus primarily on leading the day-to-day operations of the Company while the Chairperson can focus on leading the Board in its consideration of strategic issues, critical discussions, and monitoring corporate governance and stockholder issues. To encourage open discussion and communication among the directors, executive sessions of non-management directors are held during each Board and committee meeting. Mr. Scott S. Slater was appointed Chairperson of the Board in July 2022. Mr. Harold S. Edwards serves as the Company’s President and Chief Executive Officer. Mr. Edwards is also a member of the Board.</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Our Board established an Audit Committee, Compensation Committee, Nominating Committee, and a Risk Committee. Each committee plays an important role in the governance and leadership of the Board, and each is chaired by an independent director. For additional information regarding these committees, please see “Committees of the Board of Directors” and for biographies of the Chairperson and members of each of the committees, please see “Proposal 1: Election of Directors.”</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65C8F2"/>
          <w:sz w:val="24"/>
          <w:bdr w:val="single" w:sz="8" w:space="1" w:color="008DCF"/>
        </w:rPr>
      </w:pPr>
      <w:bookmarkStart w:id="16" w:name="lmnrdef14aa013"/>
      <w:bookmarkEnd w:id="16"/>
      <w:r>
        <w:rPr>
          <w:rFonts w:ascii="Arial;Helvetica;Sans-Serif" w:hAnsi="Arial;Helvetica;Sans-Serif"/>
          <w:b/>
          <w:i w:val="false"/>
          <w:caps w:val="false"/>
          <w:smallCaps w:val="false"/>
          <w:color w:val="65C8F2"/>
          <w:sz w:val="24"/>
          <w:bdr w:val="single" w:sz="8" w:space="1" w:color="008DCF"/>
        </w:rPr>
        <w:t>Risk Oversight</w:t>
      </w:r>
    </w:p>
    <w:p>
      <w:pPr>
        <w:pStyle w:val="TextBody"/>
        <w:bidi w:val="0"/>
        <w:spacing w:before="0" w:after="0"/>
        <w:ind w:left="200" w:right="200" w:hanging="0"/>
        <w:jc w:val="left"/>
        <w:rPr>
          <w:caps w:val="false"/>
          <w:smallCaps w:val="false"/>
          <w:color w:val="65C8F2"/>
          <w:bdr w:val="single" w:sz="8" w:space="1" w:color="008DCF"/>
        </w:rPr>
      </w:pPr>
      <w:r>
        <w:rPr>
          <w:caps w:val="false"/>
          <w:smallCaps w:val="false"/>
          <w:color w:val="65C8F2"/>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Although management is responsible for the day-to-day management of the risks of our Company, the Board and its committees have active roles in overseeing the management of our risks and bear the ultimate responsibility for risk management. The Board regularly reviews information regarding our operational, financial, technological, legal, environmental, industry, human capital and strategic risks. Specifically, executive management attends meetings of the Risk Committee, provides presentations on operations including our risk matrix, and is available to address any questions or concerns raised by the Board. Company subject matter experts attend to provide additional information, data and participate in the discussions, as needed. Our Board believes that a fundamental part of risk management is understanding the risks that we face, monitoring these risks, and adopting appropriate controls and mitigation activities for such risks. Our committees assist the Board in fulfilling its oversight responsibilities in certain areas of risk aligned with its area of focus. In addition, the Board receives reports from our independent registered public accounting firm, internal auditors and other consultants and meets in executive sessions with these outside consultants.</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65C8F2"/>
          <w:sz w:val="24"/>
          <w:bdr w:val="single" w:sz="8" w:space="1" w:color="008DCF"/>
        </w:rPr>
      </w:pPr>
      <w:bookmarkStart w:id="17" w:name="lmnrdef14aa014"/>
      <w:bookmarkEnd w:id="17"/>
      <w:r>
        <w:rPr>
          <w:rFonts w:ascii="Arial;Helvetica;Sans-Serif" w:hAnsi="Arial;Helvetica;Sans-Serif"/>
          <w:b/>
          <w:i w:val="false"/>
          <w:caps w:val="false"/>
          <w:smallCaps w:val="false"/>
          <w:color w:val="65C8F2"/>
          <w:sz w:val="24"/>
          <w:bdr w:val="single" w:sz="8" w:space="1" w:color="008DCF"/>
        </w:rPr>
        <w:t>Code of Ethics</w:t>
      </w:r>
    </w:p>
    <w:p>
      <w:pPr>
        <w:pStyle w:val="TextBody"/>
        <w:bidi w:val="0"/>
        <w:spacing w:before="0" w:after="0"/>
        <w:ind w:left="200" w:right="200" w:hanging="0"/>
        <w:jc w:val="left"/>
        <w:rPr>
          <w:caps w:val="false"/>
          <w:smallCaps w:val="false"/>
          <w:color w:val="65C8F2"/>
          <w:bdr w:val="single" w:sz="8" w:space="1" w:color="008DCF"/>
        </w:rPr>
      </w:pPr>
      <w:r>
        <w:rPr>
          <w:caps w:val="false"/>
          <w:smallCaps w:val="false"/>
          <w:color w:val="65C8F2"/>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Our Code of Ethics (“Ethics Code”) sets forth our commitment to ethical business practices. Our Ethics Code applies to our directors, officers and staff, as well as others conducting business on our behalf, including consultants and temporary workers (as applicable by law). We require annual certification of our Ethics Code by employees and our Board. Copies of our Ethics Code are provided without charge upon written request to: Investor Relations at Limoneira Company, 1141 Cummings Road, Santa Paula, California 93060. The Ethics Code is also available on our website at https://investor. limoneira.com/corporate-governance/overview. Any amendments to or waivers from the Ethics Code granted to Directors or any NEO are disclosed on our website promptly following the amendment of wavier. There were no waivers granted or requested in fiscal year 2025.</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65C8F2"/>
          <w:sz w:val="24"/>
          <w:bdr w:val="single" w:sz="8" w:space="1" w:color="008DCF"/>
        </w:rPr>
      </w:pPr>
      <w:bookmarkStart w:id="18" w:name="lmnrdef14aa015"/>
      <w:bookmarkEnd w:id="18"/>
      <w:r>
        <w:rPr>
          <w:rFonts w:ascii="Arial;Helvetica;Sans-Serif" w:hAnsi="Arial;Helvetica;Sans-Serif"/>
          <w:b/>
          <w:i w:val="false"/>
          <w:caps w:val="false"/>
          <w:smallCaps w:val="false"/>
          <w:color w:val="65C8F2"/>
          <w:sz w:val="24"/>
          <w:bdr w:val="single" w:sz="8" w:space="1" w:color="008DCF"/>
        </w:rPr>
        <w:t>Code of Business Conduct and Ethics for Directors</w:t>
      </w:r>
    </w:p>
    <w:p>
      <w:pPr>
        <w:pStyle w:val="TextBody"/>
        <w:bidi w:val="0"/>
        <w:spacing w:before="0" w:after="0"/>
        <w:ind w:left="200" w:right="200" w:hanging="0"/>
        <w:jc w:val="left"/>
        <w:rPr>
          <w:caps w:val="false"/>
          <w:smallCaps w:val="false"/>
          <w:color w:val="65C8F2"/>
          <w:bdr w:val="single" w:sz="8" w:space="1" w:color="008DCF"/>
        </w:rPr>
      </w:pPr>
      <w:r>
        <w:rPr>
          <w:caps w:val="false"/>
          <w:smallCaps w:val="false"/>
          <w:color w:val="65C8F2"/>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Our Board believes it is in the best interest of the Company to have a Directors Code to align with corporate governance best practices, promote ethical behavior and protect confidential information provided to directors. The Directors Code is available on our website at https://investor.limoneira.com/corporate-governance/overview.</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65C8F2"/>
          <w:sz w:val="24"/>
          <w:bdr w:val="single" w:sz="8" w:space="1" w:color="008DCF"/>
        </w:rPr>
      </w:pPr>
      <w:bookmarkStart w:id="19" w:name="lmnrdef14aa016"/>
      <w:bookmarkEnd w:id="19"/>
      <w:r>
        <w:rPr>
          <w:rFonts w:ascii="Arial;Helvetica;Sans-Serif" w:hAnsi="Arial;Helvetica;Sans-Serif"/>
          <w:b/>
          <w:i w:val="false"/>
          <w:caps w:val="false"/>
          <w:smallCaps w:val="false"/>
          <w:color w:val="65C8F2"/>
          <w:sz w:val="24"/>
          <w:bdr w:val="single" w:sz="8" w:space="1" w:color="008DCF"/>
        </w:rPr>
        <w:t>Corporate Governance Guidelines</w:t>
      </w:r>
    </w:p>
    <w:p>
      <w:pPr>
        <w:pStyle w:val="TextBody"/>
        <w:bidi w:val="0"/>
        <w:spacing w:before="0" w:after="0"/>
        <w:ind w:left="200" w:right="200" w:hanging="0"/>
        <w:jc w:val="left"/>
        <w:rPr>
          <w:caps w:val="false"/>
          <w:smallCaps w:val="false"/>
          <w:color w:val="65C8F2"/>
          <w:bdr w:val="single" w:sz="8" w:space="1" w:color="008DCF"/>
        </w:rPr>
      </w:pPr>
      <w:r>
        <w:rPr>
          <w:caps w:val="false"/>
          <w:smallCaps w:val="false"/>
          <w:color w:val="65C8F2"/>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Our Corporate Governance Guidelines serve as a flexible framework within which our Board and its committees operate. The Corporate Governance Guidelines cover several areas, including Board composition, role of the Chairperson, Board meetings, director selection and qualifications, Board operations and performance, performance evaluations, and succession planning. Our Corporate Governance Guidelines document is available on our website at https://investor. limoneira.com/corporate-governance/overview.</w:t>
      </w:r>
    </w:p>
    <w:p>
      <w:pPr>
        <w:pStyle w:val="TextBody"/>
        <w:bidi w:val="0"/>
        <w:spacing w:before="0" w:after="0"/>
        <w:ind w:left="200" w:right="200" w:hanging="0"/>
        <w:jc w:val="left"/>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17</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00" w:right="200" w:hanging="0"/>
        <w:jc w:val="left"/>
        <w:rPr>
          <w:caps w:val="false"/>
          <w:smallCaps w:val="false"/>
          <w:color w:val="FF0000"/>
        </w:rPr>
      </w:pPr>
      <w:r>
        <w:rPr>
          <w:caps w:val="false"/>
          <w:smallCaps w:val="false"/>
          <w:color w:val="FF0000"/>
        </w:rPr>
        <w:t> </w:t>
      </w:r>
    </w:p>
    <w:p>
      <w:pPr>
        <w:pStyle w:val="TextBody"/>
        <w:bidi w:val="0"/>
        <w:spacing w:before="0" w:after="0"/>
        <w:ind w:left="200" w:right="200" w:hanging="0"/>
        <w:jc w:val="left"/>
        <w:rPr>
          <w:rFonts w:ascii="Arial;Helvetica;Sans-Serif" w:hAnsi="Arial;Helvetica;Sans-Serif"/>
          <w:b/>
          <w:i w:val="false"/>
          <w:caps w:val="false"/>
          <w:smallCaps w:val="false"/>
          <w:color w:val="65C8F2"/>
          <w:sz w:val="24"/>
          <w:bdr w:val="single" w:sz="8" w:space="1" w:color="008DCF"/>
        </w:rPr>
      </w:pPr>
      <w:bookmarkStart w:id="20" w:name="lmnrdef14aa017"/>
      <w:bookmarkEnd w:id="20"/>
      <w:r>
        <w:rPr>
          <w:rFonts w:ascii="Arial;Helvetica;Sans-Serif" w:hAnsi="Arial;Helvetica;Sans-Serif"/>
          <w:b/>
          <w:i w:val="false"/>
          <w:caps w:val="false"/>
          <w:smallCaps w:val="false"/>
          <w:color w:val="65C8F2"/>
          <w:sz w:val="24"/>
          <w:bdr w:val="single" w:sz="8" w:space="1" w:color="008DCF"/>
        </w:rPr>
        <w:t>Stock Ownership Guidelines</w:t>
      </w:r>
    </w:p>
    <w:p>
      <w:pPr>
        <w:pStyle w:val="TextBody"/>
        <w:bidi w:val="0"/>
        <w:spacing w:before="0" w:after="0"/>
        <w:ind w:left="200" w:right="200" w:hanging="0"/>
        <w:jc w:val="left"/>
        <w:rPr>
          <w:caps w:val="false"/>
          <w:smallCaps w:val="false"/>
          <w:color w:val="65C8F2"/>
          <w:bdr w:val="single" w:sz="8" w:space="1" w:color="008DCF"/>
        </w:rPr>
      </w:pPr>
      <w:r>
        <w:rPr>
          <w:caps w:val="false"/>
          <w:smallCaps w:val="false"/>
          <w:color w:val="65C8F2"/>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Our Board believes that certain officers and non-employee directors of the Board should own significant amounts of the Company’s Common Stock to promote a long-term perspective in managing the Company and ensure alignment with stockholders, capital markets and public interests. To meet this objective, the Board has Ownership Guidelines for certain officers and non-employee directors of the Board, consistent with best practices and stockholder advisor expectations for public companies. In addition to the non-employee directors of the Board, the individuals who are subject to the Ownership Guidelines are the President and Chief Executive Officer and Chief Financial Officer. The Ownership Guidelines are available on our website at https://investor.limoneira.com/corporate-governance/overview.</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65C8F2"/>
          <w:sz w:val="24"/>
          <w:bdr w:val="single" w:sz="8" w:space="1" w:color="008DCF"/>
        </w:rPr>
      </w:pPr>
      <w:bookmarkStart w:id="21" w:name="lmnrdef14aa018"/>
      <w:bookmarkEnd w:id="21"/>
      <w:r>
        <w:rPr>
          <w:rFonts w:ascii="Arial;Helvetica;Sans-Serif" w:hAnsi="Arial;Helvetica;Sans-Serif"/>
          <w:b/>
          <w:i w:val="false"/>
          <w:caps w:val="false"/>
          <w:smallCaps w:val="false"/>
          <w:color w:val="65C8F2"/>
          <w:sz w:val="24"/>
          <w:bdr w:val="single" w:sz="8" w:space="1" w:color="008DCF"/>
        </w:rPr>
        <w:t>Policy Regarding Recoupment of Incentive Compensation (Clawback Policy)</w:t>
      </w:r>
    </w:p>
    <w:p>
      <w:pPr>
        <w:pStyle w:val="TextBody"/>
        <w:bidi w:val="0"/>
        <w:spacing w:before="0" w:after="0"/>
        <w:ind w:left="200" w:right="200" w:hanging="0"/>
        <w:jc w:val="left"/>
        <w:rPr>
          <w:caps w:val="false"/>
          <w:smallCaps w:val="false"/>
          <w:color w:val="65C8F2"/>
          <w:bdr w:val="single" w:sz="8" w:space="1" w:color="008DCF"/>
        </w:rPr>
      </w:pPr>
      <w:r>
        <w:rPr>
          <w:caps w:val="false"/>
          <w:smallCaps w:val="false"/>
          <w:color w:val="65C8F2"/>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The Board believes that it is in the best interests of the Company and its stockholders to maintain a culture that emphasizes integrity and accountability and that reinforces the Company’s pay-for-performance compensation philosophy. Therefore, the Board adopted a Clawback Policy that provides for the recoupment of erroneously awarded executive compensation, including both performance-based and time-based incentive compensation, in the event an accounting restatement is required. The Clawback Policy is designed to comply with Section 10D of the Securities Exchange Act of 1934, as amended (the “Exchange Act”), Exchange Act Rule 10D-1, and Nasdaq Stock Market Listing Rule 5608. The Clawback Policy is available on our website at https://investor.limoneira.com/corporate-governance/overview.</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65C8F2"/>
          <w:sz w:val="24"/>
          <w:bdr w:val="single" w:sz="8" w:space="1" w:color="008DCF"/>
        </w:rPr>
      </w:pPr>
      <w:bookmarkStart w:id="22" w:name="lmnrdef14aa019"/>
      <w:bookmarkEnd w:id="22"/>
      <w:r>
        <w:rPr>
          <w:rFonts w:ascii="Arial;Helvetica;Sans-Serif" w:hAnsi="Arial;Helvetica;Sans-Serif"/>
          <w:b/>
          <w:i w:val="false"/>
          <w:caps w:val="false"/>
          <w:smallCaps w:val="false"/>
          <w:color w:val="65C8F2"/>
          <w:sz w:val="24"/>
          <w:bdr w:val="single" w:sz="8" w:space="1" w:color="008DCF"/>
        </w:rPr>
        <w:t>Hedging and Pledging Policies</w:t>
      </w:r>
    </w:p>
    <w:p>
      <w:pPr>
        <w:pStyle w:val="TextBody"/>
        <w:bidi w:val="0"/>
        <w:spacing w:before="0" w:after="0"/>
        <w:ind w:left="200" w:right="200" w:hanging="0"/>
        <w:jc w:val="left"/>
        <w:rPr>
          <w:caps w:val="false"/>
          <w:smallCaps w:val="false"/>
          <w:color w:val="65C8F2"/>
          <w:bdr w:val="single" w:sz="8" w:space="1" w:color="008DCF"/>
        </w:rPr>
      </w:pPr>
      <w:r>
        <w:rPr>
          <w:caps w:val="false"/>
          <w:smallCaps w:val="false"/>
          <w:color w:val="65C8F2"/>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 xml:space="preserve">Among other things, the </w:t>
      </w:r>
      <w:bookmarkStart w:id="23" w:name="xdx_901_eecd--InsiderTrdPoliciesProcAdop"/>
      <w:bookmarkEnd w:id="23"/>
      <w:r>
        <w:rPr>
          <w:rFonts w:ascii="Arial;Helvetica;Sans-Serif" w:hAnsi="Arial;Helvetica;Sans-Serif"/>
          <w:b w:val="false"/>
          <w:i w:val="false"/>
          <w:caps w:val="false"/>
          <w:smallCaps w:val="false"/>
          <w:sz w:val="18"/>
          <w:bdr w:val="single" w:sz="8" w:space="1" w:color="008DCF"/>
        </w:rPr>
        <w:t>Insider Trading Policy prohibits all members of the Board, all executive officers of the Company, and other specifically designated employees of the Company (collectively, “Pre-Clearance Persons”) from engaging in certain short-term or speculative transactions in securities issued by the Company (the “Covered Securities”).</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Specifically, Pre-Clearance Persons are generally prohibited from engaging in hedging transactions with respect to Covered Securities; short sales of Covered Securities; short-term trading of Covered Securities (subject to certain exceptions); and transactions in put options or call options (or any derivative security that has similar characteristics to those options) on an exchange or in any other organized market. Unless advance approval is obtained from the compliance officer, these restrictions regarding short-term or speculative transactions also apply to each Pre-Clearance Person’s immediate family members (including his or her spouse), other persons living in such Pre-Clearance Person’s household, and entities over which such Pre-Clearance Person exercises control. While employees who are not Pre-Clearance Persons are not generally prohibited from engaging in the above transactions, the Company strongly discourages all the Company’s employees (including part-time and temporary employees), officers, directors, consultants, and contractors from engaging in such transactions. In addition, Pre-Clearance Persons are required to obtain prior written approval from the compliance officer before holding Covered Securities in a margin account or pledging Covered Securities as collateral for a loan. The Insider Trading Policy is also available on our website at https://investor.limoneira.com/corporate-governance/overview.</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008DCF"/>
          <w:sz w:val="24"/>
          <w:bdr w:val="single" w:sz="8" w:space="1" w:color="008DCF"/>
        </w:rPr>
      </w:pPr>
      <w:bookmarkStart w:id="24" w:name="lmnrdef14aa020"/>
      <w:bookmarkEnd w:id="24"/>
      <w:r>
        <w:rPr>
          <w:rFonts w:ascii="Arial;Helvetica;Sans-Serif" w:hAnsi="Arial;Helvetica;Sans-Serif"/>
          <w:b/>
          <w:i w:val="false"/>
          <w:caps w:val="false"/>
          <w:smallCaps w:val="false"/>
          <w:color w:val="008DCF"/>
          <w:sz w:val="24"/>
          <w:bdr w:val="single" w:sz="8" w:space="1" w:color="008DCF"/>
        </w:rPr>
        <w:t>Board of Directors Meetings and Attendance</w:t>
      </w:r>
    </w:p>
    <w:p>
      <w:pPr>
        <w:pStyle w:val="TextBody"/>
        <w:bidi w:val="0"/>
        <w:spacing w:before="0" w:after="0"/>
        <w:ind w:left="200" w:right="200" w:hanging="0"/>
        <w:jc w:val="left"/>
        <w:rPr>
          <w:caps w:val="false"/>
          <w:smallCaps w:val="false"/>
          <w:color w:val="008DCF"/>
          <w:bdr w:val="single" w:sz="8" w:space="1" w:color="008DCF"/>
        </w:rPr>
      </w:pPr>
      <w:r>
        <w:rPr>
          <w:caps w:val="false"/>
          <w:smallCaps w:val="false"/>
          <w:color w:val="008DCF"/>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Directors are expected to attend Board, strategic planning, and applicable Board committee meetings and to review meeting materials in advance of such meetings. Directors also are expected to attend the Company’s Annual Meeting of Stockholders as well as listen to the quarterly earnings conference calls in real time or a recording soon thereafter.</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The Board met fourteen (14) times during fiscal year 2025 including ten (10) special meetings. All Board meetings had 100% attendance. Five (5) of our seven (7) directors attended the 2025 Annual Meeting of Stockholders held in person.</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008DCF"/>
          <w:sz w:val="24"/>
          <w:bdr w:val="single" w:sz="8" w:space="1" w:color="008DCF"/>
        </w:rPr>
      </w:pPr>
      <w:bookmarkStart w:id="25" w:name="lmnrdef14aa021"/>
      <w:bookmarkEnd w:id="25"/>
      <w:r>
        <w:rPr>
          <w:rFonts w:ascii="Arial;Helvetica;Sans-Serif" w:hAnsi="Arial;Helvetica;Sans-Serif"/>
          <w:b/>
          <w:i w:val="false"/>
          <w:caps w:val="false"/>
          <w:smallCaps w:val="false"/>
          <w:color w:val="008DCF"/>
          <w:sz w:val="24"/>
          <w:bdr w:val="single" w:sz="8" w:space="1" w:color="008DCF"/>
        </w:rPr>
        <w:t>Director Independence</w:t>
      </w:r>
    </w:p>
    <w:p>
      <w:pPr>
        <w:pStyle w:val="TextBody"/>
        <w:bidi w:val="0"/>
        <w:spacing w:before="0" w:after="0"/>
        <w:ind w:left="200" w:right="200" w:hanging="0"/>
        <w:jc w:val="left"/>
        <w:rPr>
          <w:caps w:val="false"/>
          <w:smallCaps w:val="false"/>
          <w:color w:val="008DCF"/>
          <w:bdr w:val="single" w:sz="8" w:space="1" w:color="008DCF"/>
        </w:rPr>
      </w:pPr>
      <w:r>
        <w:rPr>
          <w:caps w:val="false"/>
          <w:smallCaps w:val="false"/>
          <w:color w:val="008DCF"/>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The NASDAQ Rules require that a majority of the Board be independent. The Board consists of seven (7) directors, of which six (6) are non-management directors. Each year, the Board reviews the materiality of any relationship that any of our directors may have with the Company, either directly or indirectly. No member of the Board has any relationship or arrangement that would require disclosure under Item 404 of Regulation S-K. For additional information see “Certain Relationships and Related-Party Transactions” in this proxy statement. Based on this review, the Board determined that the following current directors are “independent directors” as defined by the NASDAQ Rules: Messrs. Gordon E. Kimball, Peter J. Nolan, Scott S. Slater, Edgar A. Terry and Mses. Barbara Carbone, and Elizabeth Mora.</w:t>
      </w:r>
    </w:p>
    <w:p>
      <w:pPr>
        <w:pStyle w:val="TextBody"/>
        <w:bidi w:val="0"/>
        <w:spacing w:before="0" w:after="0"/>
        <w:ind w:left="200" w:right="200" w:hanging="0"/>
        <w:jc w:val="both"/>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18</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bdr w:val="single" w:sz="8" w:space="1" w:color="2872A8"/>
        </w:rPr>
      </w:pPr>
      <w:r>
        <w:rPr>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Each director who is a member of the Audit Committee, Compensation Committee, Nominating Committee and Risk Committee is an independent director.</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color w:val="008DCF"/>
          <w:sz w:val="26"/>
          <w:bdr w:val="single" w:sz="8" w:space="1" w:color="2872A8"/>
        </w:rPr>
      </w:pPr>
      <w:bookmarkStart w:id="26" w:name="lmnrdef14aa022"/>
      <w:bookmarkEnd w:id="26"/>
      <w:r>
        <w:rPr>
          <w:rFonts w:ascii="Arial;Helvetica;Sans-Serif" w:hAnsi="Arial;Helvetica;Sans-Serif"/>
          <w:b/>
          <w:i w:val="false"/>
          <w:caps w:val="false"/>
          <w:smallCaps w:val="false"/>
          <w:color w:val="008DCF"/>
          <w:sz w:val="26"/>
          <w:bdr w:val="single" w:sz="8" w:space="1" w:color="2872A8"/>
        </w:rPr>
        <w:t>Committees of the Board of Directors</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color w:val="65C8F2"/>
          <w:sz w:val="24"/>
          <w:bdr w:val="single" w:sz="8" w:space="1" w:color="2872A8"/>
        </w:rPr>
      </w:pPr>
      <w:bookmarkStart w:id="27" w:name="lmnrdef14aa023"/>
      <w:bookmarkEnd w:id="27"/>
      <w:r>
        <w:rPr>
          <w:rFonts w:ascii="Arial;Helvetica;Sans-Serif" w:hAnsi="Arial;Helvetica;Sans-Serif"/>
          <w:b/>
          <w:i w:val="false"/>
          <w:caps w:val="false"/>
          <w:smallCaps w:val="false"/>
          <w:color w:val="65C8F2"/>
          <w:sz w:val="24"/>
          <w:bdr w:val="single" w:sz="8" w:space="1" w:color="2872A8"/>
        </w:rPr>
        <w:t>Committee Overview</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standing committees of the Board include the Audit Committee, Compensation Committee, Nominating Committee and Risk Committee. A copy of the charters for each of the standing committees is available on the Company’s website at https:// investor.limoneira.com/corporate-governance/overview.</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composition of our committees is as follows:</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8665" w:type="dxa"/>
        <w:jc w:val="left"/>
        <w:tblInd w:w="0" w:type="dxa"/>
        <w:tblLayout w:type="fixed"/>
        <w:tblCellMar>
          <w:top w:w="60" w:type="dxa"/>
          <w:left w:w="60" w:type="dxa"/>
          <w:bottom w:w="60" w:type="dxa"/>
          <w:right w:w="60" w:type="dxa"/>
        </w:tblCellMar>
      </w:tblPr>
      <w:tblGrid>
        <w:gridCol w:w="2855"/>
        <w:gridCol w:w="815"/>
        <w:gridCol w:w="860"/>
        <w:gridCol w:w="950"/>
        <w:gridCol w:w="875"/>
        <w:gridCol w:w="725"/>
        <w:gridCol w:w="755"/>
        <w:gridCol w:w="830"/>
      </w:tblGrid>
      <w:tr>
        <w:trPr/>
        <w:tc>
          <w:tcPr>
            <w:tcW w:w="2855" w:type="dxa"/>
            <w:tcBorders/>
            <w:shd w:fill="D2D6E4"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b/>
                <w:sz w:val="16"/>
              </w:rPr>
              <w:t>Fiscal Year 2025</w:t>
            </w:r>
            <w:r>
              <w:rPr>
                <w:rFonts w:ascii="Arial;Helvetica;Sans-Serif" w:hAnsi="Arial;Helvetica;Sans-Serif"/>
                <w:sz w:val="16"/>
              </w:rPr>
              <w:br/>
            </w:r>
            <w:r>
              <w:rPr>
                <w:rFonts w:ascii="Arial;Helvetica;Sans-Serif" w:hAnsi="Arial;Helvetica;Sans-Serif"/>
                <w:b/>
                <w:sz w:val="16"/>
              </w:rPr>
              <w:t>Committees</w:t>
            </w:r>
          </w:p>
        </w:tc>
        <w:tc>
          <w:tcPr>
            <w:tcW w:w="815" w:type="dxa"/>
            <w:tcBorders>
              <w:left w:val="single" w:sz="8" w:space="0" w:color="FFFFFF"/>
              <w:right w:val="single" w:sz="8" w:space="0" w:color="FFFFFF"/>
            </w:tcBorders>
            <w:shd w:fill="D2D6E4" w:val="clear"/>
            <w:tcMar>
              <w:top w:w="0" w:type="dxa"/>
              <w:left w:w="28" w:type="dxa"/>
              <w:bottom w:w="0"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b/>
                <w:sz w:val="16"/>
              </w:rPr>
              <w:t>Barbara</w:t>
            </w:r>
            <w:r>
              <w:rPr>
                <w:rFonts w:ascii="Arial;Helvetica;Sans-Serif" w:hAnsi="Arial;Helvetica;Sans-Serif"/>
                <w:sz w:val="16"/>
              </w:rPr>
              <w:br/>
            </w:r>
            <w:r>
              <w:rPr>
                <w:rFonts w:ascii="Arial;Helvetica;Sans-Serif" w:hAnsi="Arial;Helvetica;Sans-Serif"/>
                <w:b/>
                <w:sz w:val="16"/>
              </w:rPr>
              <w:t>Carbone</w:t>
            </w:r>
          </w:p>
        </w:tc>
        <w:tc>
          <w:tcPr>
            <w:tcW w:w="860" w:type="dxa"/>
            <w:tcBorders>
              <w:right w:val="single" w:sz="8" w:space="0" w:color="FFFFFF"/>
            </w:tcBorders>
            <w:shd w:fill="D2D6E4" w:val="clear"/>
            <w:tcMar>
              <w:top w:w="0" w:type="dxa"/>
              <w:left w:w="0" w:type="dxa"/>
              <w:bottom w:w="0"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b/>
                <w:sz w:val="16"/>
              </w:rPr>
              <w:t>Harold S.</w:t>
            </w:r>
            <w:r>
              <w:rPr>
                <w:rFonts w:ascii="Arial;Helvetica;Sans-Serif" w:hAnsi="Arial;Helvetica;Sans-Serif"/>
                <w:sz w:val="16"/>
              </w:rPr>
              <w:br/>
            </w:r>
            <w:r>
              <w:rPr>
                <w:rFonts w:ascii="Arial;Helvetica;Sans-Serif" w:hAnsi="Arial;Helvetica;Sans-Serif"/>
                <w:b/>
                <w:sz w:val="16"/>
              </w:rPr>
              <w:t>Edwards</w:t>
            </w:r>
          </w:p>
        </w:tc>
        <w:tc>
          <w:tcPr>
            <w:tcW w:w="950" w:type="dxa"/>
            <w:tcBorders>
              <w:right w:val="single" w:sz="8" w:space="0" w:color="FFFFFF"/>
            </w:tcBorders>
            <w:shd w:fill="D2D6E4" w:val="clear"/>
            <w:tcMar>
              <w:top w:w="0" w:type="dxa"/>
              <w:left w:w="0" w:type="dxa"/>
              <w:bottom w:w="0"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b/>
                <w:sz w:val="16"/>
              </w:rPr>
              <w:t>Gordon E.</w:t>
            </w:r>
            <w:r>
              <w:rPr>
                <w:rFonts w:ascii="Arial;Helvetica;Sans-Serif" w:hAnsi="Arial;Helvetica;Sans-Serif"/>
                <w:sz w:val="16"/>
              </w:rPr>
              <w:br/>
            </w:r>
            <w:r>
              <w:rPr>
                <w:rFonts w:ascii="Arial;Helvetica;Sans-Serif" w:hAnsi="Arial;Helvetica;Sans-Serif"/>
                <w:b/>
                <w:sz w:val="16"/>
              </w:rPr>
              <w:t>Kimball</w:t>
            </w:r>
          </w:p>
        </w:tc>
        <w:tc>
          <w:tcPr>
            <w:tcW w:w="875" w:type="dxa"/>
            <w:tcBorders>
              <w:right w:val="single" w:sz="8" w:space="0" w:color="FFFFFF"/>
            </w:tcBorders>
            <w:shd w:fill="D2D6E4" w:val="clear"/>
            <w:tcMar>
              <w:top w:w="0" w:type="dxa"/>
              <w:left w:w="0" w:type="dxa"/>
              <w:bottom w:w="0"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b/>
                <w:sz w:val="16"/>
              </w:rPr>
              <w:t>Elizabeth</w:t>
            </w:r>
            <w:r>
              <w:rPr>
                <w:rFonts w:ascii="Arial;Helvetica;Sans-Serif" w:hAnsi="Arial;Helvetica;Sans-Serif"/>
                <w:sz w:val="16"/>
              </w:rPr>
              <w:br/>
            </w:r>
            <w:r>
              <w:rPr>
                <w:rFonts w:ascii="Arial;Helvetica;Sans-Serif" w:hAnsi="Arial;Helvetica;Sans-Serif"/>
                <w:b/>
                <w:sz w:val="16"/>
              </w:rPr>
              <w:t>Mora</w:t>
            </w:r>
          </w:p>
        </w:tc>
        <w:tc>
          <w:tcPr>
            <w:tcW w:w="725" w:type="dxa"/>
            <w:tcBorders>
              <w:right w:val="single" w:sz="8" w:space="0" w:color="FFFFFF"/>
            </w:tcBorders>
            <w:shd w:fill="D2D6E4" w:val="clear"/>
            <w:tcMar>
              <w:top w:w="0" w:type="dxa"/>
              <w:left w:w="0" w:type="dxa"/>
              <w:bottom w:w="0"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b/>
                <w:sz w:val="16"/>
              </w:rPr>
              <w:t>Peter J.</w:t>
            </w:r>
            <w:r>
              <w:rPr>
                <w:rFonts w:ascii="Arial;Helvetica;Sans-Serif" w:hAnsi="Arial;Helvetica;Sans-Serif"/>
                <w:sz w:val="16"/>
              </w:rPr>
              <w:br/>
            </w:r>
            <w:r>
              <w:rPr>
                <w:rFonts w:ascii="Arial;Helvetica;Sans-Serif" w:hAnsi="Arial;Helvetica;Sans-Serif"/>
                <w:b/>
                <w:sz w:val="16"/>
              </w:rPr>
              <w:t>Nolan</w:t>
            </w:r>
          </w:p>
        </w:tc>
        <w:tc>
          <w:tcPr>
            <w:tcW w:w="755" w:type="dxa"/>
            <w:tcBorders>
              <w:right w:val="single" w:sz="8" w:space="0" w:color="FFFFFF"/>
            </w:tcBorders>
            <w:shd w:fill="D2D6E4" w:val="clear"/>
            <w:tcMar>
              <w:top w:w="0" w:type="dxa"/>
              <w:left w:w="0" w:type="dxa"/>
              <w:bottom w:w="0"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b/>
                <w:sz w:val="16"/>
              </w:rPr>
              <w:t>Scott S.</w:t>
            </w:r>
            <w:r>
              <w:rPr>
                <w:rFonts w:ascii="Arial;Helvetica;Sans-Serif" w:hAnsi="Arial;Helvetica;Sans-Serif"/>
                <w:sz w:val="16"/>
              </w:rPr>
              <w:br/>
            </w:r>
            <w:r>
              <w:rPr>
                <w:rFonts w:ascii="Arial;Helvetica;Sans-Serif" w:hAnsi="Arial;Helvetica;Sans-Serif"/>
                <w:b/>
                <w:sz w:val="16"/>
              </w:rPr>
              <w:t>Slater</w:t>
            </w:r>
          </w:p>
        </w:tc>
        <w:tc>
          <w:tcPr>
            <w:tcW w:w="830" w:type="dxa"/>
            <w:tcBorders/>
            <w:shd w:fill="D2D6E4"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b/>
                <w:sz w:val="16"/>
              </w:rPr>
              <w:t>Edgar A.</w:t>
            </w:r>
            <w:r>
              <w:rPr>
                <w:rFonts w:ascii="Arial;Helvetica;Sans-Serif" w:hAnsi="Arial;Helvetica;Sans-Serif"/>
                <w:sz w:val="16"/>
              </w:rPr>
              <w:br/>
            </w:r>
            <w:r>
              <w:rPr>
                <w:rFonts w:ascii="Arial;Helvetica;Sans-Serif" w:hAnsi="Arial;Helvetica;Sans-Serif"/>
                <w:b/>
                <w:sz w:val="16"/>
              </w:rPr>
              <w:t>Terry</w:t>
            </w:r>
          </w:p>
        </w:tc>
      </w:tr>
      <w:tr>
        <w:trPr/>
        <w:tc>
          <w:tcPr>
            <w:tcW w:w="285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Audit &amp; Finance</w:t>
            </w:r>
          </w:p>
        </w:tc>
        <w:tc>
          <w:tcPr>
            <w:tcW w:w="815" w:type="dxa"/>
            <w:tcBorders>
              <w:left w:val="single" w:sz="8" w:space="0" w:color="E6F5FD"/>
              <w:right w:val="single" w:sz="8" w:space="0" w:color="E6F5FD"/>
            </w:tcBorders>
            <w:tcMar>
              <w:top w:w="0" w:type="dxa"/>
              <w:left w:w="28" w:type="dxa"/>
              <w:bottom w:w="0" w:type="dxa"/>
              <w:right w:w="28" w:type="dxa"/>
            </w:tcMar>
            <w:vAlign w:val="center"/>
          </w:tcPr>
          <w:p>
            <w:pPr>
              <w:pStyle w:val="TableContents"/>
              <w:bidi w:val="0"/>
              <w:spacing w:before="0" w:after="283"/>
              <w:jc w:val="center"/>
              <w:rPr/>
            </w:pPr>
            <w:r>
              <w:rPr/>
              <w:t> </w:t>
            </w:r>
            <w:r>
              <w:rPr/>
              <w:drawing>
                <wp:inline distT="0" distB="0" distL="0" distR="0">
                  <wp:extent cx="161925" cy="1905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61925" cy="190500"/>
                          </a:xfrm>
                          <a:prstGeom prst="rect">
                            <a:avLst/>
                          </a:prstGeom>
                        </pic:spPr>
                      </pic:pic>
                    </a:graphicData>
                  </a:graphic>
                </wp:inline>
              </w:drawing>
            </w:r>
          </w:p>
        </w:tc>
        <w:tc>
          <w:tcPr>
            <w:tcW w:w="860" w:type="dxa"/>
            <w:tcBorders>
              <w:right w:val="single" w:sz="8" w:space="0" w:color="E6F5FD"/>
            </w:tcBorders>
            <w:tcMar>
              <w:top w:w="0" w:type="dxa"/>
              <w:left w:w="0" w:type="dxa"/>
              <w:bottom w:w="0" w:type="dxa"/>
              <w:right w:w="28" w:type="dxa"/>
            </w:tcMar>
            <w:vAlign w:val="center"/>
          </w:tcPr>
          <w:p>
            <w:pPr>
              <w:pStyle w:val="TableContents"/>
              <w:bidi w:val="0"/>
              <w:spacing w:before="0" w:after="283"/>
              <w:jc w:val="center"/>
              <w:rPr/>
            </w:pPr>
            <w:r>
              <w:rPr/>
              <w:t> </w:t>
            </w:r>
          </w:p>
        </w:tc>
        <w:tc>
          <w:tcPr>
            <w:tcW w:w="950" w:type="dxa"/>
            <w:tcBorders>
              <w:right w:val="single" w:sz="8" w:space="0" w:color="E6F5FD"/>
            </w:tcBorders>
            <w:tcMar>
              <w:top w:w="0" w:type="dxa"/>
              <w:left w:w="0" w:type="dxa"/>
              <w:bottom w:w="0" w:type="dxa"/>
              <w:right w:w="28" w:type="dxa"/>
            </w:tcMar>
            <w:vAlign w:val="center"/>
          </w:tcPr>
          <w:p>
            <w:pPr>
              <w:pStyle w:val="TableContents"/>
              <w:bidi w:val="0"/>
              <w:spacing w:before="0" w:after="283"/>
              <w:jc w:val="center"/>
              <w:rPr/>
            </w:pPr>
            <w:r>
              <w:rPr/>
              <w:drawing>
                <wp:inline distT="0" distB="0" distL="0" distR="0">
                  <wp:extent cx="161925" cy="1905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61925" cy="190500"/>
                          </a:xfrm>
                          <a:prstGeom prst="rect">
                            <a:avLst/>
                          </a:prstGeom>
                        </pic:spPr>
                      </pic:pic>
                    </a:graphicData>
                  </a:graphic>
                </wp:inline>
              </w:drawing>
            </w:r>
            <w:r>
              <w:rPr/>
              <w:t> </w:t>
            </w:r>
          </w:p>
        </w:tc>
        <w:tc>
          <w:tcPr>
            <w:tcW w:w="875" w:type="dxa"/>
            <w:tcBorders>
              <w:right w:val="single" w:sz="8" w:space="0" w:color="E6F5FD"/>
            </w:tcBorders>
            <w:tcMar>
              <w:top w:w="0" w:type="dxa"/>
              <w:left w:w="0" w:type="dxa"/>
              <w:bottom w:w="0" w:type="dxa"/>
              <w:right w:w="28" w:type="dxa"/>
            </w:tcMar>
            <w:vAlign w:val="center"/>
          </w:tcPr>
          <w:p>
            <w:pPr>
              <w:pStyle w:val="TableContents"/>
              <w:bidi w:val="0"/>
              <w:spacing w:before="0" w:after="283"/>
              <w:jc w:val="center"/>
              <w:rPr/>
            </w:pPr>
            <w:r>
              <w:rPr/>
              <w:t> </w:t>
            </w:r>
          </w:p>
        </w:tc>
        <w:tc>
          <w:tcPr>
            <w:tcW w:w="725" w:type="dxa"/>
            <w:tcBorders>
              <w:right w:val="single" w:sz="8" w:space="0" w:color="E6F5FD"/>
            </w:tcBorders>
            <w:tcMar>
              <w:top w:w="0" w:type="dxa"/>
              <w:left w:w="0" w:type="dxa"/>
              <w:bottom w:w="0" w:type="dxa"/>
              <w:right w:w="28" w:type="dxa"/>
            </w:tcMar>
            <w:vAlign w:val="center"/>
          </w:tcPr>
          <w:p>
            <w:pPr>
              <w:pStyle w:val="TableContents"/>
              <w:bidi w:val="0"/>
              <w:spacing w:before="0" w:after="283"/>
              <w:jc w:val="center"/>
              <w:rPr/>
            </w:pPr>
            <w:r>
              <w:rPr/>
              <w:drawing>
                <wp:inline distT="0" distB="0" distL="0" distR="0">
                  <wp:extent cx="161925" cy="1905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61925" cy="190500"/>
                          </a:xfrm>
                          <a:prstGeom prst="rect">
                            <a:avLst/>
                          </a:prstGeom>
                        </pic:spPr>
                      </pic:pic>
                    </a:graphicData>
                  </a:graphic>
                </wp:inline>
              </w:drawing>
            </w:r>
          </w:p>
        </w:tc>
        <w:tc>
          <w:tcPr>
            <w:tcW w:w="755" w:type="dxa"/>
            <w:tcBorders>
              <w:right w:val="single" w:sz="8" w:space="0" w:color="E6F5FD"/>
            </w:tcBorders>
            <w:tcMar>
              <w:top w:w="0" w:type="dxa"/>
              <w:left w:w="0" w:type="dxa"/>
              <w:bottom w:w="0" w:type="dxa"/>
              <w:right w:w="28" w:type="dxa"/>
            </w:tcMar>
            <w:vAlign w:val="center"/>
          </w:tcPr>
          <w:p>
            <w:pPr>
              <w:pStyle w:val="TableContents"/>
              <w:bidi w:val="0"/>
              <w:spacing w:before="0" w:after="283"/>
              <w:jc w:val="center"/>
              <w:rPr/>
            </w:pPr>
            <w:r>
              <w:rPr/>
              <w:t> </w:t>
            </w:r>
          </w:p>
        </w:tc>
        <w:tc>
          <w:tcPr>
            <w:tcW w:w="830" w:type="dxa"/>
            <w:tcBorders/>
            <w:vAlign w:val="center"/>
          </w:tcPr>
          <w:p>
            <w:pPr>
              <w:pStyle w:val="TableContents"/>
              <w:bidi w:val="0"/>
              <w:spacing w:before="0" w:after="283"/>
              <w:jc w:val="center"/>
              <w:rPr/>
            </w:pPr>
            <w:r>
              <w:rPr/>
              <w:t> </w:t>
            </w:r>
          </w:p>
        </w:tc>
      </w:tr>
      <w:tr>
        <w:trPr/>
        <w:tc>
          <w:tcPr>
            <w:tcW w:w="2855" w:type="dxa"/>
            <w:tcBorders>
              <w:top w:val="single" w:sz="8" w:space="0" w:color="E6F5FD"/>
              <w:bottom w:val="single" w:sz="8" w:space="0" w:color="E6F5FD"/>
            </w:tcBorders>
            <w:shd w:fill="E6F5FD" w:val="clear"/>
            <w:tcMar>
              <w:top w:w="28" w:type="dxa"/>
              <w:left w:w="0" w:type="dxa"/>
              <w:bottom w:w="28" w:type="dxa"/>
              <w:righ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Compensation</w:t>
            </w:r>
          </w:p>
        </w:tc>
        <w:tc>
          <w:tcPr>
            <w:tcW w:w="815" w:type="dxa"/>
            <w:tcBorders>
              <w:top w:val="single" w:sz="8" w:space="0" w:color="E6F5FD"/>
              <w:left w:val="single" w:sz="8" w:space="0" w:color="E6F5FD"/>
              <w:bottom w:val="single" w:sz="8" w:space="0" w:color="E6F5FD"/>
              <w:right w:val="single" w:sz="8" w:space="0" w:color="E6F5FD"/>
            </w:tcBorders>
            <w:shd w:fill="E6F5FD" w:val="clear"/>
            <w:tcMar>
              <w:top w:w="28" w:type="dxa"/>
              <w:left w:w="28" w:type="dxa"/>
              <w:bottom w:w="28" w:type="dxa"/>
              <w:right w:w="28" w:type="dxa"/>
            </w:tcMar>
            <w:vAlign w:val="center"/>
          </w:tcPr>
          <w:p>
            <w:pPr>
              <w:pStyle w:val="TableContents"/>
              <w:bidi w:val="0"/>
              <w:spacing w:before="0" w:after="283"/>
              <w:jc w:val="center"/>
              <w:rPr/>
            </w:pPr>
            <w:r>
              <w:rPr/>
              <w:t> </w:t>
            </w:r>
            <w:r>
              <w:rPr/>
              <w:drawing>
                <wp:inline distT="0" distB="0" distL="0" distR="0">
                  <wp:extent cx="161925" cy="1905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61925" cy="190500"/>
                          </a:xfrm>
                          <a:prstGeom prst="rect">
                            <a:avLst/>
                          </a:prstGeom>
                        </pic:spPr>
                      </pic:pic>
                    </a:graphicData>
                  </a:graphic>
                </wp:inline>
              </w:drawing>
            </w:r>
          </w:p>
        </w:tc>
        <w:tc>
          <w:tcPr>
            <w:tcW w:w="860" w:type="dxa"/>
            <w:tcBorders>
              <w:top w:val="single" w:sz="8" w:space="0" w:color="E6F5FD"/>
              <w:bottom w:val="single" w:sz="8" w:space="0" w:color="E6F5FD"/>
              <w:right w:val="single" w:sz="8" w:space="0" w:color="E6F5FD"/>
            </w:tcBorders>
            <w:shd w:fill="E6F5FD" w:val="clear"/>
            <w:tcMar>
              <w:top w:w="28" w:type="dxa"/>
              <w:left w:w="0" w:type="dxa"/>
              <w:bottom w:w="28" w:type="dxa"/>
              <w:right w:w="28" w:type="dxa"/>
            </w:tcMar>
            <w:vAlign w:val="center"/>
          </w:tcPr>
          <w:p>
            <w:pPr>
              <w:pStyle w:val="TableContents"/>
              <w:bidi w:val="0"/>
              <w:spacing w:before="0" w:after="283"/>
              <w:jc w:val="center"/>
              <w:rPr/>
            </w:pPr>
            <w:r>
              <w:rPr/>
              <w:t> </w:t>
            </w:r>
          </w:p>
        </w:tc>
        <w:tc>
          <w:tcPr>
            <w:tcW w:w="950" w:type="dxa"/>
            <w:tcBorders>
              <w:top w:val="single" w:sz="8" w:space="0" w:color="E6F5FD"/>
              <w:bottom w:val="single" w:sz="8" w:space="0" w:color="E6F5FD"/>
              <w:right w:val="single" w:sz="8" w:space="0" w:color="E6F5FD"/>
            </w:tcBorders>
            <w:shd w:fill="E6F5FD" w:val="clear"/>
            <w:tcMar>
              <w:top w:w="28" w:type="dxa"/>
              <w:left w:w="0" w:type="dxa"/>
              <w:bottom w:w="28" w:type="dxa"/>
              <w:right w:w="28" w:type="dxa"/>
            </w:tcMar>
            <w:vAlign w:val="center"/>
          </w:tcPr>
          <w:p>
            <w:pPr>
              <w:pStyle w:val="TableContents"/>
              <w:bidi w:val="0"/>
              <w:spacing w:before="0" w:after="283"/>
              <w:jc w:val="center"/>
              <w:rPr/>
            </w:pPr>
            <w:r>
              <w:rPr/>
              <w:t> </w:t>
            </w:r>
          </w:p>
        </w:tc>
        <w:tc>
          <w:tcPr>
            <w:tcW w:w="875" w:type="dxa"/>
            <w:tcBorders>
              <w:top w:val="single" w:sz="8" w:space="0" w:color="E6F5FD"/>
              <w:bottom w:val="single" w:sz="8" w:space="0" w:color="E6F5FD"/>
              <w:right w:val="single" w:sz="8" w:space="0" w:color="E6F5FD"/>
            </w:tcBorders>
            <w:shd w:fill="E6F5FD" w:val="clear"/>
            <w:tcMar>
              <w:top w:w="28" w:type="dxa"/>
              <w:left w:w="0" w:type="dxa"/>
              <w:bottom w:w="28" w:type="dxa"/>
              <w:right w:w="28" w:type="dxa"/>
            </w:tcMar>
            <w:vAlign w:val="center"/>
          </w:tcPr>
          <w:p>
            <w:pPr>
              <w:pStyle w:val="TableContents"/>
              <w:bidi w:val="0"/>
              <w:spacing w:before="0" w:after="283"/>
              <w:jc w:val="center"/>
              <w:rPr/>
            </w:pPr>
            <w:r>
              <w:rPr/>
              <w:t> </w:t>
            </w:r>
            <w:r>
              <w:rPr/>
              <w:drawing>
                <wp:inline distT="0" distB="0" distL="0" distR="0">
                  <wp:extent cx="161925" cy="1905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61925" cy="190500"/>
                          </a:xfrm>
                          <a:prstGeom prst="rect">
                            <a:avLst/>
                          </a:prstGeom>
                        </pic:spPr>
                      </pic:pic>
                    </a:graphicData>
                  </a:graphic>
                </wp:inline>
              </w:drawing>
            </w:r>
          </w:p>
        </w:tc>
        <w:tc>
          <w:tcPr>
            <w:tcW w:w="725" w:type="dxa"/>
            <w:tcBorders>
              <w:top w:val="single" w:sz="8" w:space="0" w:color="E6F5FD"/>
              <w:bottom w:val="single" w:sz="8" w:space="0" w:color="E6F5FD"/>
              <w:right w:val="single" w:sz="8" w:space="0" w:color="E6F5FD"/>
            </w:tcBorders>
            <w:shd w:fill="E6F5FD" w:val="clear"/>
            <w:tcMar>
              <w:top w:w="28" w:type="dxa"/>
              <w:left w:w="0" w:type="dxa"/>
              <w:bottom w:w="28" w:type="dxa"/>
              <w:right w:w="28" w:type="dxa"/>
            </w:tcMar>
            <w:vAlign w:val="center"/>
          </w:tcPr>
          <w:p>
            <w:pPr>
              <w:pStyle w:val="TableContents"/>
              <w:bidi w:val="0"/>
              <w:spacing w:before="0" w:after="283"/>
              <w:jc w:val="center"/>
              <w:rPr/>
            </w:pPr>
            <w:r>
              <w:rPr/>
              <w:t> </w:t>
            </w:r>
          </w:p>
        </w:tc>
        <w:tc>
          <w:tcPr>
            <w:tcW w:w="755" w:type="dxa"/>
            <w:tcBorders>
              <w:top w:val="single" w:sz="8" w:space="0" w:color="E6F5FD"/>
              <w:bottom w:val="single" w:sz="8" w:space="0" w:color="E6F5FD"/>
              <w:right w:val="single" w:sz="8" w:space="0" w:color="E6F5FD"/>
            </w:tcBorders>
            <w:shd w:fill="E6F5FD" w:val="clear"/>
            <w:tcMar>
              <w:top w:w="28" w:type="dxa"/>
              <w:left w:w="0" w:type="dxa"/>
              <w:bottom w:w="28" w:type="dxa"/>
              <w:right w:w="28" w:type="dxa"/>
            </w:tcMar>
            <w:vAlign w:val="center"/>
          </w:tcPr>
          <w:p>
            <w:pPr>
              <w:pStyle w:val="TableContents"/>
              <w:bidi w:val="0"/>
              <w:spacing w:before="0" w:after="283"/>
              <w:jc w:val="center"/>
              <w:rPr/>
            </w:pPr>
            <w:r>
              <w:rPr/>
              <w:drawing>
                <wp:inline distT="0" distB="0" distL="0" distR="0">
                  <wp:extent cx="161925" cy="1905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61925" cy="190500"/>
                          </a:xfrm>
                          <a:prstGeom prst="rect">
                            <a:avLst/>
                          </a:prstGeom>
                        </pic:spPr>
                      </pic:pic>
                    </a:graphicData>
                  </a:graphic>
                </wp:inline>
              </w:drawing>
            </w:r>
            <w:r>
              <w:rPr/>
              <w:t> </w:t>
            </w:r>
          </w:p>
        </w:tc>
        <w:tc>
          <w:tcPr>
            <w:tcW w:w="830" w:type="dxa"/>
            <w:tcBorders>
              <w:top w:val="single" w:sz="8" w:space="0" w:color="E6F5FD"/>
              <w:bottom w:val="single" w:sz="8" w:space="0" w:color="E6F5FD"/>
            </w:tcBorders>
            <w:shd w:fill="E6F5FD" w:val="clear"/>
            <w:tcMar>
              <w:top w:w="28" w:type="dxa"/>
              <w:left w:w="0" w:type="dxa"/>
              <w:bottom w:w="28" w:type="dxa"/>
              <w:right w:w="0" w:type="dxa"/>
            </w:tcMar>
            <w:vAlign w:val="center"/>
          </w:tcPr>
          <w:p>
            <w:pPr>
              <w:pStyle w:val="TableContents"/>
              <w:bidi w:val="0"/>
              <w:spacing w:before="0" w:after="283"/>
              <w:jc w:val="center"/>
              <w:rPr/>
            </w:pPr>
            <w:r>
              <w:rPr/>
              <w:t> </w:t>
            </w:r>
          </w:p>
        </w:tc>
      </w:tr>
      <w:tr>
        <w:trPr/>
        <w:tc>
          <w:tcPr>
            <w:tcW w:w="285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Nominating &amp; Corporate Governance</w:t>
            </w:r>
          </w:p>
        </w:tc>
        <w:tc>
          <w:tcPr>
            <w:tcW w:w="815" w:type="dxa"/>
            <w:tcBorders>
              <w:left w:val="single" w:sz="8" w:space="0" w:color="E6F5FD"/>
              <w:right w:val="single" w:sz="8" w:space="0" w:color="E6F5FD"/>
            </w:tcBorders>
            <w:tcMar>
              <w:top w:w="0" w:type="dxa"/>
              <w:left w:w="28" w:type="dxa"/>
              <w:bottom w:w="0" w:type="dxa"/>
              <w:right w:w="28" w:type="dxa"/>
            </w:tcMar>
            <w:vAlign w:val="center"/>
          </w:tcPr>
          <w:p>
            <w:pPr>
              <w:pStyle w:val="TableContents"/>
              <w:bidi w:val="0"/>
              <w:spacing w:before="0" w:after="283"/>
              <w:jc w:val="center"/>
              <w:rPr/>
            </w:pPr>
            <w:r>
              <w:rPr/>
              <w:t> </w:t>
            </w:r>
          </w:p>
        </w:tc>
        <w:tc>
          <w:tcPr>
            <w:tcW w:w="860" w:type="dxa"/>
            <w:tcBorders>
              <w:right w:val="single" w:sz="8" w:space="0" w:color="E6F5FD"/>
            </w:tcBorders>
            <w:tcMar>
              <w:top w:w="0" w:type="dxa"/>
              <w:left w:w="0" w:type="dxa"/>
              <w:bottom w:w="0" w:type="dxa"/>
              <w:right w:w="28" w:type="dxa"/>
            </w:tcMar>
            <w:vAlign w:val="center"/>
          </w:tcPr>
          <w:p>
            <w:pPr>
              <w:pStyle w:val="TableContents"/>
              <w:bidi w:val="0"/>
              <w:spacing w:before="0" w:after="283"/>
              <w:jc w:val="center"/>
              <w:rPr/>
            </w:pPr>
            <w:r>
              <w:rPr/>
              <w:t> </w:t>
            </w:r>
          </w:p>
        </w:tc>
        <w:tc>
          <w:tcPr>
            <w:tcW w:w="950" w:type="dxa"/>
            <w:tcBorders>
              <w:right w:val="single" w:sz="8" w:space="0" w:color="E6F5FD"/>
            </w:tcBorders>
            <w:tcMar>
              <w:top w:w="0" w:type="dxa"/>
              <w:left w:w="0" w:type="dxa"/>
              <w:bottom w:w="0" w:type="dxa"/>
              <w:right w:w="28" w:type="dxa"/>
            </w:tcMar>
            <w:vAlign w:val="center"/>
          </w:tcPr>
          <w:p>
            <w:pPr>
              <w:pStyle w:val="TableContents"/>
              <w:bidi w:val="0"/>
              <w:spacing w:before="0" w:after="283"/>
              <w:jc w:val="center"/>
              <w:rPr/>
            </w:pPr>
            <w:r>
              <w:rPr/>
              <w:t> </w:t>
            </w:r>
          </w:p>
        </w:tc>
        <w:tc>
          <w:tcPr>
            <w:tcW w:w="875" w:type="dxa"/>
            <w:tcBorders>
              <w:right w:val="single" w:sz="8" w:space="0" w:color="E6F5FD"/>
            </w:tcBorders>
            <w:tcMar>
              <w:top w:w="0" w:type="dxa"/>
              <w:left w:w="0" w:type="dxa"/>
              <w:bottom w:w="0" w:type="dxa"/>
              <w:right w:w="28" w:type="dxa"/>
            </w:tcMar>
            <w:vAlign w:val="center"/>
          </w:tcPr>
          <w:p>
            <w:pPr>
              <w:pStyle w:val="TableContents"/>
              <w:bidi w:val="0"/>
              <w:spacing w:before="0" w:after="283"/>
              <w:jc w:val="center"/>
              <w:rPr/>
            </w:pPr>
            <w:r>
              <w:rPr/>
              <w:t> </w:t>
            </w:r>
            <w:r>
              <w:rPr/>
              <w:drawing>
                <wp:inline distT="0" distB="0" distL="0" distR="0">
                  <wp:extent cx="161925" cy="1905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61925" cy="190500"/>
                          </a:xfrm>
                          <a:prstGeom prst="rect">
                            <a:avLst/>
                          </a:prstGeom>
                        </pic:spPr>
                      </pic:pic>
                    </a:graphicData>
                  </a:graphic>
                </wp:inline>
              </w:drawing>
            </w:r>
          </w:p>
        </w:tc>
        <w:tc>
          <w:tcPr>
            <w:tcW w:w="725" w:type="dxa"/>
            <w:tcBorders>
              <w:right w:val="single" w:sz="8" w:space="0" w:color="E6F5FD"/>
            </w:tcBorders>
            <w:tcMar>
              <w:top w:w="0" w:type="dxa"/>
              <w:left w:w="0" w:type="dxa"/>
              <w:bottom w:w="0" w:type="dxa"/>
              <w:right w:w="28" w:type="dxa"/>
            </w:tcMar>
            <w:vAlign w:val="center"/>
          </w:tcPr>
          <w:p>
            <w:pPr>
              <w:pStyle w:val="TableContents"/>
              <w:bidi w:val="0"/>
              <w:spacing w:before="0" w:after="283"/>
              <w:jc w:val="center"/>
              <w:rPr/>
            </w:pPr>
            <w:r>
              <w:rPr/>
              <w:t> </w:t>
            </w:r>
          </w:p>
        </w:tc>
        <w:tc>
          <w:tcPr>
            <w:tcW w:w="755" w:type="dxa"/>
            <w:tcBorders>
              <w:right w:val="single" w:sz="8" w:space="0" w:color="E6F5FD"/>
            </w:tcBorders>
            <w:tcMar>
              <w:top w:w="0" w:type="dxa"/>
              <w:left w:w="0" w:type="dxa"/>
              <w:bottom w:w="0" w:type="dxa"/>
              <w:right w:w="28" w:type="dxa"/>
            </w:tcMar>
            <w:vAlign w:val="center"/>
          </w:tcPr>
          <w:p>
            <w:pPr>
              <w:pStyle w:val="TableContents"/>
              <w:bidi w:val="0"/>
              <w:spacing w:before="0" w:after="283"/>
              <w:jc w:val="center"/>
              <w:rPr/>
            </w:pPr>
            <w:r>
              <w:rPr/>
              <w:drawing>
                <wp:inline distT="0" distB="0" distL="0" distR="0">
                  <wp:extent cx="161925" cy="1905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61925" cy="190500"/>
                          </a:xfrm>
                          <a:prstGeom prst="rect">
                            <a:avLst/>
                          </a:prstGeom>
                        </pic:spPr>
                      </pic:pic>
                    </a:graphicData>
                  </a:graphic>
                </wp:inline>
              </w:drawing>
            </w:r>
            <w:r>
              <w:rPr/>
              <w:t> </w:t>
            </w:r>
          </w:p>
        </w:tc>
        <w:tc>
          <w:tcPr>
            <w:tcW w:w="830" w:type="dxa"/>
            <w:tcBorders/>
            <w:vAlign w:val="center"/>
          </w:tcPr>
          <w:p>
            <w:pPr>
              <w:pStyle w:val="TableContents"/>
              <w:bidi w:val="0"/>
              <w:spacing w:before="0" w:after="283"/>
              <w:jc w:val="center"/>
              <w:rPr/>
            </w:pPr>
            <w:r>
              <w:rPr/>
              <w:drawing>
                <wp:inline distT="0" distB="0" distL="0" distR="0">
                  <wp:extent cx="161925" cy="1905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61925" cy="190500"/>
                          </a:xfrm>
                          <a:prstGeom prst="rect">
                            <a:avLst/>
                          </a:prstGeom>
                        </pic:spPr>
                      </pic:pic>
                    </a:graphicData>
                  </a:graphic>
                </wp:inline>
              </w:drawing>
            </w:r>
            <w:r>
              <w:rPr/>
              <w:t> </w:t>
            </w:r>
          </w:p>
        </w:tc>
      </w:tr>
      <w:tr>
        <w:trPr/>
        <w:tc>
          <w:tcPr>
            <w:tcW w:w="2855" w:type="dxa"/>
            <w:tcBorders>
              <w:top w:val="single" w:sz="8" w:space="0" w:color="E6F5FD"/>
              <w:bottom w:val="single" w:sz="8" w:space="0" w:color="E6F5FD"/>
            </w:tcBorders>
            <w:shd w:fill="E6F5FD" w:val="clear"/>
            <w:tcMar>
              <w:top w:w="28" w:type="dxa"/>
              <w:left w:w="0" w:type="dxa"/>
              <w:bottom w:w="28" w:type="dxa"/>
              <w:righ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Risk Management</w:t>
            </w:r>
          </w:p>
        </w:tc>
        <w:tc>
          <w:tcPr>
            <w:tcW w:w="815" w:type="dxa"/>
            <w:tcBorders>
              <w:top w:val="single" w:sz="8" w:space="0" w:color="E6F5FD"/>
              <w:left w:val="single" w:sz="8" w:space="0" w:color="E6F5FD"/>
              <w:bottom w:val="single" w:sz="8" w:space="0" w:color="E6F5FD"/>
              <w:right w:val="single" w:sz="8" w:space="0" w:color="E6F5FD"/>
            </w:tcBorders>
            <w:shd w:fill="E6F5FD" w:val="clear"/>
            <w:tcMar>
              <w:top w:w="28" w:type="dxa"/>
              <w:left w:w="28" w:type="dxa"/>
              <w:bottom w:w="28" w:type="dxa"/>
              <w:right w:w="28" w:type="dxa"/>
            </w:tcMar>
            <w:vAlign w:val="center"/>
          </w:tcPr>
          <w:p>
            <w:pPr>
              <w:pStyle w:val="TableContents"/>
              <w:bidi w:val="0"/>
              <w:spacing w:before="0" w:after="283"/>
              <w:jc w:val="center"/>
              <w:rPr/>
            </w:pPr>
            <w:r>
              <w:rPr/>
              <w:t> </w:t>
            </w:r>
          </w:p>
        </w:tc>
        <w:tc>
          <w:tcPr>
            <w:tcW w:w="860" w:type="dxa"/>
            <w:tcBorders>
              <w:top w:val="single" w:sz="8" w:space="0" w:color="E6F5FD"/>
              <w:bottom w:val="single" w:sz="8" w:space="0" w:color="E6F5FD"/>
              <w:right w:val="single" w:sz="8" w:space="0" w:color="E6F5FD"/>
            </w:tcBorders>
            <w:shd w:fill="E6F5FD" w:val="clear"/>
            <w:tcMar>
              <w:top w:w="28" w:type="dxa"/>
              <w:left w:w="0" w:type="dxa"/>
              <w:bottom w:w="28" w:type="dxa"/>
              <w:right w:w="28" w:type="dxa"/>
            </w:tcMar>
            <w:vAlign w:val="center"/>
          </w:tcPr>
          <w:p>
            <w:pPr>
              <w:pStyle w:val="TableContents"/>
              <w:bidi w:val="0"/>
              <w:spacing w:before="0" w:after="283"/>
              <w:jc w:val="center"/>
              <w:rPr/>
            </w:pPr>
            <w:r>
              <w:rPr/>
              <w:t> </w:t>
            </w:r>
          </w:p>
        </w:tc>
        <w:tc>
          <w:tcPr>
            <w:tcW w:w="950" w:type="dxa"/>
            <w:tcBorders>
              <w:top w:val="single" w:sz="8" w:space="0" w:color="E6F5FD"/>
              <w:bottom w:val="single" w:sz="8" w:space="0" w:color="E6F5FD"/>
              <w:right w:val="single" w:sz="8" w:space="0" w:color="E6F5FD"/>
            </w:tcBorders>
            <w:shd w:fill="E6F5FD" w:val="clear"/>
            <w:tcMar>
              <w:top w:w="28" w:type="dxa"/>
              <w:left w:w="0" w:type="dxa"/>
              <w:bottom w:w="28" w:type="dxa"/>
              <w:right w:w="28" w:type="dxa"/>
            </w:tcMar>
            <w:vAlign w:val="center"/>
          </w:tcPr>
          <w:p>
            <w:pPr>
              <w:pStyle w:val="TableContents"/>
              <w:bidi w:val="0"/>
              <w:spacing w:before="0" w:after="283"/>
              <w:jc w:val="center"/>
              <w:rPr/>
            </w:pPr>
            <w:r>
              <w:rPr/>
              <w:drawing>
                <wp:inline distT="0" distB="0" distL="0" distR="0">
                  <wp:extent cx="161925" cy="1905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61925" cy="190500"/>
                          </a:xfrm>
                          <a:prstGeom prst="rect">
                            <a:avLst/>
                          </a:prstGeom>
                        </pic:spPr>
                      </pic:pic>
                    </a:graphicData>
                  </a:graphic>
                </wp:inline>
              </w:drawing>
            </w:r>
          </w:p>
        </w:tc>
        <w:tc>
          <w:tcPr>
            <w:tcW w:w="875" w:type="dxa"/>
            <w:tcBorders>
              <w:top w:val="single" w:sz="8" w:space="0" w:color="E6F5FD"/>
              <w:bottom w:val="single" w:sz="8" w:space="0" w:color="E6F5FD"/>
              <w:right w:val="single" w:sz="8" w:space="0" w:color="E6F5FD"/>
            </w:tcBorders>
            <w:shd w:fill="E6F5FD" w:val="clear"/>
            <w:tcMar>
              <w:top w:w="28" w:type="dxa"/>
              <w:left w:w="0" w:type="dxa"/>
              <w:bottom w:w="28" w:type="dxa"/>
              <w:right w:w="28" w:type="dxa"/>
            </w:tcMar>
            <w:vAlign w:val="center"/>
          </w:tcPr>
          <w:p>
            <w:pPr>
              <w:pStyle w:val="TableContents"/>
              <w:bidi w:val="0"/>
              <w:spacing w:before="0" w:after="283"/>
              <w:jc w:val="center"/>
              <w:rPr/>
            </w:pPr>
            <w:r>
              <w:rPr/>
              <w:t> </w:t>
            </w:r>
          </w:p>
        </w:tc>
        <w:tc>
          <w:tcPr>
            <w:tcW w:w="725" w:type="dxa"/>
            <w:tcBorders>
              <w:top w:val="single" w:sz="8" w:space="0" w:color="E6F5FD"/>
              <w:bottom w:val="single" w:sz="8" w:space="0" w:color="E6F5FD"/>
              <w:right w:val="single" w:sz="8" w:space="0" w:color="E6F5FD"/>
            </w:tcBorders>
            <w:shd w:fill="E6F5FD" w:val="clear"/>
            <w:tcMar>
              <w:top w:w="28" w:type="dxa"/>
              <w:left w:w="0" w:type="dxa"/>
              <w:bottom w:w="28" w:type="dxa"/>
              <w:right w:w="28" w:type="dxa"/>
            </w:tcMar>
            <w:vAlign w:val="center"/>
          </w:tcPr>
          <w:p>
            <w:pPr>
              <w:pStyle w:val="TableContents"/>
              <w:bidi w:val="0"/>
              <w:spacing w:before="0" w:after="283"/>
              <w:jc w:val="center"/>
              <w:rPr/>
            </w:pPr>
            <w:r>
              <w:rPr/>
              <w:drawing>
                <wp:inline distT="0" distB="0" distL="0" distR="0">
                  <wp:extent cx="161925" cy="1905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61925" cy="190500"/>
                          </a:xfrm>
                          <a:prstGeom prst="rect">
                            <a:avLst/>
                          </a:prstGeom>
                        </pic:spPr>
                      </pic:pic>
                    </a:graphicData>
                  </a:graphic>
                </wp:inline>
              </w:drawing>
            </w:r>
          </w:p>
        </w:tc>
        <w:tc>
          <w:tcPr>
            <w:tcW w:w="755" w:type="dxa"/>
            <w:tcBorders>
              <w:top w:val="single" w:sz="8" w:space="0" w:color="E6F5FD"/>
              <w:bottom w:val="single" w:sz="8" w:space="0" w:color="E6F5FD"/>
              <w:right w:val="single" w:sz="8" w:space="0" w:color="E6F5FD"/>
            </w:tcBorders>
            <w:shd w:fill="E6F5FD" w:val="clear"/>
            <w:tcMar>
              <w:top w:w="28" w:type="dxa"/>
              <w:left w:w="0" w:type="dxa"/>
              <w:bottom w:w="28" w:type="dxa"/>
              <w:right w:w="28" w:type="dxa"/>
            </w:tcMar>
            <w:vAlign w:val="center"/>
          </w:tcPr>
          <w:p>
            <w:pPr>
              <w:pStyle w:val="TableContents"/>
              <w:bidi w:val="0"/>
              <w:spacing w:before="0" w:after="283"/>
              <w:jc w:val="center"/>
              <w:rPr/>
            </w:pPr>
            <w:r>
              <w:rPr/>
              <w:t> </w:t>
            </w:r>
          </w:p>
        </w:tc>
        <w:tc>
          <w:tcPr>
            <w:tcW w:w="830" w:type="dxa"/>
            <w:tcBorders>
              <w:top w:val="single" w:sz="8" w:space="0" w:color="E6F5FD"/>
              <w:bottom w:val="single" w:sz="8" w:space="0" w:color="E6F5FD"/>
            </w:tcBorders>
            <w:shd w:fill="E6F5FD" w:val="clear"/>
            <w:tcMar>
              <w:top w:w="28" w:type="dxa"/>
              <w:left w:w="0" w:type="dxa"/>
              <w:bottom w:w="28" w:type="dxa"/>
              <w:right w:w="0" w:type="dxa"/>
            </w:tcMar>
            <w:vAlign w:val="center"/>
          </w:tcPr>
          <w:p>
            <w:pPr>
              <w:pStyle w:val="TableContents"/>
              <w:bidi w:val="0"/>
              <w:spacing w:before="0" w:after="283"/>
              <w:jc w:val="center"/>
              <w:rPr/>
            </w:pPr>
            <w:r>
              <w:rPr/>
              <w:drawing>
                <wp:inline distT="0" distB="0" distL="0" distR="0">
                  <wp:extent cx="161925" cy="1905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61925" cy="190500"/>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drawing>
          <wp:inline distT="0" distB="0" distL="0" distR="0">
            <wp:extent cx="161925" cy="1905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61925" cy="190500"/>
                    </a:xfrm>
                    <a:prstGeom prst="rect">
                      <a:avLst/>
                    </a:prstGeom>
                  </pic:spPr>
                </pic:pic>
              </a:graphicData>
            </a:graphic>
          </wp:inline>
        </w:drawing>
      </w:r>
      <w:r>
        <w:rPr>
          <w:caps w:val="false"/>
          <w:smallCaps w:val="false"/>
          <w:bdr w:val="single" w:sz="8" w:space="1" w:color="2872A8"/>
        </w:rPr>
        <w:t> </w:t>
      </w:r>
      <w:r>
        <w:rPr>
          <w:rFonts w:ascii="Arial;Helvetica;Sans-Serif" w:hAnsi="Arial;Helvetica;Sans-Serif"/>
          <w:b w:val="false"/>
          <w:i w:val="false"/>
          <w:caps w:val="false"/>
          <w:smallCaps w:val="false"/>
          <w:sz w:val="14"/>
          <w:bdr w:val="single" w:sz="8" w:space="1" w:color="2872A8"/>
        </w:rPr>
        <w:t>Member</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drawing>
          <wp:inline distT="0" distB="0" distL="0" distR="0">
            <wp:extent cx="161925" cy="1905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61925" cy="190500"/>
                    </a:xfrm>
                    <a:prstGeom prst="rect">
                      <a:avLst/>
                    </a:prstGeom>
                  </pic:spPr>
                </pic:pic>
              </a:graphicData>
            </a:graphic>
          </wp:inline>
        </w:drawing>
      </w:r>
      <w:r>
        <w:rPr>
          <w:caps w:val="false"/>
          <w:smallCaps w:val="false"/>
          <w:bdr w:val="single" w:sz="8" w:space="1" w:color="2872A8"/>
        </w:rPr>
        <w:t> </w:t>
      </w:r>
      <w:r>
        <w:rPr>
          <w:rFonts w:ascii="Arial;Helvetica;Sans-Serif" w:hAnsi="Arial;Helvetica;Sans-Serif"/>
          <w:b w:val="false"/>
          <w:i w:val="false"/>
          <w:caps w:val="false"/>
          <w:smallCaps w:val="false"/>
          <w:sz w:val="14"/>
          <w:bdr w:val="single" w:sz="8" w:space="1" w:color="2872A8"/>
        </w:rPr>
        <w:t>Chair</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color w:val="65C8F2"/>
          <w:sz w:val="24"/>
          <w:bdr w:val="single" w:sz="8" w:space="1" w:color="2872A8"/>
        </w:rPr>
      </w:pPr>
      <w:bookmarkStart w:id="28" w:name="lmnrdef14aa024"/>
      <w:bookmarkEnd w:id="28"/>
      <w:r>
        <w:rPr>
          <w:rFonts w:ascii="Arial;Helvetica;Sans-Serif" w:hAnsi="Arial;Helvetica;Sans-Serif"/>
          <w:b/>
          <w:i w:val="false"/>
          <w:caps w:val="false"/>
          <w:smallCaps w:val="false"/>
          <w:color w:val="65C8F2"/>
          <w:sz w:val="24"/>
          <w:bdr w:val="single" w:sz="8" w:space="1" w:color="2872A8"/>
        </w:rPr>
        <w:t>Audit and Finance Committee</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Ms. Carbone and Messrs. Kimball and Nolan served on our Audit Committee in fiscal year 2025 with Ms. Carbone serving as Chairperson. The Audit Committee met four (4) times during fiscal year 2025 with 100% attendance.</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Audit Committee is comprised entirely of independent directors who meet the independence requirements of the NASDAQ Rules and Rule 10A-3 of the Exchange Act, and includes at least one “audit committee financial expert,” as required by applicable SEC regulations. The Board determined that Ms. Carbone and Mr. Nolan each qualify as an “audit committee financial expert,” as defined by the SEC. The Audit Committee is also established in accordance with section 3(a) (58)(A) of the Exchange Act (15 U.S.C. 78c(a)(58)(A)). The Audit Committee operates under a written charter, which reflects the requirements regarding audit committees under the NASDAQ Rules and the Sarbanes-Oxley Act of 2002, as amended. A copy of the Audit Committee charter can be found on our website.</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Audit Committee is responsible for, among other things:</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6363" w:type="dxa"/>
        <w:jc w:val="left"/>
        <w:tblInd w:w="0" w:type="dxa"/>
        <w:tblLayout w:type="fixed"/>
        <w:tblCellMar>
          <w:top w:w="0" w:type="dxa"/>
          <w:left w:w="0" w:type="dxa"/>
          <w:bottom w:w="0" w:type="dxa"/>
          <w:right w:w="0" w:type="dxa"/>
        </w:tblCellMar>
      </w:tblPr>
      <w:tblGrid>
        <w:gridCol w:w="38"/>
        <w:gridCol w:w="110"/>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retaining and overseeing our independent registered public accounting firm;</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assisting the Board in its oversight of the integrity of our financial statements, the qualifications, independence and performance of our independent registered public accounting firm and our compliance with legal and regulatory requirements;</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6528" w:type="dxa"/>
        <w:jc w:val="left"/>
        <w:tblInd w:w="0" w:type="dxa"/>
        <w:tblLayout w:type="fixed"/>
        <w:tblCellMar>
          <w:top w:w="0" w:type="dxa"/>
          <w:left w:w="0" w:type="dxa"/>
          <w:bottom w:w="0" w:type="dxa"/>
          <w:right w:w="0" w:type="dxa"/>
        </w:tblCellMar>
      </w:tblPr>
      <w:tblGrid>
        <w:gridCol w:w="38"/>
        <w:gridCol w:w="110"/>
        <w:gridCol w:w="638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638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reviewing and approving the plan and scope of the internal and external audit;</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9543" w:type="dxa"/>
        <w:jc w:val="left"/>
        <w:tblInd w:w="0" w:type="dxa"/>
        <w:tblLayout w:type="fixed"/>
        <w:tblCellMar>
          <w:top w:w="0" w:type="dxa"/>
          <w:left w:w="0" w:type="dxa"/>
          <w:bottom w:w="0" w:type="dxa"/>
          <w:right w:w="0" w:type="dxa"/>
        </w:tblCellMar>
      </w:tblPr>
      <w:tblGrid>
        <w:gridCol w:w="38"/>
        <w:gridCol w:w="110"/>
        <w:gridCol w:w="93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9395"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pre-approving any audit and non-audit services provided by our independent registered public accounting firm; and</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5358" w:type="dxa"/>
        <w:jc w:val="left"/>
        <w:tblInd w:w="0" w:type="dxa"/>
        <w:tblLayout w:type="fixed"/>
        <w:tblCellMar>
          <w:top w:w="0" w:type="dxa"/>
          <w:left w:w="0" w:type="dxa"/>
          <w:bottom w:w="0" w:type="dxa"/>
          <w:right w:w="0" w:type="dxa"/>
        </w:tblCellMar>
      </w:tblPr>
      <w:tblGrid>
        <w:gridCol w:w="38"/>
        <w:gridCol w:w="110"/>
        <w:gridCol w:w="521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approving fees to be paid to our internal audit service providers.</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Additionally, the Audit Committee is responsible for reviewing with the Chief Executive Officer, Chief Financial Officer and independent registered public accounting firm the adequacy and effectiveness of our internal controls, preparing the Audit Committee report to be filed with the SEC and conducting an annual review and assessment of the Audit Committee’s performance and the adequacy of its charter.</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19</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color w:val="65C8F2"/>
          <w:sz w:val="24"/>
          <w:bdr w:val="single" w:sz="8" w:space="1" w:color="2872A8"/>
        </w:rPr>
      </w:pPr>
      <w:bookmarkStart w:id="29" w:name="lmnrdef14aa025"/>
      <w:bookmarkEnd w:id="29"/>
      <w:r>
        <w:rPr>
          <w:rFonts w:ascii="Arial;Helvetica;Sans-Serif" w:hAnsi="Arial;Helvetica;Sans-Serif"/>
          <w:b/>
          <w:i w:val="false"/>
          <w:caps w:val="false"/>
          <w:smallCaps w:val="false"/>
          <w:color w:val="65C8F2"/>
          <w:sz w:val="24"/>
          <w:bdr w:val="single" w:sz="8" w:space="1" w:color="2872A8"/>
        </w:rPr>
        <w:t>Compensation Committee</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Mses. Mora and Carbone and Mr. Slater served on our Compensation Committee for fiscal year 2025 with Ms. Mora serving as Chairperson. The Compensation Committee met seven (7) times during fiscal year 2025 with 95% attendance..</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Compensation Committee is comprised entirely of independent directors who meet the compensation committee independence requirements of the NASDAQ Listing Rules. In accordance with the Compensation Committee charter, the members are “outside directors” as defined in Section 162(m) of the Internal Revenue Code of 1986, as amended (the “Internal Revenue Code”), and “non-employee directors” within the meaning of Rule 16b-3 of the Exchange Act.</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Compensation Committee is responsible for, among other things:</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6978" w:type="dxa"/>
        <w:jc w:val="left"/>
        <w:tblInd w:w="0" w:type="dxa"/>
        <w:tblLayout w:type="fixed"/>
        <w:tblCellMar>
          <w:top w:w="0" w:type="dxa"/>
          <w:left w:w="0" w:type="dxa"/>
          <w:bottom w:w="0" w:type="dxa"/>
          <w:right w:w="0" w:type="dxa"/>
        </w:tblCellMar>
      </w:tblPr>
      <w:tblGrid>
        <w:gridCol w:w="38"/>
        <w:gridCol w:w="110"/>
        <w:gridCol w:w="68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683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determining compensation policies for executive officers and independent directors;</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6018" w:type="dxa"/>
        <w:jc w:val="left"/>
        <w:tblInd w:w="0" w:type="dxa"/>
        <w:tblLayout w:type="fixed"/>
        <w:tblCellMar>
          <w:top w:w="0" w:type="dxa"/>
          <w:left w:w="0" w:type="dxa"/>
          <w:bottom w:w="0" w:type="dxa"/>
          <w:right w:w="0" w:type="dxa"/>
        </w:tblCellMar>
      </w:tblPr>
      <w:tblGrid>
        <w:gridCol w:w="38"/>
        <w:gridCol w:w="110"/>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overseeing the Company’s cash and equity-based compensation plans;</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determining all aspects of compensation packages for executive officers, and for reviewing such compensation for our directors; and</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5853" w:type="dxa"/>
        <w:jc w:val="left"/>
        <w:tblInd w:w="0" w:type="dxa"/>
        <w:tblLayout w:type="fixed"/>
        <w:tblCellMar>
          <w:top w:w="0" w:type="dxa"/>
          <w:left w:w="0" w:type="dxa"/>
          <w:bottom w:w="0" w:type="dxa"/>
          <w:right w:w="0" w:type="dxa"/>
        </w:tblCellMar>
      </w:tblPr>
      <w:tblGrid>
        <w:gridCol w:w="38"/>
        <w:gridCol w:w="110"/>
        <w:gridCol w:w="570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5705"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recommending terms and awards of stock compensation to the Board.</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Compensation Committee is responsible for reviewing organizational and staffing matters of the Company, reviewing and discussing the Compensation Discussion and Analysis disclosure with management and recommending its approval in the proxy statement, and granting the right for directors, officers and employees to receive indemnification, as applicable. The Compensation Committee is also responsible for reviewing the adequacy of its charter, a copy of which can be found on our website.</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Compensation Committee is also responsible for determining all aspects of compensation packages for executive officers, and for reviewing such compensation for our directors. Our NEOs annually review their current and future goals and compensation structure with the Compensation Committee. During this review, the Compensation Committee considers any changes within the NEO role(s), the nature and responsibility of the position and, to the extent available, salary norms for comparable positions, the information and advice provided by the Company’s independent compensation consultant, the expertise of the individual executive, the competitiveness of the market and any recommendations of our President and Chief Executive Officer. The Compensation Committee then makes recommendations to the Board for approval and/or changes to NEO compensation.</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From time to time, the Compensation Committee retains, without the recommendation of management, an independent compensation consultant to provide advice and recommendations on competitive market practices and pay levels of directors, as well as market specific practices regarding incentive-based plans. In this role, the compensation consultant works with the Compensation Committee (and not on behalf of management) to assist the Compensation Committee in satisfying its responsibilities and will undertake no projects for management except at the request of the Compensation Committee chair and in the capacity of the Compensation Committee’s agent.</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It is Company policy to retain an independent compensation consultant approximately every two (2) years to assist with reviewing, and if necessary, redesigning, the compensation structure for executive officers and non-management directors. During fiscal year 2023, the Compensation Committee engaged Pearl Meyer and Partners LLC (“Pearl Meyer”), an independent, leading advisor to boards and senior management on compensation, as an independent compensation consultant to advise the Compensation Committee and to assist with redesigning the compensation structure for non-management directors, NEOs and management. The redesigned compensation structure was implemented in fiscal year 2024 and remained in place during fiscal year 2025. During fiscal years 2025 and 2026, the Compensation Committee engaged Pearl Meyer to review and analyze peer group data and the existing compensation structure to assess whether any changes are necessary to ensure alignment with our strategic objectives and market practices.</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For additional information on Pearl Meyer - please see “Director Compensation,” “Key Compensation Objectives,” “Key Compensation Program Highlights for Fiscal Year 2025,” and “Elements of Compensation” below.</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Compensation Committee evaluated Pearl Meyer’s independence pursuant to the SEC rules and the NASDAQ Rules. The Compensation Committee determined that Pearl Meyer is independent, and there is no conflict of interest as a result of the work performed by Pearl Meyer during fiscal years 2025 and 2026. For additional information concerning the Compensation</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20</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Committee’s processes and procedures for consideration and determination of executive officer compensation, see the “Compensation Discussion and Analysis” and “Key Compensation Decisions” sections of this proxy statement.</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caps w:val="false"/>
          <w:smallCaps w:val="false"/>
          <w:color w:val="0062AF"/>
          <w:sz w:val="20"/>
          <w:bdr w:val="single" w:sz="8" w:space="1" w:color="2872A8"/>
        </w:rPr>
      </w:pPr>
      <w:r>
        <w:rPr>
          <w:rFonts w:ascii="Arial;Helvetica;Sans-Serif" w:hAnsi="Arial;Helvetica;Sans-Serif"/>
          <w:b/>
          <w:i/>
          <w:caps w:val="false"/>
          <w:smallCaps w:val="false"/>
          <w:color w:val="0062AF"/>
          <w:sz w:val="20"/>
          <w:bdr w:val="single" w:sz="8" w:space="1" w:color="2872A8"/>
        </w:rPr>
        <w:t>Compensation Committee Interlocks and Insider Participation</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There are no interlocking relationships between any member of our Compensation Committee and any of our NEOs that require disclosure under the applicable rules promulgated under the federal securities laws.</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color w:val="65C8F2"/>
          <w:sz w:val="24"/>
          <w:bdr w:val="single" w:sz="8" w:space="1" w:color="2872A8"/>
        </w:rPr>
      </w:pPr>
      <w:bookmarkStart w:id="30" w:name="lmnrdef14aa026"/>
      <w:bookmarkEnd w:id="30"/>
      <w:r>
        <w:rPr>
          <w:rFonts w:ascii="Arial;Helvetica;Sans-Serif" w:hAnsi="Arial;Helvetica;Sans-Serif"/>
          <w:b/>
          <w:i w:val="false"/>
          <w:caps w:val="false"/>
          <w:smallCaps w:val="false"/>
          <w:color w:val="65C8F2"/>
          <w:sz w:val="24"/>
          <w:bdr w:val="single" w:sz="8" w:space="1" w:color="2872A8"/>
        </w:rPr>
        <w:t>Nominating and Corporate Governance Committee</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Ms. Mora and Messrs. Slater and Terry served on the Nominating Committee for fiscal year 2025 with Ms. Mora serving as the Chairperson. The Nominating Committee met four (4) times during fiscal year 2025 with 100% attendance.</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Nominating Committee is comprised entirely of independent directors who meet the independence requirements of the NASDAQ Rules. The Nominating Committee is responsible for, among other things:</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5208" w:type="dxa"/>
        <w:jc w:val="left"/>
        <w:tblInd w:w="0" w:type="dxa"/>
        <w:tblLayout w:type="fixed"/>
        <w:tblCellMar>
          <w:top w:w="0" w:type="dxa"/>
          <w:left w:w="0" w:type="dxa"/>
          <w:bottom w:w="0" w:type="dxa"/>
          <w:right w:w="0" w:type="dxa"/>
        </w:tblCellMar>
      </w:tblPr>
      <w:tblGrid>
        <w:gridCol w:w="38"/>
        <w:gridCol w:w="110"/>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recommending the number of directors to comprise the Board;</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9528" w:type="dxa"/>
        <w:jc w:val="left"/>
        <w:tblInd w:w="0" w:type="dxa"/>
        <w:tblLayout w:type="fixed"/>
        <w:tblCellMar>
          <w:top w:w="0" w:type="dxa"/>
          <w:left w:w="0" w:type="dxa"/>
          <w:bottom w:w="0" w:type="dxa"/>
          <w:right w:w="0" w:type="dxa"/>
        </w:tblCellMar>
      </w:tblPr>
      <w:tblGrid>
        <w:gridCol w:w="38"/>
        <w:gridCol w:w="110"/>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identifying and evaluating individuals, or incumbent directors, qualified to become or remain members of the Board;</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6693" w:type="dxa"/>
        <w:jc w:val="left"/>
        <w:tblInd w:w="0" w:type="dxa"/>
        <w:tblLayout w:type="fixed"/>
        <w:tblCellMar>
          <w:top w:w="0" w:type="dxa"/>
          <w:left w:w="0" w:type="dxa"/>
          <w:bottom w:w="0" w:type="dxa"/>
          <w:right w:w="0" w:type="dxa"/>
        </w:tblCellMar>
      </w:tblPr>
      <w:tblGrid>
        <w:gridCol w:w="38"/>
        <w:gridCol w:w="11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recommending to the Board nominees for each Annual Meeting of Stockholders;</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6573" w:type="dxa"/>
        <w:jc w:val="left"/>
        <w:tblInd w:w="0" w:type="dxa"/>
        <w:tblLayout w:type="fixed"/>
        <w:tblCellMar>
          <w:top w:w="0" w:type="dxa"/>
          <w:left w:w="0" w:type="dxa"/>
          <w:bottom w:w="0" w:type="dxa"/>
          <w:right w:w="0" w:type="dxa"/>
        </w:tblCellMar>
      </w:tblPr>
      <w:tblGrid>
        <w:gridCol w:w="38"/>
        <w:gridCol w:w="110"/>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6425"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recommending to the Board the candidates for filling vacancies that may occur;</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8043" w:type="dxa"/>
        <w:jc w:val="left"/>
        <w:tblInd w:w="0" w:type="dxa"/>
        <w:tblLayout w:type="fixed"/>
        <w:tblCellMar>
          <w:top w:w="0" w:type="dxa"/>
          <w:left w:w="0" w:type="dxa"/>
          <w:bottom w:w="0" w:type="dxa"/>
          <w:right w:w="0" w:type="dxa"/>
        </w:tblCellMar>
      </w:tblPr>
      <w:tblGrid>
        <w:gridCol w:w="38"/>
        <w:gridCol w:w="11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reviewing the Board’s independent director compensation process, self-evaluations and policies;</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3843" w:type="dxa"/>
        <w:jc w:val="left"/>
        <w:tblInd w:w="0" w:type="dxa"/>
        <w:tblLayout w:type="fixed"/>
        <w:tblCellMar>
          <w:top w:w="0" w:type="dxa"/>
          <w:left w:w="0" w:type="dxa"/>
          <w:bottom w:w="0" w:type="dxa"/>
          <w:right w:w="0" w:type="dxa"/>
        </w:tblCellMar>
      </w:tblPr>
      <w:tblGrid>
        <w:gridCol w:w="38"/>
        <w:gridCol w:w="110"/>
        <w:gridCol w:w="36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3695"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overseeing compliance with the Ethics Code;</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5883" w:type="dxa"/>
        <w:jc w:val="left"/>
        <w:tblInd w:w="0" w:type="dxa"/>
        <w:tblLayout w:type="fixed"/>
        <w:tblCellMar>
          <w:top w:w="0" w:type="dxa"/>
          <w:left w:w="0" w:type="dxa"/>
          <w:bottom w:w="0" w:type="dxa"/>
          <w:right w:w="0" w:type="dxa"/>
        </w:tblCellMar>
      </w:tblPr>
      <w:tblGrid>
        <w:gridCol w:w="38"/>
        <w:gridCol w:w="110"/>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monitoring developments in the law and in corporate governance; and</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4803" w:type="dxa"/>
        <w:jc w:val="left"/>
        <w:tblInd w:w="0" w:type="dxa"/>
        <w:tblLayout w:type="fixed"/>
        <w:tblCellMar>
          <w:top w:w="0" w:type="dxa"/>
          <w:left w:w="0" w:type="dxa"/>
          <w:bottom w:w="0" w:type="dxa"/>
          <w:right w:w="0" w:type="dxa"/>
        </w:tblCellMar>
      </w:tblPr>
      <w:tblGrid>
        <w:gridCol w:w="38"/>
        <w:gridCol w:w="110"/>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overseeing the Company’s ESG programs and practices.</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Nominating Committee is also responsible for reviewing the adequacy of its charter, a copy of which can be found on our website.</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color w:val="65C8F2"/>
          <w:sz w:val="24"/>
          <w:bdr w:val="single" w:sz="8" w:space="1" w:color="2872A8"/>
        </w:rPr>
      </w:pPr>
      <w:bookmarkStart w:id="31" w:name="lmnrdef14aa027"/>
      <w:bookmarkEnd w:id="31"/>
      <w:r>
        <w:rPr>
          <w:rFonts w:ascii="Arial;Helvetica;Sans-Serif" w:hAnsi="Arial;Helvetica;Sans-Serif"/>
          <w:b/>
          <w:i w:val="false"/>
          <w:caps w:val="false"/>
          <w:smallCaps w:val="false"/>
          <w:color w:val="65C8F2"/>
          <w:sz w:val="24"/>
          <w:bdr w:val="single" w:sz="8" w:space="1" w:color="2872A8"/>
        </w:rPr>
        <w:t>Risk Management Committee</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Messrs. Kimball, Nolan and Terry served on the Risk Management Committee for fiscal year 2025 with Mr. Terry serving as the Chairperson. The Risk Management Committee met four (4) times during fiscal year 2025 with 100% attendance.</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Risk Committee is comprised entirely of independent directors who meet the independence requirements of the NASDAQ Rules. The Risk Committee is responsible for, among other things:</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8643" w:type="dxa"/>
        <w:jc w:val="left"/>
        <w:tblInd w:w="0" w:type="dxa"/>
        <w:tblLayout w:type="fixed"/>
        <w:tblCellMar>
          <w:top w:w="0" w:type="dxa"/>
          <w:left w:w="0" w:type="dxa"/>
          <w:bottom w:w="0" w:type="dxa"/>
          <w:right w:w="0" w:type="dxa"/>
        </w:tblCellMar>
      </w:tblPr>
      <w:tblGrid>
        <w:gridCol w:w="38"/>
        <w:gridCol w:w="110"/>
        <w:gridCol w:w="84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8495"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reviewing and approving risk management policies and associated framework, processes and practices;</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10083" w:type="dxa"/>
        <w:jc w:val="left"/>
        <w:tblInd w:w="0" w:type="dxa"/>
        <w:tblLayout w:type="fixed"/>
        <w:tblCellMar>
          <w:top w:w="0" w:type="dxa"/>
          <w:left w:w="0" w:type="dxa"/>
          <w:bottom w:w="0" w:type="dxa"/>
          <w:right w:w="0" w:type="dxa"/>
        </w:tblCellMar>
      </w:tblPr>
      <w:tblGrid>
        <w:gridCol w:w="38"/>
        <w:gridCol w:w="110"/>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9935"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evaluating significant risk exposures of the Company and assessing management’s actions to mitigate the exposures; and</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overseeing management’s measures to achieve a prudent balance between risk and reward in both ongoing and new business activities.</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color w:val="008DCF"/>
          <w:sz w:val="26"/>
          <w:bdr w:val="single" w:sz="8" w:space="1" w:color="2872A8"/>
        </w:rPr>
      </w:pPr>
      <w:bookmarkStart w:id="32" w:name="lmnrdef14aa028"/>
      <w:bookmarkEnd w:id="32"/>
      <w:r>
        <w:rPr>
          <w:rFonts w:ascii="Arial;Helvetica;Sans-Serif" w:hAnsi="Arial;Helvetica;Sans-Serif"/>
          <w:b/>
          <w:i w:val="false"/>
          <w:caps w:val="false"/>
          <w:smallCaps w:val="false"/>
          <w:color w:val="008DCF"/>
          <w:sz w:val="26"/>
          <w:bdr w:val="single" w:sz="8" w:space="1" w:color="2872A8"/>
        </w:rPr>
        <w:t>Director Compensation</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compensation program for our non-employee directors is intended to be competitive and fair so that we can attract and retain the best talent to our Board, and recognize the time and effort required of a director given the size and complexity of our operations. In addition to the cash compensation for director fees and committee membership, we provide equity grants and have Ownership Guidelines to align directors’ interests with our stockholders’ interests and to ensure focus on our long-term growth, our road map and success.</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21</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color w:val="65C8F2"/>
          <w:sz w:val="24"/>
          <w:bdr w:val="single" w:sz="8" w:space="1" w:color="2872A8"/>
        </w:rPr>
      </w:pPr>
      <w:r>
        <w:rPr>
          <w:rFonts w:ascii="Arial;Helvetica;Sans-Serif" w:hAnsi="Arial;Helvetica;Sans-Serif"/>
          <w:b/>
          <w:i w:val="false"/>
          <w:caps w:val="false"/>
          <w:smallCaps w:val="false"/>
          <w:color w:val="65C8F2"/>
          <w:sz w:val="24"/>
          <w:bdr w:val="single" w:sz="8" w:space="1" w:color="2872A8"/>
        </w:rPr>
        <w:t>Director Compensation Structure for Fiscal Year 2025</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There were no changes to the director compensation in fiscal year 2025.</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b/>
                <w:sz w:val="18"/>
              </w:rPr>
              <w:t xml:space="preserve">Equity Compensation. </w:t>
            </w:r>
            <w:r>
              <w:rPr>
                <w:rFonts w:ascii="Arial;Helvetica;Sans-Serif" w:hAnsi="Arial;Helvetica;Sans-Serif"/>
                <w:sz w:val="18"/>
              </w:rPr>
              <w:t>Each non-employee director receives an annual grant of restricted stock on the date of the Annual Meeting of Stockholders, with a grant date fair market value of $85,000, based on the closing price of our Common Stock on the grant date. The restricted stock vests in one-year, on April 9, 2026, consistent with the 2022 Plan, which requires a minimum one-year vesting period for all awards granted under the plan.</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8583" w:type="dxa"/>
        <w:jc w:val="left"/>
        <w:tblInd w:w="0" w:type="dxa"/>
        <w:tblLayout w:type="fixed"/>
        <w:tblCellMar>
          <w:top w:w="0" w:type="dxa"/>
          <w:left w:w="0" w:type="dxa"/>
          <w:bottom w:w="0" w:type="dxa"/>
          <w:right w:w="0" w:type="dxa"/>
        </w:tblCellMar>
      </w:tblPr>
      <w:tblGrid>
        <w:gridCol w:w="38"/>
        <w:gridCol w:w="110"/>
        <w:gridCol w:w="843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8435"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b/>
                <w:sz w:val="18"/>
              </w:rPr>
              <w:t xml:space="preserve">Cash Compensation. </w:t>
            </w:r>
            <w:r>
              <w:rPr>
                <w:rFonts w:ascii="Arial;Helvetica;Sans-Serif" w:hAnsi="Arial;Helvetica;Sans-Serif"/>
                <w:sz w:val="18"/>
              </w:rPr>
              <w:t>The balance of the total annual compensation is paid in cash quarterly in arrears.</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b/>
                <w:sz w:val="18"/>
              </w:rPr>
              <w:t xml:space="preserve">Expenses. </w:t>
            </w:r>
            <w:r>
              <w:rPr>
                <w:rFonts w:ascii="Arial;Helvetica;Sans-Serif" w:hAnsi="Arial;Helvetica;Sans-Serif"/>
                <w:sz w:val="18"/>
              </w:rPr>
              <w:t>Directors (including the Chairperson of the Board) are reimbursed for reasonable out-of-pocket expenses incurred in attending meetings of the Board or committees. The Company also reimburses directors for all reasonable and authorized business expenses related to service to the Company in accordance with the policies of the Company as in effect from time to time.</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following table sets forth the director total annual compensation fee schedule for service on the Board and committees for fiscal year 2025. Limoneira does not issue option awards, and no non-management directors have any option awards outstanding. Our management director, Mr. Edwards, does not receive any compensation for his service on the Board or for attending any Board or Committee meetings.</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5415" w:type="dxa"/>
        <w:jc w:val="left"/>
        <w:tblInd w:w="0" w:type="dxa"/>
        <w:tblLayout w:type="fixed"/>
        <w:tblCellMar>
          <w:top w:w="0" w:type="dxa"/>
          <w:left w:w="0" w:type="dxa"/>
          <w:bottom w:w="0" w:type="dxa"/>
          <w:right w:w="28" w:type="dxa"/>
        </w:tblCellMar>
      </w:tblPr>
      <w:tblGrid>
        <w:gridCol w:w="3770"/>
        <w:gridCol w:w="815"/>
        <w:gridCol w:w="830"/>
      </w:tblGrid>
      <w:tr>
        <w:trPr/>
        <w:tc>
          <w:tcPr>
            <w:tcW w:w="3770" w:type="dxa"/>
            <w:tcBorders>
              <w:right w:val="single" w:sz="8" w:space="0" w:color="FFFFFF"/>
            </w:tcBorders>
            <w:shd w:fill="D2D6E4" w:val="clear"/>
            <w:vAlign w:val="center"/>
          </w:tcPr>
          <w:p>
            <w:pPr>
              <w:pStyle w:val="TableContents"/>
              <w:bidi w:val="0"/>
              <w:spacing w:before="0" w:after="283"/>
              <w:jc w:val="left"/>
              <w:rPr/>
            </w:pPr>
            <w:r>
              <w:rPr/>
              <w:t> </w:t>
            </w:r>
          </w:p>
        </w:tc>
        <w:tc>
          <w:tcPr>
            <w:tcW w:w="815" w:type="dxa"/>
            <w:tcBorders>
              <w:right w:val="single" w:sz="8" w:space="0" w:color="FFFFFF"/>
            </w:tcBorders>
            <w:shd w:fill="D2D6E4" w:val="cle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Member</w:t>
            </w:r>
          </w:p>
        </w:tc>
        <w:tc>
          <w:tcPr>
            <w:tcW w:w="830" w:type="dxa"/>
            <w:tcBorders/>
            <w:shd w:fill="D2D6E4" w:val="clear"/>
            <w:tcMar>
              <w:top w:w="60" w:type="dxa"/>
              <w:left w:w="60" w:type="dxa"/>
              <w:bottom w:w="60" w:type="dxa"/>
              <w:right w:w="6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Chair</w:t>
            </w:r>
          </w:p>
        </w:tc>
      </w:tr>
      <w:tr>
        <w:trPr/>
        <w:tc>
          <w:tcPr>
            <w:tcW w:w="3770" w:type="dxa"/>
            <w:tcBorders>
              <w:right w:val="single" w:sz="8" w:space="0" w:color="E6F5FD"/>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Director Fees</w:t>
            </w:r>
            <w:r>
              <w:rPr>
                <w:rFonts w:ascii="Arial;Helvetica;Sans-Serif" w:hAnsi="Arial;Helvetica;Sans-Serif"/>
                <w:position w:val="5"/>
                <w:sz w:val="13"/>
                <w:sz w:val="16"/>
              </w:rPr>
              <w:t>(1)</w:t>
            </w:r>
          </w:p>
        </w:tc>
        <w:tc>
          <w:tcPr>
            <w:tcW w:w="815" w:type="dxa"/>
            <w:tcBorders>
              <w:right w:val="single" w:sz="8" w:space="0" w:color="E3F2E7"/>
            </w:tcBorders>
            <w:tcMar>
              <w:right w:w="5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$145,000</w:t>
            </w:r>
          </w:p>
        </w:tc>
        <w:tc>
          <w:tcPr>
            <w:tcW w:w="830" w:type="dxa"/>
            <w:tcBorders/>
            <w:tcMar>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$205,000</w:t>
            </w:r>
          </w:p>
        </w:tc>
      </w:tr>
      <w:tr>
        <w:trPr/>
        <w:tc>
          <w:tcPr>
            <w:tcW w:w="3770" w:type="dxa"/>
            <w:tcBorders>
              <w:right w:val="single" w:sz="8" w:space="0" w:color="E6F5FD"/>
            </w:tcBorders>
            <w:shd w:fill="E6F5FD"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Audit &amp; Finance Committee</w:t>
            </w:r>
          </w:p>
        </w:tc>
        <w:tc>
          <w:tcPr>
            <w:tcW w:w="815" w:type="dxa"/>
            <w:tcBorders>
              <w:right w:val="single" w:sz="8" w:space="0" w:color="E3F2E7"/>
            </w:tcBorders>
            <w:shd w:fill="E6F5FD" w:val="clear"/>
            <w:tcMar>
              <w:right w:w="5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$10,000</w:t>
            </w:r>
          </w:p>
        </w:tc>
        <w:tc>
          <w:tcPr>
            <w:tcW w:w="830" w:type="dxa"/>
            <w:tcBorders/>
            <w:shd w:fill="E6F5FD" w:val="clear"/>
            <w:tcMar>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$20,000</w:t>
            </w:r>
          </w:p>
        </w:tc>
      </w:tr>
      <w:tr>
        <w:trPr/>
        <w:tc>
          <w:tcPr>
            <w:tcW w:w="3770" w:type="dxa"/>
            <w:tcBorders>
              <w:right w:val="single" w:sz="8" w:space="0" w:color="E6F5FD"/>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Compensation Committee</w:t>
            </w:r>
          </w:p>
        </w:tc>
        <w:tc>
          <w:tcPr>
            <w:tcW w:w="815" w:type="dxa"/>
            <w:tcBorders>
              <w:right w:val="single" w:sz="8" w:space="0" w:color="E3F2E7"/>
            </w:tcBorders>
            <w:tcMar>
              <w:right w:w="5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$7,500</w:t>
            </w:r>
          </w:p>
        </w:tc>
        <w:tc>
          <w:tcPr>
            <w:tcW w:w="830" w:type="dxa"/>
            <w:tcBorders/>
            <w:tcMar>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$15,000</w:t>
            </w:r>
          </w:p>
        </w:tc>
      </w:tr>
      <w:tr>
        <w:trPr/>
        <w:tc>
          <w:tcPr>
            <w:tcW w:w="3770" w:type="dxa"/>
            <w:tcBorders>
              <w:right w:val="single" w:sz="8" w:space="0" w:color="E6F5FD"/>
            </w:tcBorders>
            <w:shd w:fill="E6F5FD"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Nominating &amp; Corporate Governanace Committee</w:t>
            </w:r>
          </w:p>
        </w:tc>
        <w:tc>
          <w:tcPr>
            <w:tcW w:w="815" w:type="dxa"/>
            <w:tcBorders>
              <w:right w:val="single" w:sz="8" w:space="0" w:color="E3F2E7"/>
            </w:tcBorders>
            <w:shd w:fill="E6F5FD" w:val="clear"/>
            <w:tcMar>
              <w:right w:w="5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$7,500</w:t>
            </w:r>
          </w:p>
        </w:tc>
        <w:tc>
          <w:tcPr>
            <w:tcW w:w="830" w:type="dxa"/>
            <w:tcBorders/>
            <w:shd w:fill="E6F5FD" w:val="clear"/>
            <w:tcMar>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$15,000</w:t>
            </w:r>
          </w:p>
        </w:tc>
      </w:tr>
      <w:tr>
        <w:trPr/>
        <w:tc>
          <w:tcPr>
            <w:tcW w:w="3770" w:type="dxa"/>
            <w:tcBorders>
              <w:bottom w:val="single" w:sz="8" w:space="0" w:color="E6F5FD"/>
              <w:right w:val="single" w:sz="8" w:space="0" w:color="E6F5FD"/>
            </w:tcBorders>
            <w:tcMar>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Risk Management Committee</w:t>
            </w:r>
          </w:p>
        </w:tc>
        <w:tc>
          <w:tcPr>
            <w:tcW w:w="815" w:type="dxa"/>
            <w:tcBorders>
              <w:bottom w:val="single" w:sz="8" w:space="0" w:color="E6F5FD"/>
              <w:right w:val="single" w:sz="8" w:space="0" w:color="E3F2E7"/>
            </w:tcBorders>
            <w:tcMar>
              <w:bottom w:w="28" w:type="dxa"/>
              <w:right w:w="5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$6,000</w:t>
            </w:r>
          </w:p>
        </w:tc>
        <w:tc>
          <w:tcPr>
            <w:tcW w:w="830" w:type="dxa"/>
            <w:tcBorders>
              <w:bottom w:val="single" w:sz="8" w:space="0" w:color="E6F5FD"/>
            </w:tcBorders>
            <w:tcMar>
              <w:bottom w:w="28"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$12,000</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9993" w:type="dxa"/>
            <w:tcBorders/>
            <w:vAlign w:val="center"/>
          </w:tcPr>
          <w:p>
            <w:pPr>
              <w:pStyle w:val="TableContents"/>
              <w:bidi w:val="0"/>
              <w:spacing w:before="0" w:after="283"/>
              <w:jc w:val="both"/>
              <w:rPr>
                <w:rFonts w:ascii="Arial;Helvetica;Sans-Serif" w:hAnsi="Arial;Helvetica;Sans-Serif"/>
                <w:sz w:val="14"/>
              </w:rPr>
            </w:pPr>
            <w:r>
              <w:rPr>
                <w:rFonts w:ascii="Arial;Helvetica;Sans-Serif" w:hAnsi="Arial;Helvetica;Sans-Serif"/>
                <w:sz w:val="14"/>
              </w:rPr>
              <w:t>Director Fees are paid $60,000 cash and $85,000 equity based on closing market price on the day of our 2025 Annual Meeting held April 9, 2025. The Board Chair receives an additioal $60,000 cash premium.</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color w:val="65C8F2"/>
          <w:sz w:val="24"/>
          <w:bdr w:val="single" w:sz="8" w:space="1" w:color="2872A8"/>
        </w:rPr>
      </w:pPr>
      <w:r>
        <w:rPr>
          <w:rFonts w:ascii="Arial;Helvetica;Sans-Serif" w:hAnsi="Arial;Helvetica;Sans-Serif"/>
          <w:b/>
          <w:i w:val="false"/>
          <w:caps w:val="false"/>
          <w:smallCaps w:val="false"/>
          <w:color w:val="65C8F2"/>
          <w:sz w:val="24"/>
          <w:bdr w:val="single" w:sz="8" w:space="1" w:color="2872A8"/>
        </w:rPr>
        <w:t>Pearl Meyer Engagement</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Company’s Non-Employee Director Compensation Guidelines set forth the process by which the Compensation Committee reviews non-employee director compensation to ensure such compensation supports the Company’s objectives and remains aligned with market practices. As part of its oversight and review, the Company engages a compensation consultant periodically to assist with reviewing, and if necessary, redesigning, the non-employee directors program.</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During fiscal year 2023, the Compensation Committee engaged Pearl Meyer to review non-employee director compensation. Pearl Meyer benchmarked non-employee director compensation against the same compensation peer group used to assess executive compensation for our named executive officers (“NEOs”) and, based on this analysis, recommended changes to the compensation structure of our non-employee directors. The Compensation Committee approved these, effective November 1, 2024. No changes were made to non-employee director compensation during fiscal year 2025.</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In late fiscal year 2025 and early fiscal year 2026, the Compensation Committee engaged Pearl Meyer to review the Company’s compensation peer group and assess whether any updates were warranted. Based on this review, in January 2026, the Board approved an updated peer group at the recommendation of Pearl Meyer. The Board determined that the updated peer group was appropriate based on merger and acquisition activity within the prior peer group and the Company’s objective of maintaining a relevant and appropriately sized peer group. See “Compensation Peer Group” below for detailed information.</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During fiscal year 2026, Pearl Meyer reviewed the Company’s non-employee director compensation program and benchmarked such compensation against the updated peer group. As part of its review, Pearl Meyer evaluated the scope and demands of the Company’s board responsibilities and noted that non-employee director compensation levels had not been adjusted since November 2024. Based on this assessment, Pearl Meyer recommended increasing non-employee director compensation for fiscal year 2026 as follows: raising the annual Board cash retainer from $60,000 to $70,000 and</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22</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2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increasing the annual restricted stock grant from $85,000 to $90,000. After discussion, the Board decided not to approve the increases to non-employee director compensation, as the Board believes that the Company’s current non-employee director compensation program appropriately reflects the scope and demands of Board service and sufficiently supports the recruitment and retention of qualified directors and aligns directors’ interests with long-term stockholder value.</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2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following table provides compensation paid to our non-management directors for fiscal year 2025</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5965" w:type="dxa"/>
        <w:jc w:val="left"/>
        <w:tblInd w:w="0" w:type="dxa"/>
        <w:tblLayout w:type="fixed"/>
        <w:tblCellMar>
          <w:top w:w="0" w:type="dxa"/>
          <w:left w:w="0" w:type="dxa"/>
          <w:bottom w:w="0" w:type="dxa"/>
          <w:right w:w="0" w:type="dxa"/>
        </w:tblCellMar>
      </w:tblPr>
      <w:tblGrid>
        <w:gridCol w:w="1625"/>
        <w:gridCol w:w="1250"/>
        <w:gridCol w:w="1070"/>
        <w:gridCol w:w="1085"/>
        <w:gridCol w:w="935"/>
      </w:tblGrid>
      <w:tr>
        <w:trPr/>
        <w:tc>
          <w:tcPr>
            <w:tcW w:w="1625" w:type="dxa"/>
            <w:tcBorders/>
            <w:shd w:fill="D2D6E4"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Director Name</w:t>
            </w:r>
          </w:p>
        </w:tc>
        <w:tc>
          <w:tcPr>
            <w:tcW w:w="1250" w:type="dxa"/>
            <w:tcBorders>
              <w:left w:val="single" w:sz="8" w:space="0" w:color="FFFFFF"/>
              <w:right w:val="single" w:sz="8" w:space="0" w:color="FFFFFF"/>
            </w:tcBorders>
            <w:shd w:fill="D2D6E4" w:val="clear"/>
            <w:tcMar>
              <w:left w:w="28" w:type="dxa"/>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b/>
                <w:sz w:val="16"/>
              </w:rPr>
              <w:t>Total</w:t>
            </w:r>
            <w:r>
              <w:rPr>
                <w:rFonts w:ascii="Arial;Helvetica;Sans-Serif" w:hAnsi="Arial;Helvetica;Sans-Serif"/>
                <w:sz w:val="16"/>
              </w:rPr>
              <w:br/>
            </w:r>
            <w:r>
              <w:rPr>
                <w:rFonts w:ascii="Arial;Helvetica;Sans-Serif" w:hAnsi="Arial;Helvetica;Sans-Serif"/>
                <w:b/>
                <w:sz w:val="16"/>
              </w:rPr>
              <w:t>FY 2025</w:t>
            </w:r>
            <w:r>
              <w:rPr>
                <w:rFonts w:ascii="Arial;Helvetica;Sans-Serif" w:hAnsi="Arial;Helvetica;Sans-Serif"/>
                <w:sz w:val="16"/>
              </w:rPr>
              <w:br/>
            </w:r>
            <w:r>
              <w:rPr>
                <w:rFonts w:ascii="Arial;Helvetica;Sans-Serif" w:hAnsi="Arial;Helvetica;Sans-Serif"/>
                <w:b/>
                <w:sz w:val="16"/>
              </w:rPr>
              <w:t>Compensation</w:t>
            </w:r>
            <w:r>
              <w:rPr>
                <w:rFonts w:ascii="Arial;Helvetica;Sans-Serif" w:hAnsi="Arial;Helvetica;Sans-Serif"/>
                <w:sz w:val="16"/>
              </w:rPr>
              <w:br/>
            </w:r>
            <w:r>
              <w:rPr>
                <w:rFonts w:ascii="Arial;Helvetica;Sans-Serif" w:hAnsi="Arial;Helvetica;Sans-Serif"/>
                <w:b/>
                <w:sz w:val="16"/>
              </w:rPr>
              <w:t>($)</w:t>
            </w:r>
          </w:p>
        </w:tc>
        <w:tc>
          <w:tcPr>
            <w:tcW w:w="1070" w:type="dxa"/>
            <w:tcBorders>
              <w:right w:val="single" w:sz="8" w:space="0" w:color="FFFFFF"/>
            </w:tcBorders>
            <w:shd w:fill="D2D6E4" w:val="clear"/>
            <w:tcMar>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b/>
                <w:sz w:val="16"/>
              </w:rPr>
              <w:t>Fees Earned</w:t>
            </w:r>
            <w:r>
              <w:rPr>
                <w:rFonts w:ascii="Arial;Helvetica;Sans-Serif" w:hAnsi="Arial;Helvetica;Sans-Serif"/>
                <w:sz w:val="16"/>
              </w:rPr>
              <w:br/>
            </w:r>
            <w:r>
              <w:rPr>
                <w:rFonts w:ascii="Arial;Helvetica;Sans-Serif" w:hAnsi="Arial;Helvetica;Sans-Serif"/>
                <w:b/>
                <w:sz w:val="16"/>
              </w:rPr>
              <w:t>Paid in Cash</w:t>
            </w:r>
            <w:r>
              <w:rPr>
                <w:rFonts w:ascii="Arial;Helvetica;Sans-Serif" w:hAnsi="Arial;Helvetica;Sans-Serif"/>
                <w:sz w:val="16"/>
              </w:rPr>
              <w:br/>
            </w:r>
            <w:r>
              <w:rPr>
                <w:rFonts w:ascii="Arial;Helvetica;Sans-Serif" w:hAnsi="Arial;Helvetica;Sans-Serif"/>
                <w:b/>
                <w:sz w:val="16"/>
              </w:rPr>
              <w:t>($)</w:t>
            </w:r>
          </w:p>
        </w:tc>
        <w:tc>
          <w:tcPr>
            <w:tcW w:w="1085" w:type="dxa"/>
            <w:tcBorders>
              <w:right w:val="single" w:sz="8" w:space="0" w:color="FFFFFF"/>
            </w:tcBorders>
            <w:shd w:fill="D2D6E4" w:val="clear"/>
            <w:tcMar>
              <w:right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b/>
                <w:sz w:val="16"/>
              </w:rPr>
              <w:t>Equity Stock</w:t>
            </w:r>
            <w:r>
              <w:rPr>
                <w:rFonts w:ascii="Arial;Helvetica;Sans-Serif" w:hAnsi="Arial;Helvetica;Sans-Serif"/>
                <w:sz w:val="16"/>
              </w:rPr>
              <w:br/>
            </w:r>
            <w:r>
              <w:rPr>
                <w:rFonts w:ascii="Arial;Helvetica;Sans-Serif" w:hAnsi="Arial;Helvetica;Sans-Serif"/>
                <w:b/>
                <w:sz w:val="16"/>
              </w:rPr>
              <w:t>Award</w:t>
            </w:r>
            <w:r>
              <w:rPr>
                <w:rFonts w:ascii="Arial;Helvetica;Sans-Serif" w:hAnsi="Arial;Helvetica;Sans-Serif"/>
                <w:b/>
                <w:position w:val="5"/>
                <w:sz w:val="13"/>
                <w:sz w:val="16"/>
              </w:rPr>
              <w:t>(1)</w:t>
            </w:r>
            <w:r>
              <w:rPr>
                <w:rFonts w:ascii="Arial;Helvetica;Sans-Serif" w:hAnsi="Arial;Helvetica;Sans-Serif"/>
                <w:sz w:val="16"/>
              </w:rPr>
              <w:br/>
            </w:r>
            <w:r>
              <w:rPr>
                <w:rFonts w:ascii="Arial;Helvetica;Sans-Serif" w:hAnsi="Arial;Helvetica;Sans-Serif"/>
                <w:b/>
                <w:sz w:val="16"/>
              </w:rPr>
              <w:t>($)</w:t>
            </w:r>
          </w:p>
        </w:tc>
        <w:tc>
          <w:tcPr>
            <w:tcW w:w="935" w:type="dxa"/>
            <w:tcBorders/>
            <w:shd w:fill="D2D6E4" w:val="clear"/>
            <w:tcMar>
              <w:top w:w="30" w:type="dxa"/>
              <w:left w:w="30" w:type="dxa"/>
              <w:bottom w:w="30" w:type="dxa"/>
              <w:right w:w="3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b/>
                <w:sz w:val="16"/>
              </w:rPr>
              <w:t>Equivalent</w:t>
            </w:r>
            <w:r>
              <w:rPr>
                <w:rFonts w:ascii="Arial;Helvetica;Sans-Serif" w:hAnsi="Arial;Helvetica;Sans-Serif"/>
                <w:sz w:val="16"/>
              </w:rPr>
              <w:br/>
            </w:r>
            <w:r>
              <w:rPr>
                <w:rFonts w:ascii="Arial;Helvetica;Sans-Serif" w:hAnsi="Arial;Helvetica;Sans-Serif"/>
                <w:b/>
                <w:sz w:val="16"/>
              </w:rPr>
              <w:t>Shares</w:t>
            </w:r>
            <w:r>
              <w:rPr>
                <w:rFonts w:ascii="Arial;Helvetica;Sans-Serif" w:hAnsi="Arial;Helvetica;Sans-Serif"/>
                <w:b/>
                <w:position w:val="5"/>
                <w:sz w:val="13"/>
                <w:sz w:val="16"/>
              </w:rPr>
              <w:t>(1)</w:t>
            </w:r>
            <w:r>
              <w:rPr>
                <w:rFonts w:ascii="Arial;Helvetica;Sans-Serif" w:hAnsi="Arial;Helvetica;Sans-Serif"/>
                <w:sz w:val="16"/>
              </w:rPr>
              <w:br/>
            </w:r>
            <w:r>
              <w:rPr>
                <w:rFonts w:ascii="Arial;Helvetica;Sans-Serif" w:hAnsi="Arial;Helvetica;Sans-Serif"/>
                <w:b/>
                <w:sz w:val="16"/>
              </w:rPr>
              <w:t>(#)</w:t>
            </w:r>
          </w:p>
        </w:tc>
      </w:tr>
      <w:tr>
        <w:trPr/>
        <w:tc>
          <w:tcPr>
            <w:tcW w:w="1625" w:type="dxa"/>
            <w:tcBorders>
              <w:bottom w:val="single" w:sz="8" w:space="0" w:color="E6F5FD"/>
              <w:right w:val="single" w:sz="8" w:space="0" w:color="E6F5FD"/>
            </w:tcBorders>
            <w:tcMar>
              <w:bottom w:w="28" w:type="dxa"/>
              <w:right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Barbara Carbone</w:t>
            </w:r>
          </w:p>
        </w:tc>
        <w:tc>
          <w:tcPr>
            <w:tcW w:w="1250" w:type="dxa"/>
            <w:tcBorders>
              <w:left w:val="single" w:sz="8" w:space="0" w:color="E6F5FD"/>
              <w:bottom w:val="single" w:sz="8" w:space="0" w:color="E6F5FD"/>
              <w:right w:val="single" w:sz="8" w:space="0" w:color="E6F5FD"/>
            </w:tcBorders>
            <w:tcMar>
              <w:left w:w="28" w:type="dxa"/>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172,500</w:t>
            </w:r>
          </w:p>
        </w:tc>
        <w:tc>
          <w:tcPr>
            <w:tcW w:w="1070" w:type="dxa"/>
            <w:tcBorders>
              <w:bottom w:val="single" w:sz="8" w:space="0" w:color="E6F5FD"/>
              <w:right w:val="single" w:sz="8" w:space="0" w:color="E6F5FD"/>
            </w:tcBorders>
            <w:tcMar>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87,500</w:t>
            </w:r>
          </w:p>
        </w:tc>
        <w:tc>
          <w:tcPr>
            <w:tcW w:w="1085" w:type="dxa"/>
            <w:tcBorders>
              <w:bottom w:val="single" w:sz="8" w:space="0" w:color="E6F5FD"/>
              <w:right w:val="single" w:sz="8" w:space="0" w:color="E6F5FD"/>
            </w:tcBorders>
            <w:tcMar>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85,000</w:t>
            </w:r>
          </w:p>
        </w:tc>
        <w:tc>
          <w:tcPr>
            <w:tcW w:w="935" w:type="dxa"/>
            <w:tcBorders>
              <w:bottom w:val="single" w:sz="8" w:space="0" w:color="E6F5FD"/>
              <w:right w:val="single" w:sz="8" w:space="0" w:color="E6F5FD"/>
            </w:tcBorders>
            <w:tcMar>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5,090</w:t>
            </w:r>
          </w:p>
        </w:tc>
      </w:tr>
      <w:tr>
        <w:trPr/>
        <w:tc>
          <w:tcPr>
            <w:tcW w:w="1625" w:type="dxa"/>
            <w:tcBorders>
              <w:bottom w:val="single" w:sz="8" w:space="0" w:color="E6F5FD"/>
              <w:right w:val="single" w:sz="8" w:space="0" w:color="E6F5FD"/>
            </w:tcBorders>
            <w:shd w:fill="E6F5FD" w:val="clear"/>
            <w:tcMar>
              <w:bottom w:w="28" w:type="dxa"/>
              <w:right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Harold S. Edwards</w:t>
            </w:r>
            <w:r>
              <w:rPr>
                <w:rFonts w:ascii="Arial;Helvetica;Sans-Serif" w:hAnsi="Arial;Helvetica;Sans-Serif"/>
                <w:position w:val="5"/>
                <w:sz w:val="13"/>
                <w:sz w:val="16"/>
              </w:rPr>
              <w:t>(2)</w:t>
            </w:r>
          </w:p>
        </w:tc>
        <w:tc>
          <w:tcPr>
            <w:tcW w:w="1250" w:type="dxa"/>
            <w:tcBorders>
              <w:left w:val="single" w:sz="8" w:space="0" w:color="E6F5FD"/>
              <w:bottom w:val="single" w:sz="8" w:space="0" w:color="E6F5FD"/>
              <w:right w:val="single" w:sz="8" w:space="0" w:color="E6F5FD"/>
            </w:tcBorders>
            <w:shd w:fill="E6F5FD" w:val="clear"/>
            <w:tcMar>
              <w:left w:w="28" w:type="dxa"/>
              <w:bottom w:w="28" w:type="dxa"/>
              <w:right w:w="400" w:type="dxa"/>
            </w:tcMar>
            <w:vAlign w:val="center"/>
          </w:tcPr>
          <w:p>
            <w:pPr>
              <w:pStyle w:val="TableContents"/>
              <w:bidi w:val="0"/>
              <w:spacing w:before="0" w:after="283"/>
              <w:jc w:val="right"/>
              <w:rPr/>
            </w:pPr>
            <w:r>
              <w:rPr/>
              <w:t>—</w:t>
            </w:r>
          </w:p>
        </w:tc>
        <w:tc>
          <w:tcPr>
            <w:tcW w:w="1070" w:type="dxa"/>
            <w:tcBorders>
              <w:bottom w:val="single" w:sz="8" w:space="0" w:color="E6F5FD"/>
              <w:right w:val="single" w:sz="8" w:space="0" w:color="E6F5FD"/>
            </w:tcBorders>
            <w:shd w:fill="E6F5FD" w:val="clear"/>
            <w:tcMar>
              <w:bottom w:w="28" w:type="dxa"/>
              <w:right w:w="400" w:type="dxa"/>
            </w:tcMar>
            <w:vAlign w:val="center"/>
          </w:tcPr>
          <w:p>
            <w:pPr>
              <w:pStyle w:val="TableContents"/>
              <w:bidi w:val="0"/>
              <w:spacing w:before="0" w:after="283"/>
              <w:jc w:val="right"/>
              <w:rPr/>
            </w:pPr>
            <w:r>
              <w:rPr/>
              <w:t>—</w:t>
            </w:r>
          </w:p>
        </w:tc>
        <w:tc>
          <w:tcPr>
            <w:tcW w:w="1085" w:type="dxa"/>
            <w:tcBorders>
              <w:bottom w:val="single" w:sz="8" w:space="0" w:color="E6F5FD"/>
              <w:right w:val="single" w:sz="8" w:space="0" w:color="E6F5FD"/>
            </w:tcBorders>
            <w:shd w:fill="E6F5FD" w:val="clear"/>
            <w:tcMar>
              <w:bottom w:w="28" w:type="dxa"/>
              <w:right w:w="400" w:type="dxa"/>
            </w:tcMar>
            <w:vAlign w:val="center"/>
          </w:tcPr>
          <w:p>
            <w:pPr>
              <w:pStyle w:val="TableContents"/>
              <w:bidi w:val="0"/>
              <w:spacing w:before="0" w:after="283"/>
              <w:jc w:val="right"/>
              <w:rPr/>
            </w:pPr>
            <w:r>
              <w:rPr/>
              <w:t>—</w:t>
            </w:r>
          </w:p>
        </w:tc>
        <w:tc>
          <w:tcPr>
            <w:tcW w:w="935" w:type="dxa"/>
            <w:tcBorders>
              <w:bottom w:val="single" w:sz="8" w:space="0" w:color="E6F5FD"/>
              <w:right w:val="single" w:sz="8" w:space="0" w:color="E6F5FD"/>
            </w:tcBorders>
            <w:shd w:fill="E6F5FD" w:val="clear"/>
            <w:tcMar>
              <w:bottom w:w="28" w:type="dxa"/>
              <w:right w:w="400" w:type="dxa"/>
            </w:tcMar>
            <w:vAlign w:val="center"/>
          </w:tcPr>
          <w:p>
            <w:pPr>
              <w:pStyle w:val="TableContents"/>
              <w:bidi w:val="0"/>
              <w:spacing w:before="0" w:after="283"/>
              <w:jc w:val="right"/>
              <w:rPr/>
            </w:pPr>
            <w:r>
              <w:rPr/>
              <w:t>—</w:t>
            </w:r>
          </w:p>
        </w:tc>
      </w:tr>
      <w:tr>
        <w:trPr/>
        <w:tc>
          <w:tcPr>
            <w:tcW w:w="1625" w:type="dxa"/>
            <w:tcBorders>
              <w:right w:val="single" w:sz="8" w:space="0" w:color="E6F5FD"/>
            </w:tcBorders>
            <w:tcMar>
              <w:right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Gordon E. Kimball</w:t>
            </w:r>
          </w:p>
        </w:tc>
        <w:tc>
          <w:tcPr>
            <w:tcW w:w="1250" w:type="dxa"/>
            <w:tcBorders>
              <w:left w:val="single" w:sz="8" w:space="0" w:color="E6F5FD"/>
              <w:right w:val="single" w:sz="8" w:space="0" w:color="E6F5FD"/>
            </w:tcBorders>
            <w:tcMar>
              <w:left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161,000</w:t>
            </w:r>
          </w:p>
        </w:tc>
        <w:tc>
          <w:tcPr>
            <w:tcW w:w="1070" w:type="dxa"/>
            <w:tcBorders>
              <w:right w:val="single" w:sz="8" w:space="0" w:color="E6F5FD"/>
            </w:tcBorders>
            <w:tcMar>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76,000</w:t>
            </w:r>
          </w:p>
        </w:tc>
        <w:tc>
          <w:tcPr>
            <w:tcW w:w="1085" w:type="dxa"/>
            <w:tcBorders>
              <w:right w:val="single" w:sz="8" w:space="0" w:color="E6F5FD"/>
            </w:tcBorders>
            <w:tcMar>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85,000</w:t>
            </w:r>
          </w:p>
        </w:tc>
        <w:tc>
          <w:tcPr>
            <w:tcW w:w="935" w:type="dxa"/>
            <w:tcBorders>
              <w:right w:val="single" w:sz="8" w:space="0" w:color="E6F5FD"/>
            </w:tcBorders>
            <w:tcMar>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5,090</w:t>
            </w:r>
          </w:p>
        </w:tc>
      </w:tr>
      <w:tr>
        <w:trPr/>
        <w:tc>
          <w:tcPr>
            <w:tcW w:w="1625" w:type="dxa"/>
            <w:tcBorders>
              <w:top w:val="single" w:sz="8" w:space="0" w:color="E6F5FD"/>
              <w:bottom w:val="single" w:sz="8" w:space="0" w:color="E6F5FD"/>
              <w:right w:val="single" w:sz="8" w:space="0" w:color="E6F5FD"/>
            </w:tcBorders>
            <w:shd w:fill="E6F5FD" w:val="clear"/>
            <w:tcMar>
              <w:top w:w="28" w:type="dxa"/>
              <w:bottom w:w="28" w:type="dxa"/>
              <w:right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Elizabeth Mora</w:t>
            </w:r>
          </w:p>
        </w:tc>
        <w:tc>
          <w:tcPr>
            <w:tcW w:w="1250" w:type="dxa"/>
            <w:tcBorders>
              <w:top w:val="single" w:sz="8" w:space="0" w:color="E6F5FD"/>
              <w:left w:val="single" w:sz="8" w:space="0" w:color="E6F5FD"/>
              <w:bottom w:val="single" w:sz="8" w:space="0" w:color="E6F5FD"/>
              <w:right w:val="single" w:sz="8" w:space="0" w:color="E6F5FD"/>
            </w:tcBorders>
            <w:shd w:fill="E6F5FD" w:val="clear"/>
            <w:tcMar>
              <w:top w:w="28" w:type="dxa"/>
              <w:left w:w="28" w:type="dxa"/>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175,000</w:t>
            </w:r>
          </w:p>
        </w:tc>
        <w:tc>
          <w:tcPr>
            <w:tcW w:w="1070" w:type="dxa"/>
            <w:tcBorders>
              <w:top w:val="single" w:sz="8" w:space="0" w:color="E6F5FD"/>
              <w:bottom w:val="single" w:sz="8" w:space="0" w:color="E6F5FD"/>
              <w:right w:val="single" w:sz="8" w:space="0" w:color="E6F5FD"/>
            </w:tcBorders>
            <w:shd w:fill="E6F5FD" w:val="clear"/>
            <w:tcMar>
              <w:top w:w="28" w:type="dxa"/>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90,000</w:t>
            </w:r>
          </w:p>
        </w:tc>
        <w:tc>
          <w:tcPr>
            <w:tcW w:w="1085" w:type="dxa"/>
            <w:tcBorders>
              <w:top w:val="single" w:sz="8" w:space="0" w:color="E6F5FD"/>
              <w:bottom w:val="single" w:sz="8" w:space="0" w:color="E6F5FD"/>
              <w:right w:val="single" w:sz="8" w:space="0" w:color="E6F5FD"/>
            </w:tcBorders>
            <w:shd w:fill="E6F5FD" w:val="clear"/>
            <w:tcMar>
              <w:top w:w="28" w:type="dxa"/>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85,000</w:t>
            </w:r>
          </w:p>
        </w:tc>
        <w:tc>
          <w:tcPr>
            <w:tcW w:w="935" w:type="dxa"/>
            <w:tcBorders>
              <w:top w:val="single" w:sz="8" w:space="0" w:color="E6F5FD"/>
              <w:bottom w:val="single" w:sz="8" w:space="0" w:color="E6F5FD"/>
              <w:right w:val="single" w:sz="8" w:space="0" w:color="E6F5FD"/>
            </w:tcBorders>
            <w:shd w:fill="E6F5FD" w:val="clear"/>
            <w:tcMar>
              <w:top w:w="28" w:type="dxa"/>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5,090</w:t>
            </w:r>
          </w:p>
        </w:tc>
      </w:tr>
      <w:tr>
        <w:trPr/>
        <w:tc>
          <w:tcPr>
            <w:tcW w:w="1625" w:type="dxa"/>
            <w:tcBorders>
              <w:right w:val="single" w:sz="8" w:space="0" w:color="E6F5FD"/>
            </w:tcBorders>
            <w:tcMar>
              <w:right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Peter J. Nolan</w:t>
            </w:r>
          </w:p>
        </w:tc>
        <w:tc>
          <w:tcPr>
            <w:tcW w:w="1250" w:type="dxa"/>
            <w:tcBorders>
              <w:left w:val="single" w:sz="8" w:space="0" w:color="E6F5FD"/>
              <w:right w:val="single" w:sz="8" w:space="0" w:color="E6F5FD"/>
            </w:tcBorders>
            <w:tcMar>
              <w:left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161,000</w:t>
            </w:r>
          </w:p>
        </w:tc>
        <w:tc>
          <w:tcPr>
            <w:tcW w:w="1070" w:type="dxa"/>
            <w:tcBorders>
              <w:right w:val="single" w:sz="8" w:space="0" w:color="E6F5FD"/>
            </w:tcBorders>
            <w:tcMar>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76,000</w:t>
            </w:r>
          </w:p>
        </w:tc>
        <w:tc>
          <w:tcPr>
            <w:tcW w:w="1085" w:type="dxa"/>
            <w:tcBorders>
              <w:right w:val="single" w:sz="8" w:space="0" w:color="E6F5FD"/>
            </w:tcBorders>
            <w:tcMar>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85,000</w:t>
            </w:r>
          </w:p>
        </w:tc>
        <w:tc>
          <w:tcPr>
            <w:tcW w:w="935" w:type="dxa"/>
            <w:tcBorders>
              <w:right w:val="single" w:sz="8" w:space="0" w:color="E6F5FD"/>
            </w:tcBorders>
            <w:tcMar>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5,090</w:t>
            </w:r>
          </w:p>
        </w:tc>
      </w:tr>
      <w:tr>
        <w:trPr/>
        <w:tc>
          <w:tcPr>
            <w:tcW w:w="1625" w:type="dxa"/>
            <w:tcBorders>
              <w:top w:val="single" w:sz="8" w:space="0" w:color="E6F5FD"/>
              <w:bottom w:val="single" w:sz="8" w:space="0" w:color="E6F5FD"/>
              <w:right w:val="single" w:sz="8" w:space="0" w:color="E6F5FD"/>
            </w:tcBorders>
            <w:shd w:fill="E6F5FD" w:val="clear"/>
            <w:tcMar>
              <w:top w:w="28" w:type="dxa"/>
              <w:bottom w:w="28" w:type="dxa"/>
              <w:right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Scott S. Slater</w:t>
            </w:r>
          </w:p>
        </w:tc>
        <w:tc>
          <w:tcPr>
            <w:tcW w:w="1250" w:type="dxa"/>
            <w:tcBorders>
              <w:top w:val="single" w:sz="8" w:space="0" w:color="E6F5FD"/>
              <w:left w:val="single" w:sz="8" w:space="0" w:color="E6F5FD"/>
              <w:bottom w:val="single" w:sz="8" w:space="0" w:color="E6F5FD"/>
              <w:right w:val="single" w:sz="8" w:space="0" w:color="E6F5FD"/>
            </w:tcBorders>
            <w:shd w:fill="E6F5FD" w:val="clear"/>
            <w:tcMar>
              <w:top w:w="28" w:type="dxa"/>
              <w:left w:w="28" w:type="dxa"/>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220,000</w:t>
            </w:r>
          </w:p>
        </w:tc>
        <w:tc>
          <w:tcPr>
            <w:tcW w:w="1070" w:type="dxa"/>
            <w:tcBorders>
              <w:top w:val="single" w:sz="8" w:space="0" w:color="E6F5FD"/>
              <w:bottom w:val="single" w:sz="8" w:space="0" w:color="E6F5FD"/>
              <w:right w:val="single" w:sz="8" w:space="0" w:color="E6F5FD"/>
            </w:tcBorders>
            <w:shd w:fill="E6F5FD" w:val="clear"/>
            <w:tcMar>
              <w:top w:w="28" w:type="dxa"/>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135,000</w:t>
            </w:r>
          </w:p>
        </w:tc>
        <w:tc>
          <w:tcPr>
            <w:tcW w:w="1085" w:type="dxa"/>
            <w:tcBorders>
              <w:top w:val="single" w:sz="8" w:space="0" w:color="E6F5FD"/>
              <w:bottom w:val="single" w:sz="8" w:space="0" w:color="E6F5FD"/>
              <w:right w:val="single" w:sz="8" w:space="0" w:color="E6F5FD"/>
            </w:tcBorders>
            <w:shd w:fill="E6F5FD" w:val="clear"/>
            <w:tcMar>
              <w:top w:w="28" w:type="dxa"/>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85,000</w:t>
            </w:r>
          </w:p>
        </w:tc>
        <w:tc>
          <w:tcPr>
            <w:tcW w:w="935" w:type="dxa"/>
            <w:tcBorders>
              <w:top w:val="single" w:sz="8" w:space="0" w:color="E6F5FD"/>
              <w:bottom w:val="single" w:sz="8" w:space="0" w:color="E6F5FD"/>
              <w:right w:val="single" w:sz="8" w:space="0" w:color="E6F5FD"/>
            </w:tcBorders>
            <w:shd w:fill="E6F5FD" w:val="clear"/>
            <w:tcMar>
              <w:top w:w="28" w:type="dxa"/>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5,090</w:t>
            </w:r>
          </w:p>
        </w:tc>
      </w:tr>
      <w:tr>
        <w:trPr/>
        <w:tc>
          <w:tcPr>
            <w:tcW w:w="1625" w:type="dxa"/>
            <w:tcBorders>
              <w:right w:val="single" w:sz="8" w:space="0" w:color="E6F5FD"/>
            </w:tcBorders>
            <w:tcMar>
              <w:right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Edgar A. Terry</w:t>
            </w:r>
          </w:p>
        </w:tc>
        <w:tc>
          <w:tcPr>
            <w:tcW w:w="1250" w:type="dxa"/>
            <w:tcBorders>
              <w:left w:val="single" w:sz="8" w:space="0" w:color="E6F5FD"/>
              <w:right w:val="single" w:sz="8" w:space="0" w:color="E6F5FD"/>
            </w:tcBorders>
            <w:tcMar>
              <w:left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164,500</w:t>
            </w:r>
          </w:p>
        </w:tc>
        <w:tc>
          <w:tcPr>
            <w:tcW w:w="1070" w:type="dxa"/>
            <w:tcBorders>
              <w:right w:val="single" w:sz="8" w:space="0" w:color="E6F5FD"/>
            </w:tcBorders>
            <w:tcMar>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79,500</w:t>
            </w:r>
          </w:p>
        </w:tc>
        <w:tc>
          <w:tcPr>
            <w:tcW w:w="1085" w:type="dxa"/>
            <w:tcBorders>
              <w:right w:val="single" w:sz="8" w:space="0" w:color="E6F5FD"/>
            </w:tcBorders>
            <w:tcMar>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85,000</w:t>
            </w:r>
          </w:p>
        </w:tc>
        <w:tc>
          <w:tcPr>
            <w:tcW w:w="935" w:type="dxa"/>
            <w:tcBorders>
              <w:right w:val="single" w:sz="8" w:space="0" w:color="E6F5FD"/>
            </w:tcBorders>
            <w:tcMar>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5,090</w:t>
            </w:r>
          </w:p>
        </w:tc>
      </w:tr>
      <w:tr>
        <w:trPr/>
        <w:tc>
          <w:tcPr>
            <w:tcW w:w="1625" w:type="dxa"/>
            <w:tcBorders>
              <w:top w:val="single" w:sz="8" w:space="0" w:color="E6F5FD"/>
              <w:bottom w:val="single" w:sz="8" w:space="0" w:color="E6F5FD"/>
              <w:right w:val="single" w:sz="8" w:space="0" w:color="E6F5FD"/>
            </w:tcBorders>
            <w:shd w:fill="E6F5FD" w:val="clear"/>
            <w:tcMar>
              <w:top w:w="28" w:type="dxa"/>
              <w:bottom w:w="28" w:type="dxa"/>
              <w:right w:w="28" w:type="dxa"/>
            </w:tcMar>
            <w:vAlign w:val="center"/>
          </w:tcPr>
          <w:p>
            <w:pPr>
              <w:pStyle w:val="TableContents"/>
              <w:bidi w:val="0"/>
              <w:spacing w:before="0" w:after="283"/>
              <w:jc w:val="left"/>
              <w:rPr/>
            </w:pPr>
            <w:r>
              <w:rPr/>
              <w:t> </w:t>
            </w:r>
          </w:p>
        </w:tc>
        <w:tc>
          <w:tcPr>
            <w:tcW w:w="1250" w:type="dxa"/>
            <w:tcBorders>
              <w:top w:val="single" w:sz="8" w:space="0" w:color="E6F5FD"/>
              <w:left w:val="single" w:sz="8" w:space="0" w:color="E6F5FD"/>
              <w:bottom w:val="single" w:sz="8" w:space="0" w:color="E6F5FD"/>
              <w:right w:val="single" w:sz="8" w:space="0" w:color="E6F5FD"/>
            </w:tcBorders>
            <w:shd w:fill="E6F5FD" w:val="clear"/>
            <w:tcMar>
              <w:top w:w="28" w:type="dxa"/>
              <w:left w:w="28" w:type="dxa"/>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1,054,000</w:t>
            </w:r>
          </w:p>
        </w:tc>
        <w:tc>
          <w:tcPr>
            <w:tcW w:w="1070" w:type="dxa"/>
            <w:tcBorders>
              <w:top w:val="single" w:sz="8" w:space="0" w:color="E6F5FD"/>
              <w:bottom w:val="single" w:sz="8" w:space="0" w:color="E6F5FD"/>
              <w:right w:val="single" w:sz="8" w:space="0" w:color="E6F5FD"/>
            </w:tcBorders>
            <w:shd w:fill="E6F5FD" w:val="clear"/>
            <w:tcMar>
              <w:top w:w="28" w:type="dxa"/>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544,000</w:t>
            </w:r>
          </w:p>
        </w:tc>
        <w:tc>
          <w:tcPr>
            <w:tcW w:w="1085" w:type="dxa"/>
            <w:tcBorders>
              <w:top w:val="single" w:sz="8" w:space="0" w:color="E6F5FD"/>
              <w:bottom w:val="single" w:sz="8" w:space="0" w:color="E6F5FD"/>
              <w:right w:val="single" w:sz="8" w:space="0" w:color="E6F5FD"/>
            </w:tcBorders>
            <w:shd w:fill="E6F5FD" w:val="clear"/>
            <w:tcMar>
              <w:top w:w="28" w:type="dxa"/>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510,000</w:t>
            </w:r>
          </w:p>
        </w:tc>
        <w:tc>
          <w:tcPr>
            <w:tcW w:w="935" w:type="dxa"/>
            <w:tcBorders>
              <w:top w:val="single" w:sz="8" w:space="0" w:color="E6F5FD"/>
              <w:bottom w:val="single" w:sz="8" w:space="0" w:color="E6F5FD"/>
              <w:right w:val="single" w:sz="8" w:space="0" w:color="E6F5FD"/>
            </w:tcBorders>
            <w:shd w:fill="E6F5FD" w:val="clear"/>
            <w:tcMar>
              <w:top w:w="28" w:type="dxa"/>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30,540</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9998" w:type="dxa"/>
            <w:tcBorders/>
            <w:vAlign w:val="center"/>
          </w:tcPr>
          <w:p>
            <w:pPr>
              <w:pStyle w:val="TableContents"/>
              <w:bidi w:val="0"/>
              <w:spacing w:before="0" w:after="283"/>
              <w:jc w:val="both"/>
              <w:rPr>
                <w:rFonts w:ascii="Arial;Helvetica;Sans-Serif" w:hAnsi="Arial;Helvetica;Sans-Serif"/>
                <w:sz w:val="14"/>
              </w:rPr>
            </w:pPr>
            <w:r>
              <w:rPr>
                <w:rFonts w:ascii="Arial;Helvetica;Sans-Serif" w:hAnsi="Arial;Helvetica;Sans-Serif"/>
                <w:sz w:val="14"/>
              </w:rPr>
              <w:t>The value of equity stock awards is the aggregate grant date fair market value computed in accordance with FASB ASC Topic 718 - Compensation - Stock Compensation. Shares were issued on April 9, 2025 at closing market price of $16.70.</w:t>
            </w:r>
          </w:p>
        </w:tc>
      </w:tr>
    </w:tbl>
    <w:tbl>
      <w:tblPr>
        <w:tblW w:w="2763" w:type="dxa"/>
        <w:jc w:val="left"/>
        <w:tblInd w:w="0" w:type="dxa"/>
        <w:tblLayout w:type="fixed"/>
        <w:tblCellMar>
          <w:top w:w="0" w:type="dxa"/>
          <w:left w:w="0" w:type="dxa"/>
          <w:bottom w:w="0" w:type="dxa"/>
          <w:right w:w="0" w:type="dxa"/>
        </w:tblCellMar>
      </w:tblPr>
      <w:tblGrid>
        <w:gridCol w:w="38"/>
        <w:gridCol w:w="185"/>
        <w:gridCol w:w="254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w:t>
            </w:r>
          </w:p>
        </w:tc>
        <w:tc>
          <w:tcPr>
            <w:tcW w:w="2540" w:type="dxa"/>
            <w:tcBorders/>
            <w:vAlign w:val="center"/>
          </w:tcPr>
          <w:p>
            <w:pPr>
              <w:pStyle w:val="TableContents"/>
              <w:bidi w:val="0"/>
              <w:spacing w:before="0" w:after="283"/>
              <w:jc w:val="both"/>
              <w:rPr>
                <w:rFonts w:ascii="Arial;Helvetica;Sans-Serif" w:hAnsi="Arial;Helvetica;Sans-Serif"/>
                <w:sz w:val="14"/>
              </w:rPr>
            </w:pPr>
            <w:r>
              <w:rPr>
                <w:rFonts w:ascii="Arial;Helvetica;Sans-Serif" w:hAnsi="Arial;Helvetica;Sans-Serif"/>
                <w:sz w:val="14"/>
              </w:rPr>
              <w:t>Non compensated Management Director.</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23</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970" w:type="dxa"/>
        <w:jc w:val="left"/>
        <w:tblInd w:w="0" w:type="dxa"/>
        <w:tblLayout w:type="fixed"/>
        <w:tblCellMar>
          <w:top w:w="120" w:type="dxa"/>
          <w:left w:w="120" w:type="dxa"/>
          <w:bottom w:w="120" w:type="dxa"/>
          <w:right w:w="120" w:type="dxa"/>
        </w:tblCellMar>
      </w:tblPr>
      <w:tblGrid>
        <w:gridCol w:w="4970"/>
      </w:tblGrid>
      <w:tr>
        <w:trPr/>
        <w:tc>
          <w:tcPr>
            <w:tcW w:w="4970" w:type="dxa"/>
            <w:tcBorders/>
            <w:vAlign w:val="center"/>
          </w:tcPr>
          <w:p>
            <w:pPr>
              <w:pStyle w:val="TableContents"/>
              <w:bidi w:val="0"/>
              <w:spacing w:before="0" w:after="283"/>
              <w:jc w:val="both"/>
              <w:rPr>
                <w:rFonts w:ascii="Arial;Helvetica;Sans-Serif" w:hAnsi="Arial;Helvetica;Sans-Serif"/>
                <w:b/>
                <w:color w:val="FFFFFF"/>
                <w:sz w:val="30"/>
              </w:rPr>
            </w:pPr>
            <w:bookmarkStart w:id="33" w:name="lmnrdef14aa029"/>
            <w:bookmarkEnd w:id="33"/>
            <w:r>
              <w:rPr>
                <w:rFonts w:ascii="Arial;Helvetica;Sans-Serif" w:hAnsi="Arial;Helvetica;Sans-Serif"/>
                <w:b/>
                <w:color w:val="FFFFFF"/>
                <w:sz w:val="30"/>
              </w:rPr>
              <w:t>Proposal 1: Election of Directors</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color w:val="008DCF"/>
          <w:sz w:val="26"/>
          <w:bdr w:val="single" w:sz="8" w:space="1" w:color="2872A8"/>
        </w:rPr>
      </w:pPr>
      <w:bookmarkStart w:id="34" w:name="lmnrdef14aa030"/>
      <w:bookmarkEnd w:id="34"/>
      <w:r>
        <w:rPr>
          <w:rFonts w:ascii="Arial;Helvetica;Sans-Serif" w:hAnsi="Arial;Helvetica;Sans-Serif"/>
          <w:b/>
          <w:i w:val="false"/>
          <w:caps w:val="false"/>
          <w:smallCaps w:val="false"/>
          <w:color w:val="008DCF"/>
          <w:sz w:val="26"/>
          <w:bdr w:val="single" w:sz="8" w:space="1" w:color="2872A8"/>
        </w:rPr>
        <w:t>Nominations of Directors</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caps w:val="false"/>
          <w:smallCaps w:val="false"/>
          <w:color w:val="0062AF"/>
          <w:sz w:val="20"/>
          <w:bdr w:val="single" w:sz="8" w:space="1" w:color="2872A8"/>
        </w:rPr>
      </w:pPr>
      <w:bookmarkStart w:id="35" w:name="lmnrdef14aa031"/>
      <w:bookmarkEnd w:id="35"/>
      <w:r>
        <w:rPr>
          <w:rFonts w:ascii="Arial;Helvetica;Sans-Serif" w:hAnsi="Arial;Helvetica;Sans-Serif"/>
          <w:b/>
          <w:i/>
          <w:caps w:val="false"/>
          <w:smallCaps w:val="false"/>
          <w:color w:val="0062AF"/>
          <w:sz w:val="20"/>
          <w:bdr w:val="single" w:sz="8" w:space="1" w:color="2872A8"/>
        </w:rPr>
        <w:t>Board of Directors Refreshment</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Our Nominating Committee is committed to thoughtful Board refreshment and regularly evaluates qualities, skills and other director attributes that would enhance the Board’s composition. In the case of any incumbent director with an expiring term, the Nominating Committee reviews the director’s contribution to the Company, including the director’s skills, number of meetings attended, level of participation, quality of performance, the Board’s needs and any relationships and transactions that might impair such director’s independence. The Nominating Committee also considers the results of the Board self-evaluations and Director &amp; Officer Questionnaires which each Board member completes annually. The Board also periodically participates in a roles and responsibilities workshop, led by outside counsel, designed to strengthen corporate governance and ensure directors manage risk effectively and uphold their fiduciary duties. There were no changes to the Board during fiscal year 2025 and the average tenure for directors is 10.5 years.</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caps w:val="false"/>
          <w:smallCaps w:val="false"/>
          <w:color w:val="0062AF"/>
          <w:sz w:val="20"/>
          <w:bdr w:val="single" w:sz="8" w:space="1" w:color="2872A8"/>
        </w:rPr>
      </w:pPr>
      <w:bookmarkStart w:id="36" w:name="lmnrdef14aa032"/>
      <w:bookmarkEnd w:id="36"/>
      <w:r>
        <w:rPr>
          <w:rFonts w:ascii="Arial;Helvetica;Sans-Serif" w:hAnsi="Arial;Helvetica;Sans-Serif"/>
          <w:b/>
          <w:i/>
          <w:caps w:val="false"/>
          <w:smallCaps w:val="false"/>
          <w:color w:val="0062AF"/>
          <w:sz w:val="20"/>
          <w:bdr w:val="single" w:sz="8" w:space="1" w:color="2872A8"/>
        </w:rPr>
        <w:t>Nominations of Directors</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Nominating Committee is responsible for selecting nominees for election to the Board as set forth in the Nominating Committee Charter and Corporate Governance Guidelines. In considering Board candidates, the Nominating Committee evaluates the entirety of each candidate’s attributes, credentials and other factors as described in the Company’s Corporate Governance Guidelines. The Nominating Committee believes the qualifications identified below enhance the effectiveness of the Board and analyzes each candidate with these attributes in mind.</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Board believes the directors should possess:</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4033" w:type="dxa"/>
        <w:jc w:val="left"/>
        <w:tblInd w:w="0" w:type="dxa"/>
        <w:tblLayout w:type="fixed"/>
        <w:tblCellMar>
          <w:top w:w="0" w:type="dxa"/>
          <w:left w:w="0" w:type="dxa"/>
          <w:bottom w:w="0" w:type="dxa"/>
          <w:right w:w="0" w:type="dxa"/>
        </w:tblCellMar>
      </w:tblPr>
      <w:tblGrid>
        <w:gridCol w:w="38"/>
        <w:gridCol w:w="525"/>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pPr>
            <w:r>
              <w:rPr/>
              <w:drawing>
                <wp:inline distT="0" distB="0" distL="0" distR="0">
                  <wp:extent cx="333375" cy="3143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333375" cy="314325"/>
                          </a:xfrm>
                          <a:prstGeom prst="rect">
                            <a:avLst/>
                          </a:prstGeom>
                        </pic:spPr>
                      </pic:pic>
                    </a:graphicData>
                  </a:graphic>
                </wp:inline>
              </w:drawing>
            </w:r>
          </w:p>
        </w:tc>
        <w:tc>
          <w:tcPr>
            <w:tcW w:w="347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the requisite combination of diverse skills; </w:t>
            </w:r>
          </w:p>
        </w:tc>
      </w:tr>
    </w:tbl>
    <w:p>
      <w:pPr>
        <w:pStyle w:val="TextBody"/>
        <w:bidi w:val="0"/>
        <w:spacing w:before="0" w:after="0"/>
        <w:ind w:left="0" w:right="0" w:hanging="0"/>
        <w:jc w:val="left"/>
        <w:rPr>
          <w:caps w:val="false"/>
          <w:smallCaps w:val="false"/>
          <w:color w:val="002053"/>
          <w:position w:val="-2"/>
          <w:sz w:val="19"/>
          <w:bdr w:val="single" w:sz="8" w:space="1" w:color="2872A8"/>
        </w:rPr>
      </w:pPr>
      <w:r>
        <w:rPr>
          <w:caps w:val="false"/>
          <w:smallCaps w:val="false"/>
          <w:color w:val="002053"/>
          <w:position w:val="-2"/>
          <w:sz w:val="19"/>
          <w:bdr w:val="single" w:sz="8" w:space="1" w:color="2872A8"/>
        </w:rPr>
        <w:t> </w:t>
      </w:r>
    </w:p>
    <w:tbl>
      <w:tblPr>
        <w:tblW w:w="2653" w:type="dxa"/>
        <w:jc w:val="left"/>
        <w:tblInd w:w="0" w:type="dxa"/>
        <w:tblLayout w:type="fixed"/>
        <w:tblCellMar>
          <w:top w:w="0" w:type="dxa"/>
          <w:left w:w="0" w:type="dxa"/>
          <w:bottom w:w="0" w:type="dxa"/>
          <w:right w:w="0" w:type="dxa"/>
        </w:tblCellMar>
      </w:tblPr>
      <w:tblGrid>
        <w:gridCol w:w="38"/>
        <w:gridCol w:w="525"/>
        <w:gridCol w:w="2090"/>
      </w:tblGrid>
      <w:tr>
        <w:trPr/>
        <w:tc>
          <w:tcPr>
            <w:tcW w:w="3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pPr>
            <w:r>
              <w:rPr/>
              <w:drawing>
                <wp:inline distT="0" distB="0" distL="0" distR="0">
                  <wp:extent cx="333375" cy="3143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333375" cy="314325"/>
                          </a:xfrm>
                          <a:prstGeom prst="rect">
                            <a:avLst/>
                          </a:prstGeom>
                        </pic:spPr>
                      </pic:pic>
                    </a:graphicData>
                  </a:graphic>
                </wp:inline>
              </w:drawing>
            </w:r>
          </w:p>
        </w:tc>
        <w:tc>
          <w:tcPr>
            <w:tcW w:w="209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professional experience; </w:t>
            </w:r>
          </w:p>
        </w:tc>
      </w:tr>
    </w:tbl>
    <w:p>
      <w:pPr>
        <w:pStyle w:val="TextBody"/>
        <w:bidi w:val="0"/>
        <w:spacing w:before="0" w:after="0"/>
        <w:ind w:left="0" w:right="0" w:hanging="0"/>
        <w:jc w:val="left"/>
        <w:rPr>
          <w:caps w:val="false"/>
          <w:smallCaps w:val="false"/>
          <w:color w:val="002053"/>
          <w:position w:val="-2"/>
          <w:sz w:val="19"/>
          <w:bdr w:val="single" w:sz="8" w:space="1" w:color="2872A8"/>
        </w:rPr>
      </w:pPr>
      <w:r>
        <w:rPr>
          <w:caps w:val="false"/>
          <w:smallCaps w:val="false"/>
          <w:color w:val="002053"/>
          <w:position w:val="-2"/>
          <w:sz w:val="19"/>
          <w:bdr w:val="single" w:sz="8" w:space="1" w:color="2872A8"/>
        </w:rPr>
        <w:t> </w:t>
      </w:r>
    </w:p>
    <w:tbl>
      <w:tblPr>
        <w:tblW w:w="6058" w:type="dxa"/>
        <w:jc w:val="left"/>
        <w:tblInd w:w="0" w:type="dxa"/>
        <w:tblLayout w:type="fixed"/>
        <w:tblCellMar>
          <w:top w:w="0" w:type="dxa"/>
          <w:left w:w="0" w:type="dxa"/>
          <w:bottom w:w="0" w:type="dxa"/>
          <w:right w:w="0" w:type="dxa"/>
        </w:tblCellMar>
      </w:tblPr>
      <w:tblGrid>
        <w:gridCol w:w="38"/>
        <w:gridCol w:w="525"/>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color w:val="002053"/>
              </w:rPr>
            </w:pPr>
            <w:r>
              <w:rPr>
                <w:color w:val="002053"/>
              </w:rPr>
              <w:drawing>
                <wp:inline distT="0" distB="0" distL="0" distR="0">
                  <wp:extent cx="333375" cy="3143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333375" cy="314325"/>
                          </a:xfrm>
                          <a:prstGeom prst="rect">
                            <a:avLst/>
                          </a:prstGeom>
                        </pic:spPr>
                      </pic:pic>
                    </a:graphicData>
                  </a:graphic>
                </wp:inline>
              </w:drawing>
            </w:r>
          </w:p>
        </w:tc>
        <w:tc>
          <w:tcPr>
            <w:tcW w:w="549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ability to make independent decisions and analytical inquiries; and </w:t>
            </w:r>
          </w:p>
        </w:tc>
      </w:tr>
    </w:tbl>
    <w:p>
      <w:pPr>
        <w:pStyle w:val="TextBody"/>
        <w:bidi w:val="0"/>
        <w:spacing w:before="0" w:after="0"/>
        <w:ind w:left="0" w:right="0" w:hanging="0"/>
        <w:jc w:val="left"/>
        <w:rPr>
          <w:caps w:val="false"/>
          <w:smallCaps w:val="false"/>
          <w:color w:val="002053"/>
          <w:position w:val="-2"/>
          <w:sz w:val="19"/>
          <w:bdr w:val="single" w:sz="8" w:space="1" w:color="2872A8"/>
        </w:rPr>
      </w:pPr>
      <w:r>
        <w:rPr>
          <w:caps w:val="false"/>
          <w:smallCaps w:val="false"/>
          <w:color w:val="002053"/>
          <w:position w:val="-2"/>
          <w:sz w:val="19"/>
          <w:bdr w:val="single" w:sz="8" w:space="1" w:color="2872A8"/>
        </w:rPr>
        <w:t> </w:t>
      </w:r>
    </w:p>
    <w:tbl>
      <w:tblPr>
        <w:tblW w:w="8458" w:type="dxa"/>
        <w:jc w:val="left"/>
        <w:tblInd w:w="0" w:type="dxa"/>
        <w:tblLayout w:type="fixed"/>
        <w:tblCellMar>
          <w:top w:w="0" w:type="dxa"/>
          <w:left w:w="0" w:type="dxa"/>
          <w:bottom w:w="0" w:type="dxa"/>
          <w:right w:w="0" w:type="dxa"/>
        </w:tblCellMar>
      </w:tblPr>
      <w:tblGrid>
        <w:gridCol w:w="38"/>
        <w:gridCol w:w="525"/>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color w:val="002053"/>
              </w:rPr>
            </w:pPr>
            <w:r>
              <w:rPr>
                <w:color w:val="002053"/>
              </w:rPr>
              <w:drawing>
                <wp:inline distT="0" distB="0" distL="0" distR="0">
                  <wp:extent cx="333375" cy="3143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333375" cy="314325"/>
                          </a:xfrm>
                          <a:prstGeom prst="rect">
                            <a:avLst/>
                          </a:prstGeom>
                        </pic:spPr>
                      </pic:pic>
                    </a:graphicData>
                  </a:graphic>
                </wp:inline>
              </w:drawing>
            </w:r>
          </w:p>
        </w:tc>
        <w:tc>
          <w:tcPr>
            <w:tcW w:w="789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a wide range of backgrounds and perspectives to meet the Company’s current and future needs. </w:t>
            </w:r>
          </w:p>
        </w:tc>
      </w:tr>
    </w:tbl>
    <w:p>
      <w:pPr>
        <w:pStyle w:val="TextBody"/>
        <w:bidi w:val="0"/>
        <w:spacing w:before="0" w:after="0"/>
        <w:ind w:left="0" w:right="0" w:hanging="0"/>
        <w:jc w:val="left"/>
        <w:rPr>
          <w:caps w:val="false"/>
          <w:smallCaps w:val="false"/>
          <w:color w:val="002053"/>
          <w:position w:val="-2"/>
          <w:sz w:val="19"/>
          <w:bdr w:val="single" w:sz="8" w:space="1" w:color="2872A8"/>
        </w:rPr>
      </w:pPr>
      <w:r>
        <w:rPr>
          <w:caps w:val="false"/>
          <w:smallCaps w:val="false"/>
          <w:color w:val="002053"/>
          <w:position w:val="-2"/>
          <w:sz w:val="19"/>
          <w:bdr w:val="single" w:sz="8" w:space="1" w:color="2872A8"/>
        </w:rPr>
        <w:t> </w:t>
      </w:r>
    </w:p>
    <w:p>
      <w:pPr>
        <w:pStyle w:val="TextBody"/>
        <w:bidi w:val="0"/>
        <w:spacing w:before="0" w:after="0"/>
        <w:ind w:left="0" w:right="0" w:hanging="0"/>
        <w:jc w:val="both"/>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When evaluating director candidates, the Nominating Committee takes into consideration:</w:t>
      </w:r>
    </w:p>
    <w:p>
      <w:pPr>
        <w:pStyle w:val="TextBody"/>
        <w:bidi w:val="0"/>
        <w:spacing w:before="0" w:after="0"/>
        <w:ind w:left="0" w:right="0" w:hanging="0"/>
        <w:jc w:val="left"/>
        <w:rPr>
          <w:caps w:val="false"/>
          <w:smallCaps w:val="false"/>
          <w:color w:val="002053"/>
          <w:position w:val="-2"/>
          <w:sz w:val="19"/>
          <w:bdr w:val="single" w:sz="8" w:space="1" w:color="2872A8"/>
        </w:rPr>
      </w:pPr>
      <w:r>
        <w:rPr>
          <w:caps w:val="false"/>
          <w:smallCaps w:val="false"/>
          <w:color w:val="002053"/>
          <w:position w:val="-2"/>
          <w:sz w:val="19"/>
          <w:bdr w:val="single" w:sz="8" w:space="1" w:color="2872A8"/>
        </w:rPr>
        <w:t> </w:t>
      </w:r>
    </w:p>
    <w:tbl>
      <w:tblPr>
        <w:tblW w:w="3958" w:type="dxa"/>
        <w:jc w:val="left"/>
        <w:tblInd w:w="0" w:type="dxa"/>
        <w:tblLayout w:type="fixed"/>
        <w:tblCellMar>
          <w:top w:w="0" w:type="dxa"/>
          <w:left w:w="0" w:type="dxa"/>
          <w:bottom w:w="0" w:type="dxa"/>
          <w:right w:w="0" w:type="dxa"/>
        </w:tblCellMar>
      </w:tblPr>
      <w:tblGrid>
        <w:gridCol w:w="38"/>
        <w:gridCol w:w="525"/>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color w:val="002053"/>
              </w:rPr>
            </w:pPr>
            <w:r>
              <w:rPr>
                <w:color w:val="002053"/>
              </w:rPr>
              <w:drawing>
                <wp:inline distT="0" distB="0" distL="0" distR="0">
                  <wp:extent cx="333375" cy="3143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333375" cy="314325"/>
                          </a:xfrm>
                          <a:prstGeom prst="rect">
                            <a:avLst/>
                          </a:prstGeom>
                        </pic:spPr>
                      </pic:pic>
                    </a:graphicData>
                  </a:graphic>
                </wp:inline>
              </w:drawing>
            </w:r>
          </w:p>
        </w:tc>
        <w:tc>
          <w:tcPr>
            <w:tcW w:w="339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experience and expertise in our industry; </w:t>
            </w:r>
          </w:p>
        </w:tc>
      </w:tr>
    </w:tbl>
    <w:p>
      <w:pPr>
        <w:pStyle w:val="TextBody"/>
        <w:bidi w:val="0"/>
        <w:spacing w:before="0" w:after="0"/>
        <w:ind w:left="0" w:right="0" w:hanging="0"/>
        <w:jc w:val="left"/>
        <w:rPr>
          <w:caps w:val="false"/>
          <w:smallCaps w:val="false"/>
          <w:color w:val="002053"/>
          <w:position w:val="-2"/>
          <w:sz w:val="19"/>
          <w:bdr w:val="single" w:sz="8" w:space="1" w:color="2872A8"/>
        </w:rPr>
      </w:pPr>
      <w:r>
        <w:rPr>
          <w:caps w:val="false"/>
          <w:smallCaps w:val="false"/>
          <w:color w:val="002053"/>
          <w:position w:val="-2"/>
          <w:sz w:val="19"/>
          <w:bdr w:val="single" w:sz="8" w:space="1" w:color="2872A8"/>
        </w:rPr>
        <w:t> </w:t>
      </w:r>
    </w:p>
    <w:tbl>
      <w:tblPr>
        <w:tblW w:w="5443" w:type="dxa"/>
        <w:jc w:val="left"/>
        <w:tblInd w:w="0" w:type="dxa"/>
        <w:tblLayout w:type="fixed"/>
        <w:tblCellMar>
          <w:top w:w="0" w:type="dxa"/>
          <w:left w:w="0" w:type="dxa"/>
          <w:bottom w:w="0" w:type="dxa"/>
          <w:right w:w="0" w:type="dxa"/>
        </w:tblCellMar>
      </w:tblPr>
      <w:tblGrid>
        <w:gridCol w:w="38"/>
        <w:gridCol w:w="525"/>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color w:val="002053"/>
              </w:rPr>
            </w:pPr>
            <w:r>
              <w:rPr>
                <w:color w:val="002053"/>
              </w:rPr>
              <w:drawing>
                <wp:inline distT="0" distB="0" distL="0" distR="0">
                  <wp:extent cx="333375" cy="3143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333375" cy="314325"/>
                          </a:xfrm>
                          <a:prstGeom prst="rect">
                            <a:avLst/>
                          </a:prstGeom>
                        </pic:spPr>
                      </pic:pic>
                    </a:graphicData>
                  </a:graphic>
                </wp:inline>
              </w:drawing>
            </w:r>
          </w:p>
        </w:tc>
        <w:tc>
          <w:tcPr>
            <w:tcW w:w="488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experience as a board member of another public company; </w:t>
            </w:r>
          </w:p>
        </w:tc>
      </w:tr>
    </w:tbl>
    <w:p>
      <w:pPr>
        <w:pStyle w:val="TextBody"/>
        <w:bidi w:val="0"/>
        <w:spacing w:before="0" w:after="0"/>
        <w:ind w:left="0" w:right="0" w:hanging="0"/>
        <w:jc w:val="left"/>
        <w:rPr>
          <w:caps w:val="false"/>
          <w:smallCaps w:val="false"/>
          <w:color w:val="002053"/>
          <w:position w:val="-2"/>
          <w:sz w:val="19"/>
          <w:bdr w:val="single" w:sz="8" w:space="1" w:color="2872A8"/>
        </w:rPr>
      </w:pPr>
      <w:r>
        <w:rPr>
          <w:caps w:val="false"/>
          <w:smallCaps w:val="false"/>
          <w:color w:val="002053"/>
          <w:position w:val="-2"/>
          <w:sz w:val="19"/>
          <w:bdr w:val="single" w:sz="8" w:space="1" w:color="2872A8"/>
        </w:rPr>
        <w:t> </w:t>
      </w:r>
    </w:p>
    <w:tbl>
      <w:tblPr>
        <w:tblW w:w="10003" w:type="dxa"/>
        <w:jc w:val="left"/>
        <w:tblInd w:w="0" w:type="dxa"/>
        <w:tblLayout w:type="fixed"/>
        <w:tblCellMar>
          <w:top w:w="0" w:type="dxa"/>
          <w:left w:w="0" w:type="dxa"/>
          <w:bottom w:w="0" w:type="dxa"/>
          <w:right w:w="0" w:type="dxa"/>
        </w:tblCellMar>
      </w:tblPr>
      <w:tblGrid>
        <w:gridCol w:w="38"/>
        <w:gridCol w:w="525"/>
        <w:gridCol w:w="9440"/>
      </w:tblGrid>
      <w:tr>
        <w:trPr/>
        <w:tc>
          <w:tcPr>
            <w:tcW w:w="3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color w:val="002053"/>
              </w:rPr>
            </w:pPr>
            <w:r>
              <w:rPr>
                <w:color w:val="002053"/>
              </w:rPr>
              <w:drawing>
                <wp:inline distT="0" distB="0" distL="0" distR="0">
                  <wp:extent cx="333375" cy="3143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333375" cy="314325"/>
                          </a:xfrm>
                          <a:prstGeom prst="rect">
                            <a:avLst/>
                          </a:prstGeom>
                        </pic:spPr>
                      </pic:pic>
                    </a:graphicData>
                  </a:graphic>
                </wp:inline>
              </w:drawing>
            </w:r>
          </w:p>
        </w:tc>
        <w:tc>
          <w:tcPr>
            <w:tcW w:w="944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current Board size and composition and the extent to which a candidate would fill a present need on our Board; and </w:t>
            </w:r>
          </w:p>
        </w:tc>
      </w:tr>
    </w:tbl>
    <w:p>
      <w:pPr>
        <w:pStyle w:val="TextBody"/>
        <w:bidi w:val="0"/>
        <w:spacing w:before="0" w:after="0"/>
        <w:ind w:left="0" w:right="0" w:hanging="0"/>
        <w:jc w:val="left"/>
        <w:rPr>
          <w:caps w:val="false"/>
          <w:smallCaps w:val="false"/>
          <w:color w:val="002053"/>
          <w:position w:val="-2"/>
          <w:sz w:val="19"/>
          <w:bdr w:val="single" w:sz="8" w:space="1" w:color="2872A8"/>
        </w:rPr>
      </w:pPr>
      <w:r>
        <w:rPr>
          <w:caps w:val="false"/>
          <w:smallCaps w:val="false"/>
          <w:color w:val="002053"/>
          <w:position w:val="-2"/>
          <w:sz w:val="19"/>
          <w:bdr w:val="single" w:sz="8" w:space="1" w:color="2872A8"/>
        </w:rPr>
        <w:t> </w:t>
      </w:r>
    </w:p>
    <w:tbl>
      <w:tblPr>
        <w:tblW w:w="6778" w:type="dxa"/>
        <w:jc w:val="left"/>
        <w:tblInd w:w="0" w:type="dxa"/>
        <w:tblLayout w:type="fixed"/>
        <w:tblCellMar>
          <w:top w:w="0" w:type="dxa"/>
          <w:left w:w="0" w:type="dxa"/>
          <w:bottom w:w="0" w:type="dxa"/>
          <w:right w:w="0" w:type="dxa"/>
        </w:tblCellMar>
      </w:tblPr>
      <w:tblGrid>
        <w:gridCol w:w="38"/>
        <w:gridCol w:w="525"/>
        <w:gridCol w:w="6215"/>
      </w:tblGrid>
      <w:tr>
        <w:trPr/>
        <w:tc>
          <w:tcPr>
            <w:tcW w:w="3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color w:val="002053"/>
              </w:rPr>
            </w:pPr>
            <w:r>
              <w:rPr>
                <w:color w:val="002053"/>
              </w:rPr>
              <w:drawing>
                <wp:inline distT="0" distB="0" distL="0" distR="0">
                  <wp:extent cx="333375" cy="3143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333375" cy="314325"/>
                          </a:xfrm>
                          <a:prstGeom prst="rect">
                            <a:avLst/>
                          </a:prstGeom>
                        </pic:spPr>
                      </pic:pic>
                    </a:graphicData>
                  </a:graphic>
                </wp:inline>
              </w:drawing>
            </w:r>
          </w:p>
        </w:tc>
        <w:tc>
          <w:tcPr>
            <w:tcW w:w="621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the other ongoing and future commitments and obligations of the candidate. </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In considering the nomination of existing directors, the Nominating Committee takes into consideration:</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3868" w:type="dxa"/>
        <w:jc w:val="left"/>
        <w:tblInd w:w="0" w:type="dxa"/>
        <w:tblLayout w:type="fixed"/>
        <w:tblCellMar>
          <w:top w:w="0" w:type="dxa"/>
          <w:left w:w="0" w:type="dxa"/>
          <w:bottom w:w="0" w:type="dxa"/>
          <w:right w:w="0" w:type="dxa"/>
        </w:tblCellMar>
      </w:tblPr>
      <w:tblGrid>
        <w:gridCol w:w="38"/>
        <w:gridCol w:w="525"/>
        <w:gridCol w:w="3305"/>
      </w:tblGrid>
      <w:tr>
        <w:trPr/>
        <w:tc>
          <w:tcPr>
            <w:tcW w:w="3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color w:val="002053"/>
              </w:rPr>
            </w:pPr>
            <w:r>
              <w:rPr>
                <w:color w:val="002053"/>
              </w:rPr>
              <w:drawing>
                <wp:inline distT="0" distB="0" distL="0" distR="0">
                  <wp:extent cx="333375" cy="3143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333375" cy="314325"/>
                          </a:xfrm>
                          <a:prstGeom prst="rect">
                            <a:avLst/>
                          </a:prstGeom>
                        </pic:spPr>
                      </pic:pic>
                    </a:graphicData>
                  </a:graphic>
                </wp:inline>
              </w:drawing>
            </w:r>
          </w:p>
        </w:tc>
        <w:tc>
          <w:tcPr>
            <w:tcW w:w="330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the director’s contributions to the Board; </w:t>
            </w:r>
          </w:p>
        </w:tc>
      </w:tr>
    </w:tbl>
    <w:p>
      <w:pPr>
        <w:pStyle w:val="TextBody"/>
        <w:bidi w:val="0"/>
        <w:spacing w:before="0" w:after="0"/>
        <w:ind w:left="0" w:right="0" w:hanging="0"/>
        <w:jc w:val="left"/>
        <w:rPr>
          <w:caps w:val="false"/>
          <w:smallCaps w:val="false"/>
          <w:color w:val="002053"/>
          <w:position w:val="-2"/>
          <w:sz w:val="19"/>
          <w:bdr w:val="single" w:sz="8" w:space="1" w:color="2872A8"/>
        </w:rPr>
      </w:pPr>
      <w:r>
        <w:rPr>
          <w:caps w:val="false"/>
          <w:smallCaps w:val="false"/>
          <w:color w:val="002053"/>
          <w:position w:val="-2"/>
          <w:sz w:val="19"/>
          <w:bdr w:val="single" w:sz="8" w:space="1" w:color="2872A8"/>
        </w:rPr>
        <w:t> </w:t>
      </w:r>
    </w:p>
    <w:tbl>
      <w:tblPr>
        <w:tblW w:w="8173" w:type="dxa"/>
        <w:jc w:val="left"/>
        <w:tblInd w:w="0" w:type="dxa"/>
        <w:tblLayout w:type="fixed"/>
        <w:tblCellMar>
          <w:top w:w="0" w:type="dxa"/>
          <w:left w:w="0" w:type="dxa"/>
          <w:bottom w:w="0" w:type="dxa"/>
          <w:right w:w="0" w:type="dxa"/>
        </w:tblCellMar>
      </w:tblPr>
      <w:tblGrid>
        <w:gridCol w:w="38"/>
        <w:gridCol w:w="525"/>
        <w:gridCol w:w="7610"/>
      </w:tblGrid>
      <w:tr>
        <w:trPr/>
        <w:tc>
          <w:tcPr>
            <w:tcW w:w="3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color w:val="002053"/>
              </w:rPr>
            </w:pPr>
            <w:r>
              <w:rPr>
                <w:color w:val="002053"/>
              </w:rPr>
              <w:drawing>
                <wp:inline distT="0" distB="0" distL="0" distR="0">
                  <wp:extent cx="333375" cy="3143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333375" cy="314325"/>
                          </a:xfrm>
                          <a:prstGeom prst="rect">
                            <a:avLst/>
                          </a:prstGeom>
                        </pic:spPr>
                      </pic:pic>
                    </a:graphicData>
                  </a:graphic>
                </wp:inline>
              </w:drawing>
            </w:r>
          </w:p>
        </w:tc>
        <w:tc>
          <w:tcPr>
            <w:tcW w:w="761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the director’s ability to attend meetings and fully participate in Board and committee activities; </w:t>
            </w:r>
          </w:p>
        </w:tc>
      </w:tr>
    </w:tbl>
    <w:p>
      <w:pPr>
        <w:pStyle w:val="TextBody"/>
        <w:bidi w:val="0"/>
        <w:spacing w:before="0" w:after="0"/>
        <w:ind w:left="0" w:right="0" w:hanging="0"/>
        <w:jc w:val="left"/>
        <w:rPr>
          <w:caps w:val="false"/>
          <w:smallCaps w:val="false"/>
          <w:color w:val="002053"/>
          <w:position w:val="-2"/>
          <w:sz w:val="19"/>
          <w:bdr w:val="single" w:sz="8" w:space="1" w:color="2872A8"/>
        </w:rPr>
      </w:pPr>
      <w:r>
        <w:rPr>
          <w:caps w:val="false"/>
          <w:smallCaps w:val="false"/>
          <w:color w:val="002053"/>
          <w:position w:val="-2"/>
          <w:sz w:val="19"/>
          <w:bdr w:val="single" w:sz="8" w:space="1" w:color="2872A8"/>
        </w:rPr>
        <w:t> </w:t>
      </w:r>
    </w:p>
    <w:tbl>
      <w:tblPr>
        <w:tblW w:w="10205" w:type="dxa"/>
        <w:jc w:val="left"/>
        <w:tblInd w:w="0" w:type="dxa"/>
        <w:tblLayout w:type="fixed"/>
        <w:tblCellMar>
          <w:top w:w="0" w:type="dxa"/>
          <w:left w:w="0" w:type="dxa"/>
          <w:bottom w:w="0" w:type="dxa"/>
          <w:right w:w="0" w:type="dxa"/>
        </w:tblCellMar>
      </w:tblPr>
      <w:tblGrid>
        <w:gridCol w:w="38"/>
        <w:gridCol w:w="525"/>
        <w:gridCol w:w="9642"/>
      </w:tblGrid>
      <w:tr>
        <w:trPr/>
        <w:tc>
          <w:tcPr>
            <w:tcW w:w="3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color w:val="002053"/>
              </w:rPr>
            </w:pPr>
            <w:r>
              <w:rPr>
                <w:color w:val="002053"/>
              </w:rPr>
              <w:drawing>
                <wp:inline distT="0" distB="0" distL="0" distR="0">
                  <wp:extent cx="333375" cy="3143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333375" cy="314325"/>
                          </a:xfrm>
                          <a:prstGeom prst="rect">
                            <a:avLst/>
                          </a:prstGeom>
                        </pic:spPr>
                      </pic:pic>
                    </a:graphicData>
                  </a:graphic>
                </wp:inline>
              </w:drawing>
            </w:r>
          </w:p>
        </w:tc>
        <w:tc>
          <w:tcPr>
            <w:tcW w:w="9642"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any new relationships with the Company or other organizations, or other circumstances that may have arisen, that might make it inappropriate for the director to continue serving on the Board; </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24</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bdr w:val="single" w:sz="8" w:space="1" w:color="2872A8"/>
        </w:rPr>
      </w:pPr>
      <w:r>
        <w:rPr>
          <w:bdr w:val="single" w:sz="8" w:space="1" w:color="2872A8"/>
        </w:rPr>
        <w:t> </w:t>
      </w:r>
    </w:p>
    <w:tbl>
      <w:tblPr>
        <w:tblW w:w="5293" w:type="dxa"/>
        <w:jc w:val="left"/>
        <w:tblInd w:w="0" w:type="dxa"/>
        <w:tblLayout w:type="fixed"/>
        <w:tblCellMar>
          <w:top w:w="0" w:type="dxa"/>
          <w:left w:w="0" w:type="dxa"/>
          <w:bottom w:w="0" w:type="dxa"/>
          <w:right w:w="0" w:type="dxa"/>
        </w:tblCellMar>
      </w:tblPr>
      <w:tblGrid>
        <w:gridCol w:w="38"/>
        <w:gridCol w:w="525"/>
        <w:gridCol w:w="4730"/>
      </w:tblGrid>
      <w:tr>
        <w:trPr/>
        <w:tc>
          <w:tcPr>
            <w:tcW w:w="3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color w:val="002053"/>
              </w:rPr>
            </w:pPr>
            <w:r>
              <w:rPr>
                <w:color w:val="002053"/>
              </w:rPr>
              <w:drawing>
                <wp:inline distT="0" distB="0" distL="0" distR="0">
                  <wp:extent cx="333375" cy="3143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333375" cy="314325"/>
                          </a:xfrm>
                          <a:prstGeom prst="rect">
                            <a:avLst/>
                          </a:prstGeom>
                        </pic:spPr>
                      </pic:pic>
                    </a:graphicData>
                  </a:graphic>
                </wp:inline>
              </w:drawing>
            </w:r>
          </w:p>
        </w:tc>
        <w:tc>
          <w:tcPr>
            <w:tcW w:w="473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the director’s age and length of service on the Board; and </w:t>
            </w:r>
          </w:p>
        </w:tc>
      </w:tr>
    </w:tbl>
    <w:p>
      <w:pPr>
        <w:pStyle w:val="TextBody"/>
        <w:bidi w:val="0"/>
        <w:spacing w:before="0" w:after="0"/>
        <w:ind w:left="0" w:right="0" w:hanging="0"/>
        <w:jc w:val="left"/>
        <w:rPr>
          <w:caps w:val="false"/>
          <w:smallCaps w:val="false"/>
          <w:color w:val="002053"/>
          <w:position w:val="-2"/>
          <w:sz w:val="19"/>
          <w:bdr w:val="single" w:sz="8" w:space="1" w:color="2872A8"/>
        </w:rPr>
      </w:pPr>
      <w:r>
        <w:rPr>
          <w:caps w:val="false"/>
          <w:smallCaps w:val="false"/>
          <w:color w:val="002053"/>
          <w:position w:val="-2"/>
          <w:sz w:val="19"/>
          <w:bdr w:val="single" w:sz="8" w:space="1" w:color="2872A8"/>
        </w:rPr>
        <w:t> </w:t>
      </w:r>
    </w:p>
    <w:tbl>
      <w:tblPr>
        <w:tblW w:w="8038" w:type="dxa"/>
        <w:jc w:val="left"/>
        <w:tblInd w:w="0" w:type="dxa"/>
        <w:tblLayout w:type="fixed"/>
        <w:tblCellMar>
          <w:top w:w="0" w:type="dxa"/>
          <w:left w:w="0" w:type="dxa"/>
          <w:bottom w:w="0" w:type="dxa"/>
          <w:right w:w="0" w:type="dxa"/>
        </w:tblCellMar>
      </w:tblPr>
      <w:tblGrid>
        <w:gridCol w:w="38"/>
        <w:gridCol w:w="525"/>
        <w:gridCol w:w="7475"/>
      </w:tblGrid>
      <w:tr>
        <w:trPr/>
        <w:tc>
          <w:tcPr>
            <w:tcW w:w="3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color w:val="002053"/>
              </w:rPr>
            </w:pPr>
            <w:r>
              <w:rPr>
                <w:color w:val="002053"/>
              </w:rPr>
              <w:drawing>
                <wp:inline distT="0" distB="0" distL="0" distR="0">
                  <wp:extent cx="333375" cy="3143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333375" cy="314325"/>
                          </a:xfrm>
                          <a:prstGeom prst="rect">
                            <a:avLst/>
                          </a:prstGeom>
                        </pic:spPr>
                      </pic:pic>
                    </a:graphicData>
                  </a:graphic>
                </wp:inline>
              </w:drawing>
            </w:r>
          </w:p>
        </w:tc>
        <w:tc>
          <w:tcPr>
            <w:tcW w:w="747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the most recent Director &amp; Officer Questionnaires, board evaluations and skills assessment. </w:t>
            </w:r>
          </w:p>
        </w:tc>
      </w:tr>
    </w:tbl>
    <w:p>
      <w:pPr>
        <w:pStyle w:val="TextBody"/>
        <w:bidi w:val="0"/>
        <w:spacing w:before="0" w:after="0"/>
        <w:ind w:left="0" w:right="0" w:hanging="0"/>
        <w:jc w:val="left"/>
        <w:rPr>
          <w:caps w:val="false"/>
          <w:smallCaps w:val="false"/>
          <w:color w:val="FF0000"/>
          <w:bdr w:val="single" w:sz="8" w:space="1" w:color="2872A8"/>
        </w:rPr>
      </w:pPr>
      <w:r>
        <w:rPr>
          <w:caps w:val="false"/>
          <w:smallCaps w:val="false"/>
          <w:color w:val="FF0000"/>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Nominating Committee will consider director candidates recommended by Company stockholders, as provided for in the Corporate Governance Guidelines and in the Nominating Committee charter. The Nominating Committee does not intend to alter the manner in which it evaluates a candidate for nomination to the Board based on whether or not the candidate was recommended by a stockholder. Stockholders who wish to recommend individuals for consideration by the Nominating Committee to become nominees for election to the Board at an Annual Meeting of Stockholders must do so by delivering no later than the close of business on the 90th day nor earlier than the close of business on the 120th day prior to the first anniversary of the preceding year’s Annual Meeting of Stockholders a written recommendation to the Nominating Committee c/o Limoneira Company, 1141 Cummings Road, Santa Paula, CA 93060, Attn: Corporate Secretary, and must meet the deadlines and other requirements set forth in our Bylaws and the rules and regulations of the SEC. If a stockholder, in accordance with the procedural requirements discussed above, recommends a proposed director candidate, the Corporate Secretary will provide such stockholder recommendation to the Nominating Committee. The Nominating Committee will evaluate the proposed director’s candidacy and recommend whether the Board should nominate the proposed director candidate for election by Company’s stockholders.</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caps w:val="false"/>
          <w:smallCaps w:val="false"/>
          <w:color w:val="0062AF"/>
          <w:sz w:val="20"/>
          <w:bdr w:val="single" w:sz="8" w:space="1" w:color="2872A8"/>
        </w:rPr>
      </w:pPr>
      <w:bookmarkStart w:id="37" w:name="lmnrdef14aa033"/>
      <w:bookmarkEnd w:id="37"/>
      <w:r>
        <w:rPr>
          <w:rFonts w:ascii="Arial;Helvetica;Sans-Serif" w:hAnsi="Arial;Helvetica;Sans-Serif"/>
          <w:b/>
          <w:i/>
          <w:caps w:val="false"/>
          <w:smallCaps w:val="false"/>
          <w:color w:val="0062AF"/>
          <w:sz w:val="20"/>
          <w:bdr w:val="single" w:sz="8" w:space="1" w:color="2872A8"/>
        </w:rPr>
        <w:t>Board of Directors and Director Evaluation and Review Process</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Board and committee evaluations play a critical role in supporting the effective functioning of our Board. Through evaluations, our directors review where they believe our Board functions effectively and, importantly, areas where our Board thinks there may be opportunities for improvement, including through Board refreshment. Each director also completes evaluations for each committee on which they serve. The Nominating Committee administers the evaluation process, reviews the results and makes recommendations to the Board.</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For fiscal year 2025, we considered the Board and each committee to be operating effectively, with the appropriate balance among oversight, governance, strategic and operational matters.</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caps w:val="false"/>
          <w:smallCaps w:val="false"/>
          <w:color w:val="0062AF"/>
          <w:sz w:val="20"/>
          <w:bdr w:val="single" w:sz="8" w:space="1" w:color="2872A8"/>
        </w:rPr>
      </w:pPr>
      <w:bookmarkStart w:id="38" w:name="lmnrdef14aa034"/>
      <w:bookmarkEnd w:id="38"/>
      <w:r>
        <w:rPr>
          <w:rFonts w:ascii="Arial;Helvetica;Sans-Serif" w:hAnsi="Arial;Helvetica;Sans-Serif"/>
          <w:b/>
          <w:i/>
          <w:caps w:val="false"/>
          <w:smallCaps w:val="false"/>
          <w:color w:val="0062AF"/>
          <w:sz w:val="20"/>
          <w:bdr w:val="single" w:sz="8" w:space="1" w:color="2872A8"/>
        </w:rPr>
        <w:t>Board of Directors Experience</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Board refreshment in fiscal year 2023 resulted in a decrease in the average tenure, and our Board now has a greater mix of directors with demonstrated breadth and depth of management and leadership experience and financial and business acumen. We believe our Board is well-suited to evaluate strategic opportunities and challenges and to analyze those opportunities and challenges both independently and collaboratively. The Board has broad and diverse knowledge of our Company and other relevant experience, including expertise in finance and accounting, leadership, education, law, agriculture, c-suite and senior management leadership, community relations, water stewardship, risk management, land management, human resources and ESG.</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25</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8410" w:type="dxa"/>
        <w:jc w:val="left"/>
        <w:tblInd w:w="0" w:type="dxa"/>
        <w:tblLayout w:type="fixed"/>
        <w:tblCellMar>
          <w:top w:w="0" w:type="dxa"/>
          <w:left w:w="0" w:type="dxa"/>
          <w:bottom w:w="0" w:type="dxa"/>
          <w:right w:w="0" w:type="dxa"/>
        </w:tblCellMar>
      </w:tblPr>
      <w:tblGrid>
        <w:gridCol w:w="3470"/>
        <w:gridCol w:w="665"/>
        <w:gridCol w:w="740"/>
        <w:gridCol w:w="785"/>
        <w:gridCol w:w="740"/>
        <w:gridCol w:w="650"/>
        <w:gridCol w:w="650"/>
        <w:gridCol w:w="710"/>
      </w:tblGrid>
      <w:tr>
        <w:trPr/>
        <w:tc>
          <w:tcPr>
            <w:tcW w:w="3470" w:type="dxa"/>
            <w:tcBorders/>
            <w:shd w:fill="D2D6E4" w:val="clear"/>
            <w:vAlign w:val="center"/>
          </w:tcPr>
          <w:p>
            <w:pPr>
              <w:pStyle w:val="TableContents"/>
              <w:bidi w:val="0"/>
              <w:spacing w:before="0" w:after="283"/>
              <w:ind w:left="0" w:right="0" w:hanging="173"/>
              <w:jc w:val="left"/>
              <w:rPr>
                <w:rFonts w:ascii="Arial;Helvetica;Sans-Serif" w:hAnsi="Arial;Helvetica;Sans-Serif"/>
                <w:b/>
                <w:sz w:val="14"/>
              </w:rPr>
            </w:pPr>
            <w:r>
              <w:rPr>
                <w:rFonts w:ascii="Arial;Helvetica;Sans-Serif" w:hAnsi="Arial;Helvetica;Sans-Serif"/>
                <w:b/>
                <w:sz w:val="14"/>
              </w:rPr>
              <w:t>Fiscal Year 2025 - Director Skills</w:t>
            </w:r>
          </w:p>
        </w:tc>
        <w:tc>
          <w:tcPr>
            <w:tcW w:w="665" w:type="dxa"/>
            <w:tcBorders>
              <w:left w:val="single" w:sz="8" w:space="0" w:color="FFFFFF"/>
              <w:right w:val="single" w:sz="8" w:space="0" w:color="FFFFFF"/>
            </w:tcBorders>
            <w:shd w:fill="D2D6E4" w:val="clear"/>
            <w:tcMar>
              <w:left w:w="28" w:type="dxa"/>
              <w:right w:w="28"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Barbara</w:t>
              <w:br/>
              <w:t>Carbone</w:t>
            </w:r>
          </w:p>
        </w:tc>
        <w:tc>
          <w:tcPr>
            <w:tcW w:w="740" w:type="dxa"/>
            <w:tcBorders>
              <w:right w:val="single" w:sz="8" w:space="0" w:color="FFFFFF"/>
            </w:tcBorders>
            <w:shd w:fill="D2D6E4" w:val="clear"/>
            <w:tcMar>
              <w:right w:w="28"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Harold S.</w:t>
              <w:br/>
              <w:t>Edwards</w:t>
            </w:r>
          </w:p>
        </w:tc>
        <w:tc>
          <w:tcPr>
            <w:tcW w:w="785" w:type="dxa"/>
            <w:tcBorders>
              <w:right w:val="single" w:sz="8" w:space="0" w:color="FFFFFF"/>
            </w:tcBorders>
            <w:shd w:fill="D2D6E4" w:val="clear"/>
            <w:tcMar>
              <w:right w:w="28"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Gordon E.</w:t>
              <w:br/>
              <w:t>Kimball</w:t>
            </w:r>
          </w:p>
        </w:tc>
        <w:tc>
          <w:tcPr>
            <w:tcW w:w="740" w:type="dxa"/>
            <w:tcBorders>
              <w:right w:val="single" w:sz="8" w:space="0" w:color="FFFFFF"/>
            </w:tcBorders>
            <w:shd w:fill="D2D6E4" w:val="clear"/>
            <w:tcMar>
              <w:right w:w="28"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Elizabeth</w:t>
              <w:br/>
              <w:t>Mora</w:t>
            </w:r>
          </w:p>
        </w:tc>
        <w:tc>
          <w:tcPr>
            <w:tcW w:w="650" w:type="dxa"/>
            <w:tcBorders>
              <w:right w:val="single" w:sz="8" w:space="0" w:color="FFFFFF"/>
            </w:tcBorders>
            <w:shd w:fill="D2D6E4" w:val="clear"/>
            <w:tcMar>
              <w:right w:w="28"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Peter J.</w:t>
              <w:br/>
              <w:t>Nolan</w:t>
            </w:r>
          </w:p>
        </w:tc>
        <w:tc>
          <w:tcPr>
            <w:tcW w:w="650" w:type="dxa"/>
            <w:tcBorders>
              <w:right w:val="single" w:sz="8" w:space="0" w:color="FFFFFF"/>
            </w:tcBorders>
            <w:shd w:fill="D2D6E4" w:val="clear"/>
            <w:tcMar>
              <w:right w:w="28"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Scott S.</w:t>
              <w:br/>
              <w:t>Slater</w:t>
            </w:r>
          </w:p>
        </w:tc>
        <w:tc>
          <w:tcPr>
            <w:tcW w:w="710" w:type="dxa"/>
            <w:tcBorders/>
            <w:shd w:fill="D2D6E4" w:val="clear"/>
            <w:tcMar>
              <w:top w:w="60" w:type="dxa"/>
              <w:left w:w="60" w:type="dxa"/>
              <w:bottom w:w="60" w:type="dxa"/>
              <w:right w:w="60" w:type="dxa"/>
            </w:tcMar>
            <w:vAlign w:val="center"/>
          </w:tcPr>
          <w:p>
            <w:pPr>
              <w:pStyle w:val="TableContents"/>
              <w:bidi w:val="0"/>
              <w:spacing w:before="0" w:after="283"/>
              <w:ind w:left="0" w:right="0" w:hanging="173"/>
              <w:jc w:val="center"/>
              <w:rPr>
                <w:rFonts w:ascii="Arial;Helvetica;Sans-Serif" w:hAnsi="Arial;Helvetica;Sans-Serif"/>
                <w:b/>
                <w:sz w:val="14"/>
              </w:rPr>
            </w:pPr>
            <w:r>
              <w:rPr>
                <w:rFonts w:ascii="Arial;Helvetica;Sans-Serif" w:hAnsi="Arial;Helvetica;Sans-Serif"/>
                <w:b/>
                <w:sz w:val="14"/>
              </w:rPr>
              <w:t>Edgar A.</w:t>
              <w:br/>
              <w:t>Terry</w:t>
            </w:r>
          </w:p>
        </w:tc>
      </w:tr>
      <w:tr>
        <w:trPr/>
        <w:tc>
          <w:tcPr>
            <w:tcW w:w="3470" w:type="dxa"/>
            <w:tcBorders/>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Independent Director</w:t>
            </w:r>
          </w:p>
        </w:tc>
        <w:tc>
          <w:tcPr>
            <w:tcW w:w="665" w:type="dxa"/>
            <w:tcBorders>
              <w:left w:val="single" w:sz="8" w:space="0" w:color="E6F5FD"/>
              <w:right w:val="single" w:sz="8" w:space="0" w:color="E6F5FD"/>
            </w:tcBorders>
            <w:tcMar>
              <w:left w:w="28" w:type="dxa"/>
              <w:right w:w="28" w:type="dxa"/>
            </w:tcMar>
            <w:vAlign w:val="center"/>
          </w:tcPr>
          <w:p>
            <w:pPr>
              <w:pStyle w:val="TableContents"/>
              <w:bidi w:val="0"/>
              <w:spacing w:before="0" w:after="283"/>
              <w:jc w:val="center"/>
              <w:rPr>
                <w:color w:val="002053"/>
              </w:rPr>
            </w:pPr>
            <w:r>
              <w:rPr>
                <w:color w:val="002053"/>
              </w:rPr>
              <w:t>●</w:t>
            </w:r>
          </w:p>
        </w:tc>
        <w:tc>
          <w:tcPr>
            <w:tcW w:w="740" w:type="dxa"/>
            <w:tcBorders>
              <w:right w:val="single" w:sz="8" w:space="0" w:color="E6F5FD"/>
            </w:tcBorders>
            <w:tcMar>
              <w:right w:w="28" w:type="dxa"/>
            </w:tcMar>
            <w:vAlign w:val="center"/>
          </w:tcPr>
          <w:p>
            <w:pPr>
              <w:pStyle w:val="TableContents"/>
              <w:bidi w:val="0"/>
              <w:spacing w:before="0" w:after="283"/>
              <w:jc w:val="center"/>
              <w:rPr/>
            </w:pPr>
            <w:r>
              <w:rPr/>
              <w:t> </w:t>
            </w:r>
          </w:p>
        </w:tc>
        <w:tc>
          <w:tcPr>
            <w:tcW w:w="785" w:type="dxa"/>
            <w:tcBorders>
              <w:right w:val="single" w:sz="8" w:space="0" w:color="E6F5FD"/>
            </w:tcBorders>
            <w:tcMar>
              <w:right w:w="28" w:type="dxa"/>
            </w:tcMar>
            <w:vAlign w:val="center"/>
          </w:tcPr>
          <w:p>
            <w:pPr>
              <w:pStyle w:val="TableContents"/>
              <w:bidi w:val="0"/>
              <w:spacing w:before="0" w:after="283"/>
              <w:jc w:val="center"/>
              <w:rPr>
                <w:color w:val="002053"/>
              </w:rPr>
            </w:pPr>
            <w:r>
              <w:rPr>
                <w:color w:val="002053"/>
              </w:rPr>
              <w:t>●</w:t>
            </w:r>
          </w:p>
        </w:tc>
        <w:tc>
          <w:tcPr>
            <w:tcW w:w="740" w:type="dxa"/>
            <w:tcBorders>
              <w:right w:val="single" w:sz="8" w:space="0" w:color="E6F5FD"/>
            </w:tcBorders>
            <w:tcMar>
              <w:right w:w="28" w:type="dxa"/>
            </w:tcMar>
            <w:vAlign w:val="center"/>
          </w:tcPr>
          <w:p>
            <w:pPr>
              <w:pStyle w:val="TableContents"/>
              <w:bidi w:val="0"/>
              <w:spacing w:before="0" w:after="283"/>
              <w:jc w:val="center"/>
              <w:rPr>
                <w:color w:val="002053"/>
              </w:rPr>
            </w:pPr>
            <w:r>
              <w:rPr>
                <w:color w:val="002053"/>
              </w:rPr>
              <w:t>●</w:t>
            </w:r>
          </w:p>
        </w:tc>
        <w:tc>
          <w:tcPr>
            <w:tcW w:w="650" w:type="dxa"/>
            <w:tcBorders>
              <w:right w:val="single" w:sz="8" w:space="0" w:color="E6F5FD"/>
            </w:tcBorders>
            <w:tcMar>
              <w:right w:w="28" w:type="dxa"/>
            </w:tcMar>
            <w:vAlign w:val="center"/>
          </w:tcPr>
          <w:p>
            <w:pPr>
              <w:pStyle w:val="TableContents"/>
              <w:bidi w:val="0"/>
              <w:spacing w:before="0" w:after="283"/>
              <w:jc w:val="center"/>
              <w:rPr>
                <w:color w:val="002053"/>
              </w:rPr>
            </w:pPr>
            <w:r>
              <w:rPr>
                <w:color w:val="002053"/>
              </w:rPr>
              <w:t>●</w:t>
            </w:r>
          </w:p>
        </w:tc>
        <w:tc>
          <w:tcPr>
            <w:tcW w:w="650" w:type="dxa"/>
            <w:tcBorders>
              <w:right w:val="single" w:sz="8" w:space="0" w:color="E6F5FD"/>
            </w:tcBorders>
            <w:tcMar>
              <w:right w:w="28" w:type="dxa"/>
            </w:tcMar>
            <w:vAlign w:val="center"/>
          </w:tcPr>
          <w:p>
            <w:pPr>
              <w:pStyle w:val="TableContents"/>
              <w:bidi w:val="0"/>
              <w:spacing w:before="0" w:after="283"/>
              <w:jc w:val="center"/>
              <w:rPr>
                <w:color w:val="002053"/>
              </w:rPr>
            </w:pPr>
            <w:r>
              <w:rPr>
                <w:color w:val="002053"/>
              </w:rPr>
              <w:t>●</w:t>
            </w:r>
          </w:p>
        </w:tc>
        <w:tc>
          <w:tcPr>
            <w:tcW w:w="710" w:type="dxa"/>
            <w:tcBorders/>
            <w:tcMar>
              <w:top w:w="60" w:type="dxa"/>
              <w:left w:w="60" w:type="dxa"/>
              <w:bottom w:w="60" w:type="dxa"/>
              <w:right w:w="60" w:type="dxa"/>
            </w:tcMar>
            <w:vAlign w:val="center"/>
          </w:tcPr>
          <w:p>
            <w:pPr>
              <w:pStyle w:val="TableContents"/>
              <w:bidi w:val="0"/>
              <w:spacing w:before="0" w:after="283"/>
              <w:ind w:left="0" w:right="0" w:hanging="173"/>
              <w:jc w:val="center"/>
              <w:rPr>
                <w:color w:val="002053"/>
              </w:rPr>
            </w:pPr>
            <w:r>
              <w:rPr>
                <w:color w:val="002053"/>
              </w:rPr>
              <w:t>●</w:t>
            </w:r>
          </w:p>
        </w:tc>
      </w:tr>
      <w:tr>
        <w:trPr/>
        <w:tc>
          <w:tcPr>
            <w:tcW w:w="3470" w:type="dxa"/>
            <w:tcBorders/>
            <w:shd w:fill="E6F5FD"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b/>
                <w:sz w:val="16"/>
              </w:rPr>
              <w:t>Strategic Transformation Leadership</w:t>
            </w:r>
            <w:r>
              <w:rPr>
                <w:rFonts w:ascii="Arial;Helvetica;Sans-Serif" w:hAnsi="Arial;Helvetica;Sans-Serif"/>
                <w:sz w:val="16"/>
              </w:rPr>
              <w:br/>
            </w:r>
            <w:r>
              <w:rPr>
                <w:rFonts w:ascii="Arial;Helvetica;Sans-Serif" w:hAnsi="Arial;Helvetica;Sans-Serif"/>
                <w:i/>
                <w:sz w:val="16"/>
              </w:rPr>
              <w:t xml:space="preserve">(Experience driving strategic direction </w:t>
            </w:r>
            <w:r>
              <w:rPr>
                <w:rFonts w:ascii="Arial;Helvetica;Sans-Serif" w:hAnsi="Arial;Helvetica;Sans-Serif"/>
                <w:sz w:val="16"/>
              </w:rPr>
              <w:br/>
            </w:r>
            <w:r>
              <w:rPr>
                <w:rFonts w:ascii="Arial;Helvetica;Sans-Serif" w:hAnsi="Arial;Helvetica;Sans-Serif"/>
                <w:i/>
                <w:sz w:val="16"/>
              </w:rPr>
              <w:t>&amp; growth shifting its business strategy)</w:t>
            </w:r>
          </w:p>
        </w:tc>
        <w:tc>
          <w:tcPr>
            <w:tcW w:w="665" w:type="dxa"/>
            <w:tcBorders>
              <w:left w:val="single" w:sz="8" w:space="0" w:color="E6F5FD"/>
              <w:right w:val="single" w:sz="8" w:space="0" w:color="E6F5FD"/>
            </w:tcBorders>
            <w:shd w:fill="E6F5FD" w:val="clear"/>
            <w:tcMar>
              <w:left w:w="28" w:type="dxa"/>
              <w:right w:w="28" w:type="dxa"/>
            </w:tcMar>
            <w:vAlign w:val="center"/>
          </w:tcPr>
          <w:p>
            <w:pPr>
              <w:pStyle w:val="TableContents"/>
              <w:bidi w:val="0"/>
              <w:spacing w:before="0" w:after="283"/>
              <w:jc w:val="center"/>
              <w:rPr>
                <w:color w:val="002053"/>
              </w:rPr>
            </w:pPr>
            <w:r>
              <w:rPr>
                <w:color w:val="002053"/>
              </w:rPr>
              <w:t>●</w:t>
            </w:r>
          </w:p>
        </w:tc>
        <w:tc>
          <w:tcPr>
            <w:tcW w:w="740" w:type="dxa"/>
            <w:tcBorders>
              <w:right w:val="single" w:sz="8" w:space="0" w:color="E6F5FD"/>
            </w:tcBorders>
            <w:shd w:fill="E6F5FD" w:val="clear"/>
            <w:tcMar>
              <w:right w:w="28" w:type="dxa"/>
            </w:tcMar>
            <w:vAlign w:val="center"/>
          </w:tcPr>
          <w:p>
            <w:pPr>
              <w:pStyle w:val="TableContents"/>
              <w:bidi w:val="0"/>
              <w:spacing w:before="0" w:after="283"/>
              <w:jc w:val="center"/>
              <w:rPr>
                <w:color w:val="002053"/>
              </w:rPr>
            </w:pPr>
            <w:r>
              <w:rPr>
                <w:color w:val="002053"/>
              </w:rPr>
              <w:t>●</w:t>
            </w:r>
          </w:p>
        </w:tc>
        <w:tc>
          <w:tcPr>
            <w:tcW w:w="785" w:type="dxa"/>
            <w:tcBorders>
              <w:right w:val="single" w:sz="8" w:space="0" w:color="E6F5FD"/>
            </w:tcBorders>
            <w:shd w:fill="E6F5FD" w:val="clear"/>
            <w:tcMar>
              <w:right w:w="28" w:type="dxa"/>
            </w:tcMar>
            <w:vAlign w:val="center"/>
          </w:tcPr>
          <w:p>
            <w:pPr>
              <w:pStyle w:val="TableContents"/>
              <w:bidi w:val="0"/>
              <w:spacing w:before="0" w:after="283"/>
              <w:jc w:val="center"/>
              <w:rPr>
                <w:color w:val="002053"/>
              </w:rPr>
            </w:pPr>
            <w:r>
              <w:rPr>
                <w:color w:val="002053"/>
              </w:rPr>
              <w:t>●</w:t>
            </w:r>
          </w:p>
        </w:tc>
        <w:tc>
          <w:tcPr>
            <w:tcW w:w="740" w:type="dxa"/>
            <w:tcBorders>
              <w:right w:val="single" w:sz="8" w:space="0" w:color="E6F5FD"/>
            </w:tcBorders>
            <w:shd w:fill="E6F5FD" w:val="clear"/>
            <w:tcMar>
              <w:right w:w="28" w:type="dxa"/>
            </w:tcMar>
            <w:vAlign w:val="center"/>
          </w:tcPr>
          <w:p>
            <w:pPr>
              <w:pStyle w:val="TableContents"/>
              <w:bidi w:val="0"/>
              <w:spacing w:before="0" w:after="283"/>
              <w:jc w:val="center"/>
              <w:rPr>
                <w:color w:val="002053"/>
              </w:rPr>
            </w:pPr>
            <w:r>
              <w:rPr>
                <w:color w:val="002053"/>
              </w:rPr>
              <w:t>●</w:t>
            </w:r>
          </w:p>
        </w:tc>
        <w:tc>
          <w:tcPr>
            <w:tcW w:w="650" w:type="dxa"/>
            <w:tcBorders>
              <w:right w:val="single" w:sz="8" w:space="0" w:color="E6F5FD"/>
            </w:tcBorders>
            <w:shd w:fill="E6F5FD" w:val="clear"/>
            <w:tcMar>
              <w:right w:w="28" w:type="dxa"/>
            </w:tcMar>
            <w:vAlign w:val="center"/>
          </w:tcPr>
          <w:p>
            <w:pPr>
              <w:pStyle w:val="TableContents"/>
              <w:bidi w:val="0"/>
              <w:spacing w:before="0" w:after="283"/>
              <w:jc w:val="center"/>
              <w:rPr>
                <w:color w:val="002053"/>
              </w:rPr>
            </w:pPr>
            <w:r>
              <w:rPr>
                <w:color w:val="002053"/>
              </w:rPr>
              <w:t>●</w:t>
            </w:r>
          </w:p>
        </w:tc>
        <w:tc>
          <w:tcPr>
            <w:tcW w:w="650" w:type="dxa"/>
            <w:tcBorders>
              <w:right w:val="single" w:sz="8" w:space="0" w:color="E6F5FD"/>
            </w:tcBorders>
            <w:shd w:fill="E6F5FD" w:val="clear"/>
            <w:tcMar>
              <w:right w:w="28" w:type="dxa"/>
            </w:tcMar>
            <w:vAlign w:val="center"/>
          </w:tcPr>
          <w:p>
            <w:pPr>
              <w:pStyle w:val="TableContents"/>
              <w:bidi w:val="0"/>
              <w:spacing w:before="0" w:after="283"/>
              <w:jc w:val="center"/>
              <w:rPr>
                <w:color w:val="002053"/>
              </w:rPr>
            </w:pPr>
            <w:r>
              <w:rPr>
                <w:color w:val="002053"/>
              </w:rPr>
              <w:t>●</w:t>
            </w:r>
          </w:p>
        </w:tc>
        <w:tc>
          <w:tcPr>
            <w:tcW w:w="710" w:type="dxa"/>
            <w:tcBorders/>
            <w:shd w:fill="E6F5FD" w:val="clear"/>
            <w:tcMar>
              <w:top w:w="60" w:type="dxa"/>
              <w:left w:w="60" w:type="dxa"/>
              <w:bottom w:w="60" w:type="dxa"/>
              <w:right w:w="60" w:type="dxa"/>
            </w:tcMar>
            <w:vAlign w:val="center"/>
          </w:tcPr>
          <w:p>
            <w:pPr>
              <w:pStyle w:val="TableContents"/>
              <w:bidi w:val="0"/>
              <w:spacing w:before="0" w:after="283"/>
              <w:ind w:left="0" w:right="0" w:hanging="173"/>
              <w:jc w:val="center"/>
              <w:rPr>
                <w:color w:val="002053"/>
              </w:rPr>
            </w:pPr>
            <w:r>
              <w:rPr>
                <w:color w:val="002053"/>
              </w:rPr>
              <w:t>●</w:t>
            </w:r>
          </w:p>
        </w:tc>
      </w:tr>
      <w:tr>
        <w:trPr/>
        <w:tc>
          <w:tcPr>
            <w:tcW w:w="347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b/>
                <w:sz w:val="16"/>
              </w:rPr>
              <w:t>Financial Literacy</w:t>
            </w:r>
            <w:r>
              <w:rPr>
                <w:rFonts w:ascii="Arial;Helvetica;Sans-Serif" w:hAnsi="Arial;Helvetica;Sans-Serif"/>
                <w:sz w:val="16"/>
              </w:rPr>
              <w:br/>
            </w:r>
            <w:r>
              <w:rPr>
                <w:rFonts w:ascii="Arial;Helvetica;Sans-Serif" w:hAnsi="Arial;Helvetica;Sans-Serif"/>
                <w:i/>
                <w:sz w:val="16"/>
              </w:rPr>
              <w:t xml:space="preserve">(Financial Expert, Public Accounting, </w:t>
            </w:r>
            <w:r>
              <w:rPr>
                <w:rFonts w:ascii="Arial;Helvetica;Sans-Serif" w:hAnsi="Arial;Helvetica;Sans-Serif"/>
                <w:sz w:val="16"/>
              </w:rPr>
              <w:br/>
            </w:r>
            <w:r>
              <w:rPr>
                <w:rFonts w:ascii="Arial;Helvetica;Sans-Serif" w:hAnsi="Arial;Helvetica;Sans-Serif"/>
                <w:i/>
                <w:sz w:val="16"/>
              </w:rPr>
              <w:t>Financial Management, Banking)</w:t>
            </w:r>
          </w:p>
        </w:tc>
        <w:tc>
          <w:tcPr>
            <w:tcW w:w="665" w:type="dxa"/>
            <w:tcBorders>
              <w:left w:val="single" w:sz="8" w:space="0" w:color="E6F5FD"/>
              <w:right w:val="single" w:sz="8" w:space="0" w:color="E6F5FD"/>
            </w:tcBorders>
            <w:tcMar>
              <w:left w:w="28" w:type="dxa"/>
              <w:right w:w="28" w:type="dxa"/>
            </w:tcMar>
            <w:vAlign w:val="center"/>
          </w:tcPr>
          <w:p>
            <w:pPr>
              <w:pStyle w:val="TableContents"/>
              <w:bidi w:val="0"/>
              <w:spacing w:before="0" w:after="283"/>
              <w:jc w:val="center"/>
              <w:rPr>
                <w:color w:val="002053"/>
              </w:rPr>
            </w:pPr>
            <w:r>
              <w:rPr>
                <w:color w:val="002053"/>
              </w:rPr>
              <w:t>●</w:t>
            </w:r>
          </w:p>
        </w:tc>
        <w:tc>
          <w:tcPr>
            <w:tcW w:w="740" w:type="dxa"/>
            <w:tcBorders>
              <w:right w:val="single" w:sz="8" w:space="0" w:color="E6F5FD"/>
            </w:tcBorders>
            <w:tcMar>
              <w:right w:w="28" w:type="dxa"/>
            </w:tcMar>
            <w:vAlign w:val="center"/>
          </w:tcPr>
          <w:p>
            <w:pPr>
              <w:pStyle w:val="TableContents"/>
              <w:bidi w:val="0"/>
              <w:spacing w:before="0" w:after="283"/>
              <w:jc w:val="center"/>
              <w:rPr>
                <w:color w:val="002053"/>
              </w:rPr>
            </w:pPr>
            <w:r>
              <w:rPr>
                <w:color w:val="002053"/>
              </w:rPr>
              <w:t>●</w:t>
            </w:r>
          </w:p>
        </w:tc>
        <w:tc>
          <w:tcPr>
            <w:tcW w:w="785" w:type="dxa"/>
            <w:tcBorders>
              <w:right w:val="single" w:sz="8" w:space="0" w:color="E6F5FD"/>
            </w:tcBorders>
            <w:tcMar>
              <w:right w:w="28" w:type="dxa"/>
            </w:tcMar>
            <w:vAlign w:val="center"/>
          </w:tcPr>
          <w:p>
            <w:pPr>
              <w:pStyle w:val="TableContents"/>
              <w:bidi w:val="0"/>
              <w:spacing w:before="0" w:after="283"/>
              <w:jc w:val="center"/>
              <w:rPr>
                <w:color w:val="002053"/>
              </w:rPr>
            </w:pPr>
            <w:r>
              <w:rPr>
                <w:color w:val="002053"/>
              </w:rPr>
              <w:t>●</w:t>
            </w:r>
          </w:p>
        </w:tc>
        <w:tc>
          <w:tcPr>
            <w:tcW w:w="740" w:type="dxa"/>
            <w:tcBorders>
              <w:right w:val="single" w:sz="8" w:space="0" w:color="E6F5FD"/>
            </w:tcBorders>
            <w:tcMar>
              <w:right w:w="28" w:type="dxa"/>
            </w:tcMar>
            <w:vAlign w:val="center"/>
          </w:tcPr>
          <w:p>
            <w:pPr>
              <w:pStyle w:val="TableContents"/>
              <w:bidi w:val="0"/>
              <w:spacing w:before="0" w:after="283"/>
              <w:jc w:val="center"/>
              <w:rPr>
                <w:color w:val="002053"/>
              </w:rPr>
            </w:pPr>
            <w:r>
              <w:rPr>
                <w:color w:val="002053"/>
              </w:rPr>
              <w:t>●</w:t>
            </w:r>
          </w:p>
        </w:tc>
        <w:tc>
          <w:tcPr>
            <w:tcW w:w="650" w:type="dxa"/>
            <w:tcBorders>
              <w:right w:val="single" w:sz="8" w:space="0" w:color="E6F5FD"/>
            </w:tcBorders>
            <w:tcMar>
              <w:right w:w="28" w:type="dxa"/>
            </w:tcMar>
            <w:vAlign w:val="center"/>
          </w:tcPr>
          <w:p>
            <w:pPr>
              <w:pStyle w:val="TableContents"/>
              <w:bidi w:val="0"/>
              <w:spacing w:before="0" w:after="283"/>
              <w:jc w:val="center"/>
              <w:rPr>
                <w:color w:val="002053"/>
              </w:rPr>
            </w:pPr>
            <w:r>
              <w:rPr>
                <w:color w:val="002053"/>
              </w:rPr>
              <w:t>●</w:t>
            </w:r>
          </w:p>
        </w:tc>
        <w:tc>
          <w:tcPr>
            <w:tcW w:w="650" w:type="dxa"/>
            <w:tcBorders>
              <w:right w:val="single" w:sz="8" w:space="0" w:color="E6F5FD"/>
            </w:tcBorders>
            <w:tcMar>
              <w:right w:w="28" w:type="dxa"/>
            </w:tcMar>
            <w:vAlign w:val="center"/>
          </w:tcPr>
          <w:p>
            <w:pPr>
              <w:pStyle w:val="TableContents"/>
              <w:bidi w:val="0"/>
              <w:spacing w:before="0" w:after="283"/>
              <w:jc w:val="center"/>
              <w:rPr/>
            </w:pPr>
            <w:r>
              <w:rPr/>
              <w:t> </w:t>
            </w:r>
          </w:p>
        </w:tc>
        <w:tc>
          <w:tcPr>
            <w:tcW w:w="710" w:type="dxa"/>
            <w:tcBorders/>
            <w:tcMar>
              <w:top w:w="60" w:type="dxa"/>
              <w:left w:w="60" w:type="dxa"/>
              <w:bottom w:w="60" w:type="dxa"/>
              <w:right w:w="60" w:type="dxa"/>
            </w:tcMar>
            <w:vAlign w:val="center"/>
          </w:tcPr>
          <w:p>
            <w:pPr>
              <w:pStyle w:val="TableContents"/>
              <w:bidi w:val="0"/>
              <w:spacing w:before="0" w:after="283"/>
              <w:ind w:left="0" w:right="0" w:hanging="173"/>
              <w:jc w:val="center"/>
              <w:rPr>
                <w:color w:val="002053"/>
              </w:rPr>
            </w:pPr>
            <w:r>
              <w:rPr>
                <w:color w:val="002053"/>
              </w:rPr>
              <w:t>●</w:t>
            </w:r>
          </w:p>
        </w:tc>
      </w:tr>
      <w:tr>
        <w:trPr/>
        <w:tc>
          <w:tcPr>
            <w:tcW w:w="3470" w:type="dxa"/>
            <w:tcBorders/>
            <w:shd w:fill="E6F5FD"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b/>
                <w:sz w:val="16"/>
              </w:rPr>
              <w:t>Corporate Governance</w:t>
            </w:r>
            <w:r>
              <w:rPr>
                <w:rFonts w:ascii="Arial;Helvetica;Sans-Serif" w:hAnsi="Arial;Helvetica;Sans-Serif"/>
                <w:sz w:val="16"/>
              </w:rPr>
              <w:br/>
            </w:r>
            <w:r>
              <w:rPr>
                <w:rFonts w:ascii="Arial;Helvetica;Sans-Serif" w:hAnsi="Arial;Helvetica;Sans-Serif"/>
                <w:i/>
                <w:sz w:val="16"/>
              </w:rPr>
              <w:t>(Legal, Insurance)</w:t>
            </w:r>
          </w:p>
        </w:tc>
        <w:tc>
          <w:tcPr>
            <w:tcW w:w="665" w:type="dxa"/>
            <w:tcBorders>
              <w:left w:val="single" w:sz="8" w:space="0" w:color="E6F5FD"/>
              <w:right w:val="single" w:sz="8" w:space="0" w:color="E6F5FD"/>
            </w:tcBorders>
            <w:shd w:fill="E6F5FD" w:val="clear"/>
            <w:tcMar>
              <w:left w:w="28" w:type="dxa"/>
              <w:right w:w="28" w:type="dxa"/>
            </w:tcMar>
            <w:vAlign w:val="center"/>
          </w:tcPr>
          <w:p>
            <w:pPr>
              <w:pStyle w:val="TableContents"/>
              <w:bidi w:val="0"/>
              <w:spacing w:before="0" w:after="283"/>
              <w:jc w:val="center"/>
              <w:rPr/>
            </w:pPr>
            <w:r>
              <w:rPr/>
              <w:t> </w:t>
            </w:r>
          </w:p>
        </w:tc>
        <w:tc>
          <w:tcPr>
            <w:tcW w:w="740" w:type="dxa"/>
            <w:tcBorders>
              <w:right w:val="single" w:sz="8" w:space="0" w:color="E6F5FD"/>
            </w:tcBorders>
            <w:shd w:fill="E6F5FD" w:val="clear"/>
            <w:tcMar>
              <w:right w:w="28" w:type="dxa"/>
            </w:tcMar>
            <w:vAlign w:val="center"/>
          </w:tcPr>
          <w:p>
            <w:pPr>
              <w:pStyle w:val="TableContents"/>
              <w:bidi w:val="0"/>
              <w:spacing w:before="0" w:after="283"/>
              <w:jc w:val="center"/>
              <w:rPr>
                <w:color w:val="002053"/>
              </w:rPr>
            </w:pPr>
            <w:r>
              <w:rPr>
                <w:color w:val="002053"/>
              </w:rPr>
              <w:t>●</w:t>
            </w:r>
          </w:p>
        </w:tc>
        <w:tc>
          <w:tcPr>
            <w:tcW w:w="785" w:type="dxa"/>
            <w:tcBorders>
              <w:right w:val="single" w:sz="8" w:space="0" w:color="E6F5FD"/>
            </w:tcBorders>
            <w:shd w:fill="E6F5FD" w:val="clear"/>
            <w:tcMar>
              <w:right w:w="28" w:type="dxa"/>
            </w:tcMar>
            <w:vAlign w:val="center"/>
          </w:tcPr>
          <w:p>
            <w:pPr>
              <w:pStyle w:val="TableContents"/>
              <w:bidi w:val="0"/>
              <w:spacing w:before="0" w:after="283"/>
              <w:jc w:val="center"/>
              <w:rPr/>
            </w:pPr>
            <w:r>
              <w:rPr/>
              <w:t> </w:t>
            </w:r>
          </w:p>
        </w:tc>
        <w:tc>
          <w:tcPr>
            <w:tcW w:w="740" w:type="dxa"/>
            <w:tcBorders>
              <w:right w:val="single" w:sz="8" w:space="0" w:color="E6F5FD"/>
            </w:tcBorders>
            <w:shd w:fill="E6F5FD" w:val="clear"/>
            <w:tcMar>
              <w:right w:w="28" w:type="dxa"/>
            </w:tcMar>
            <w:vAlign w:val="center"/>
          </w:tcPr>
          <w:p>
            <w:pPr>
              <w:pStyle w:val="TableContents"/>
              <w:bidi w:val="0"/>
              <w:spacing w:before="0" w:after="283"/>
              <w:jc w:val="center"/>
              <w:rPr>
                <w:color w:val="002053"/>
              </w:rPr>
            </w:pPr>
            <w:r>
              <w:rPr>
                <w:color w:val="002053"/>
              </w:rPr>
              <w:t>●</w:t>
            </w:r>
          </w:p>
        </w:tc>
        <w:tc>
          <w:tcPr>
            <w:tcW w:w="650" w:type="dxa"/>
            <w:tcBorders>
              <w:right w:val="single" w:sz="8" w:space="0" w:color="E6F5FD"/>
            </w:tcBorders>
            <w:shd w:fill="E6F5FD" w:val="clear"/>
            <w:tcMar>
              <w:right w:w="28" w:type="dxa"/>
            </w:tcMar>
            <w:vAlign w:val="center"/>
          </w:tcPr>
          <w:p>
            <w:pPr>
              <w:pStyle w:val="TableContents"/>
              <w:bidi w:val="0"/>
              <w:spacing w:before="0" w:after="283"/>
              <w:jc w:val="center"/>
              <w:rPr>
                <w:color w:val="002053"/>
              </w:rPr>
            </w:pPr>
            <w:r>
              <w:rPr>
                <w:color w:val="002053"/>
              </w:rPr>
              <w:t>●</w:t>
            </w:r>
          </w:p>
        </w:tc>
        <w:tc>
          <w:tcPr>
            <w:tcW w:w="650" w:type="dxa"/>
            <w:tcBorders>
              <w:right w:val="single" w:sz="8" w:space="0" w:color="E6F5FD"/>
            </w:tcBorders>
            <w:shd w:fill="E6F5FD" w:val="clear"/>
            <w:tcMar>
              <w:right w:w="28" w:type="dxa"/>
            </w:tcMar>
            <w:vAlign w:val="center"/>
          </w:tcPr>
          <w:p>
            <w:pPr>
              <w:pStyle w:val="TableContents"/>
              <w:bidi w:val="0"/>
              <w:spacing w:before="0" w:after="283"/>
              <w:jc w:val="center"/>
              <w:rPr>
                <w:color w:val="002053"/>
              </w:rPr>
            </w:pPr>
            <w:r>
              <w:rPr>
                <w:color w:val="002053"/>
              </w:rPr>
              <w:t>●</w:t>
            </w:r>
          </w:p>
        </w:tc>
        <w:tc>
          <w:tcPr>
            <w:tcW w:w="710" w:type="dxa"/>
            <w:tcBorders/>
            <w:shd w:fill="E6F5FD" w:val="clear"/>
            <w:tcMar>
              <w:top w:w="60" w:type="dxa"/>
              <w:left w:w="60" w:type="dxa"/>
              <w:bottom w:w="60" w:type="dxa"/>
              <w:right w:w="60" w:type="dxa"/>
            </w:tcMar>
            <w:vAlign w:val="center"/>
          </w:tcPr>
          <w:p>
            <w:pPr>
              <w:pStyle w:val="TableContents"/>
              <w:bidi w:val="0"/>
              <w:spacing w:before="0" w:after="283"/>
              <w:ind w:left="0" w:right="0" w:hanging="173"/>
              <w:jc w:val="center"/>
              <w:rPr>
                <w:color w:val="002053"/>
              </w:rPr>
            </w:pPr>
            <w:r>
              <w:rPr>
                <w:color w:val="002053"/>
              </w:rPr>
              <w:t>●</w:t>
            </w:r>
          </w:p>
        </w:tc>
      </w:tr>
      <w:tr>
        <w:trPr/>
        <w:tc>
          <w:tcPr>
            <w:tcW w:w="347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b/>
                <w:sz w:val="16"/>
              </w:rPr>
              <w:t>Global Business Background</w:t>
            </w:r>
            <w:r>
              <w:rPr>
                <w:rFonts w:ascii="Arial;Helvetica;Sans-Serif" w:hAnsi="Arial;Helvetica;Sans-Serif"/>
                <w:sz w:val="16"/>
              </w:rPr>
              <w:br/>
            </w:r>
            <w:r>
              <w:rPr>
                <w:rFonts w:ascii="Arial;Helvetica;Sans-Serif" w:hAnsi="Arial;Helvetica;Sans-Serif"/>
                <w:i/>
                <w:sz w:val="16"/>
              </w:rPr>
              <w:t xml:space="preserve">(Experience &amp; exposure to </w:t>
            </w:r>
            <w:r>
              <w:rPr>
                <w:rFonts w:ascii="Arial;Helvetica;Sans-Serif" w:hAnsi="Arial;Helvetica;Sans-Serif"/>
                <w:sz w:val="16"/>
              </w:rPr>
              <w:br/>
            </w:r>
            <w:r>
              <w:rPr>
                <w:rFonts w:ascii="Arial;Helvetica;Sans-Serif" w:hAnsi="Arial;Helvetica;Sans-Serif"/>
                <w:i/>
                <w:sz w:val="16"/>
              </w:rPr>
              <w:t>markets outside of the U.S.)</w:t>
            </w:r>
          </w:p>
        </w:tc>
        <w:tc>
          <w:tcPr>
            <w:tcW w:w="665" w:type="dxa"/>
            <w:tcBorders>
              <w:left w:val="single" w:sz="8" w:space="0" w:color="E6F5FD"/>
              <w:right w:val="single" w:sz="8" w:space="0" w:color="E6F5FD"/>
            </w:tcBorders>
            <w:tcMar>
              <w:left w:w="28" w:type="dxa"/>
              <w:right w:w="28" w:type="dxa"/>
            </w:tcMar>
            <w:vAlign w:val="center"/>
          </w:tcPr>
          <w:p>
            <w:pPr>
              <w:pStyle w:val="TableContents"/>
              <w:bidi w:val="0"/>
              <w:spacing w:before="0" w:after="283"/>
              <w:jc w:val="center"/>
              <w:rPr>
                <w:color w:val="002053"/>
              </w:rPr>
            </w:pPr>
            <w:r>
              <w:rPr>
                <w:color w:val="002053"/>
              </w:rPr>
              <w:t>●</w:t>
            </w:r>
          </w:p>
        </w:tc>
        <w:tc>
          <w:tcPr>
            <w:tcW w:w="740" w:type="dxa"/>
            <w:tcBorders>
              <w:right w:val="single" w:sz="8" w:space="0" w:color="E6F5FD"/>
            </w:tcBorders>
            <w:tcMar>
              <w:right w:w="28" w:type="dxa"/>
            </w:tcMar>
            <w:vAlign w:val="center"/>
          </w:tcPr>
          <w:p>
            <w:pPr>
              <w:pStyle w:val="TableContents"/>
              <w:bidi w:val="0"/>
              <w:spacing w:before="0" w:after="283"/>
              <w:jc w:val="center"/>
              <w:rPr>
                <w:color w:val="002053"/>
              </w:rPr>
            </w:pPr>
            <w:r>
              <w:rPr>
                <w:color w:val="002053"/>
              </w:rPr>
              <w:t>●</w:t>
            </w:r>
          </w:p>
        </w:tc>
        <w:tc>
          <w:tcPr>
            <w:tcW w:w="785" w:type="dxa"/>
            <w:tcBorders>
              <w:right w:val="single" w:sz="8" w:space="0" w:color="E6F5FD"/>
            </w:tcBorders>
            <w:tcMar>
              <w:right w:w="28" w:type="dxa"/>
            </w:tcMar>
            <w:vAlign w:val="center"/>
          </w:tcPr>
          <w:p>
            <w:pPr>
              <w:pStyle w:val="TableContents"/>
              <w:bidi w:val="0"/>
              <w:spacing w:before="0" w:after="283"/>
              <w:jc w:val="center"/>
              <w:rPr/>
            </w:pPr>
            <w:r>
              <w:rPr/>
              <w:t> </w:t>
            </w:r>
          </w:p>
        </w:tc>
        <w:tc>
          <w:tcPr>
            <w:tcW w:w="740" w:type="dxa"/>
            <w:tcBorders>
              <w:right w:val="single" w:sz="8" w:space="0" w:color="E6F5FD"/>
            </w:tcBorders>
            <w:tcMar>
              <w:right w:w="28" w:type="dxa"/>
            </w:tcMar>
            <w:vAlign w:val="center"/>
          </w:tcPr>
          <w:p>
            <w:pPr>
              <w:pStyle w:val="TableContents"/>
              <w:bidi w:val="0"/>
              <w:spacing w:before="0" w:after="283"/>
              <w:jc w:val="center"/>
              <w:rPr/>
            </w:pPr>
            <w:r>
              <w:rPr/>
              <w:t> </w:t>
            </w:r>
          </w:p>
        </w:tc>
        <w:tc>
          <w:tcPr>
            <w:tcW w:w="650" w:type="dxa"/>
            <w:tcBorders>
              <w:right w:val="single" w:sz="8" w:space="0" w:color="E6F5FD"/>
            </w:tcBorders>
            <w:tcMar>
              <w:right w:w="28" w:type="dxa"/>
            </w:tcMar>
            <w:vAlign w:val="center"/>
          </w:tcPr>
          <w:p>
            <w:pPr>
              <w:pStyle w:val="TableContents"/>
              <w:bidi w:val="0"/>
              <w:spacing w:before="0" w:after="283"/>
              <w:jc w:val="center"/>
              <w:rPr>
                <w:color w:val="002053"/>
              </w:rPr>
            </w:pPr>
            <w:r>
              <w:rPr>
                <w:color w:val="002053"/>
              </w:rPr>
              <w:t>●</w:t>
            </w:r>
          </w:p>
        </w:tc>
        <w:tc>
          <w:tcPr>
            <w:tcW w:w="650" w:type="dxa"/>
            <w:tcBorders>
              <w:right w:val="single" w:sz="8" w:space="0" w:color="E6F5FD"/>
            </w:tcBorders>
            <w:tcMar>
              <w:right w:w="28" w:type="dxa"/>
            </w:tcMar>
            <w:vAlign w:val="center"/>
          </w:tcPr>
          <w:p>
            <w:pPr>
              <w:pStyle w:val="TableContents"/>
              <w:bidi w:val="0"/>
              <w:spacing w:before="0" w:after="283"/>
              <w:jc w:val="center"/>
              <w:rPr/>
            </w:pPr>
            <w:r>
              <w:rPr/>
              <w:t> </w:t>
            </w:r>
          </w:p>
        </w:tc>
        <w:tc>
          <w:tcPr>
            <w:tcW w:w="710" w:type="dxa"/>
            <w:tcBorders/>
            <w:tcMar>
              <w:top w:w="60" w:type="dxa"/>
              <w:left w:w="60" w:type="dxa"/>
              <w:bottom w:w="60" w:type="dxa"/>
              <w:right w:w="60" w:type="dxa"/>
            </w:tcMar>
            <w:vAlign w:val="center"/>
          </w:tcPr>
          <w:p>
            <w:pPr>
              <w:pStyle w:val="TableContents"/>
              <w:bidi w:val="0"/>
              <w:spacing w:before="0" w:after="283"/>
              <w:ind w:left="0" w:right="0" w:hanging="173"/>
              <w:jc w:val="center"/>
              <w:rPr/>
            </w:pPr>
            <w:r>
              <w:rPr/>
              <w:t> </w:t>
            </w:r>
          </w:p>
        </w:tc>
      </w:tr>
      <w:tr>
        <w:trPr/>
        <w:tc>
          <w:tcPr>
            <w:tcW w:w="3470" w:type="dxa"/>
            <w:tcBorders/>
            <w:shd w:fill="E6F5FD"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Public Company Board Service</w:t>
            </w:r>
          </w:p>
        </w:tc>
        <w:tc>
          <w:tcPr>
            <w:tcW w:w="665" w:type="dxa"/>
            <w:tcBorders>
              <w:left w:val="single" w:sz="8" w:space="0" w:color="E6F5FD"/>
              <w:right w:val="single" w:sz="8" w:space="0" w:color="E6F5FD"/>
            </w:tcBorders>
            <w:shd w:fill="E6F5FD" w:val="clear"/>
            <w:tcMar>
              <w:left w:w="28" w:type="dxa"/>
              <w:right w:w="28" w:type="dxa"/>
            </w:tcMar>
            <w:vAlign w:val="center"/>
          </w:tcPr>
          <w:p>
            <w:pPr>
              <w:pStyle w:val="TableContents"/>
              <w:bidi w:val="0"/>
              <w:spacing w:before="0" w:after="283"/>
              <w:jc w:val="center"/>
              <w:rPr>
                <w:color w:val="002053"/>
              </w:rPr>
            </w:pPr>
            <w:r>
              <w:rPr>
                <w:color w:val="002053"/>
              </w:rPr>
              <w:t>●</w:t>
            </w:r>
          </w:p>
        </w:tc>
        <w:tc>
          <w:tcPr>
            <w:tcW w:w="740" w:type="dxa"/>
            <w:tcBorders>
              <w:right w:val="single" w:sz="8" w:space="0" w:color="E6F5FD"/>
            </w:tcBorders>
            <w:shd w:fill="E6F5FD" w:val="clear"/>
            <w:tcMar>
              <w:right w:w="28" w:type="dxa"/>
            </w:tcMar>
            <w:vAlign w:val="center"/>
          </w:tcPr>
          <w:p>
            <w:pPr>
              <w:pStyle w:val="TableContents"/>
              <w:bidi w:val="0"/>
              <w:spacing w:before="0" w:after="283"/>
              <w:jc w:val="center"/>
              <w:rPr>
                <w:color w:val="002053"/>
              </w:rPr>
            </w:pPr>
            <w:r>
              <w:rPr>
                <w:color w:val="002053"/>
              </w:rPr>
              <w:t>●</w:t>
            </w:r>
          </w:p>
        </w:tc>
        <w:tc>
          <w:tcPr>
            <w:tcW w:w="785" w:type="dxa"/>
            <w:tcBorders>
              <w:right w:val="single" w:sz="8" w:space="0" w:color="E6F5FD"/>
            </w:tcBorders>
            <w:shd w:fill="E6F5FD" w:val="clear"/>
            <w:tcMar>
              <w:right w:w="28" w:type="dxa"/>
            </w:tcMar>
            <w:vAlign w:val="center"/>
          </w:tcPr>
          <w:p>
            <w:pPr>
              <w:pStyle w:val="TableContents"/>
              <w:bidi w:val="0"/>
              <w:spacing w:before="0" w:after="283"/>
              <w:jc w:val="center"/>
              <w:rPr/>
            </w:pPr>
            <w:r>
              <w:rPr/>
              <w:t> </w:t>
            </w:r>
          </w:p>
        </w:tc>
        <w:tc>
          <w:tcPr>
            <w:tcW w:w="740" w:type="dxa"/>
            <w:tcBorders>
              <w:right w:val="single" w:sz="8" w:space="0" w:color="E6F5FD"/>
            </w:tcBorders>
            <w:shd w:fill="E6F5FD" w:val="clear"/>
            <w:tcMar>
              <w:right w:w="28" w:type="dxa"/>
            </w:tcMar>
            <w:vAlign w:val="center"/>
          </w:tcPr>
          <w:p>
            <w:pPr>
              <w:pStyle w:val="TableContents"/>
              <w:bidi w:val="0"/>
              <w:spacing w:before="0" w:after="283"/>
              <w:jc w:val="center"/>
              <w:rPr>
                <w:color w:val="002053"/>
              </w:rPr>
            </w:pPr>
            <w:r>
              <w:rPr>
                <w:color w:val="002053"/>
              </w:rPr>
              <w:t>●</w:t>
            </w:r>
          </w:p>
        </w:tc>
        <w:tc>
          <w:tcPr>
            <w:tcW w:w="650" w:type="dxa"/>
            <w:tcBorders>
              <w:right w:val="single" w:sz="8" w:space="0" w:color="E6F5FD"/>
            </w:tcBorders>
            <w:shd w:fill="E6F5FD" w:val="clear"/>
            <w:tcMar>
              <w:right w:w="28" w:type="dxa"/>
            </w:tcMar>
            <w:vAlign w:val="center"/>
          </w:tcPr>
          <w:p>
            <w:pPr>
              <w:pStyle w:val="TableContents"/>
              <w:bidi w:val="0"/>
              <w:spacing w:before="0" w:after="283"/>
              <w:jc w:val="center"/>
              <w:rPr>
                <w:color w:val="002053"/>
              </w:rPr>
            </w:pPr>
            <w:r>
              <w:rPr>
                <w:color w:val="002053"/>
              </w:rPr>
              <w:t>●</w:t>
            </w:r>
          </w:p>
        </w:tc>
        <w:tc>
          <w:tcPr>
            <w:tcW w:w="650" w:type="dxa"/>
            <w:tcBorders>
              <w:right w:val="single" w:sz="8" w:space="0" w:color="E6F5FD"/>
            </w:tcBorders>
            <w:shd w:fill="E6F5FD" w:val="clear"/>
            <w:tcMar>
              <w:right w:w="28" w:type="dxa"/>
            </w:tcMar>
            <w:vAlign w:val="center"/>
          </w:tcPr>
          <w:p>
            <w:pPr>
              <w:pStyle w:val="TableContents"/>
              <w:bidi w:val="0"/>
              <w:spacing w:before="0" w:after="283"/>
              <w:jc w:val="center"/>
              <w:rPr>
                <w:color w:val="002053"/>
              </w:rPr>
            </w:pPr>
            <w:r>
              <w:rPr>
                <w:color w:val="002053"/>
              </w:rPr>
              <w:t>●</w:t>
            </w:r>
          </w:p>
        </w:tc>
        <w:tc>
          <w:tcPr>
            <w:tcW w:w="710" w:type="dxa"/>
            <w:tcBorders/>
            <w:shd w:fill="E6F5FD" w:val="clear"/>
            <w:tcMar>
              <w:top w:w="60" w:type="dxa"/>
              <w:left w:w="60" w:type="dxa"/>
              <w:bottom w:w="60" w:type="dxa"/>
              <w:right w:w="60" w:type="dxa"/>
            </w:tcMar>
            <w:vAlign w:val="center"/>
          </w:tcPr>
          <w:p>
            <w:pPr>
              <w:pStyle w:val="TableContents"/>
              <w:bidi w:val="0"/>
              <w:spacing w:before="0" w:after="283"/>
              <w:ind w:left="0" w:right="0" w:hanging="173"/>
              <w:jc w:val="center"/>
              <w:rPr>
                <w:color w:val="002053"/>
              </w:rPr>
            </w:pPr>
            <w:r>
              <w:rPr>
                <w:color w:val="002053"/>
              </w:rPr>
              <w:t>●</w:t>
            </w:r>
          </w:p>
        </w:tc>
      </w:tr>
      <w:tr>
        <w:trPr/>
        <w:tc>
          <w:tcPr>
            <w:tcW w:w="3470" w:type="dxa"/>
            <w:tcBorders/>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C-Suite &amp; Senior Management Leadership</w:t>
            </w:r>
          </w:p>
        </w:tc>
        <w:tc>
          <w:tcPr>
            <w:tcW w:w="665" w:type="dxa"/>
            <w:tcBorders>
              <w:left w:val="single" w:sz="8" w:space="0" w:color="E6F5FD"/>
              <w:right w:val="single" w:sz="8" w:space="0" w:color="E6F5FD"/>
            </w:tcBorders>
            <w:tcMar>
              <w:left w:w="28" w:type="dxa"/>
              <w:right w:w="28" w:type="dxa"/>
            </w:tcMar>
            <w:vAlign w:val="center"/>
          </w:tcPr>
          <w:p>
            <w:pPr>
              <w:pStyle w:val="TableContents"/>
              <w:bidi w:val="0"/>
              <w:spacing w:before="0" w:after="283"/>
              <w:jc w:val="center"/>
              <w:rPr/>
            </w:pPr>
            <w:r>
              <w:rPr/>
              <w:t> </w:t>
            </w:r>
          </w:p>
        </w:tc>
        <w:tc>
          <w:tcPr>
            <w:tcW w:w="740" w:type="dxa"/>
            <w:tcBorders>
              <w:right w:val="single" w:sz="8" w:space="0" w:color="E6F5FD"/>
            </w:tcBorders>
            <w:tcMar>
              <w:right w:w="28" w:type="dxa"/>
            </w:tcMar>
            <w:vAlign w:val="center"/>
          </w:tcPr>
          <w:p>
            <w:pPr>
              <w:pStyle w:val="TableContents"/>
              <w:bidi w:val="0"/>
              <w:spacing w:before="0" w:after="283"/>
              <w:jc w:val="center"/>
              <w:rPr>
                <w:color w:val="002053"/>
              </w:rPr>
            </w:pPr>
            <w:r>
              <w:rPr>
                <w:color w:val="002053"/>
              </w:rPr>
              <w:t>●</w:t>
            </w:r>
          </w:p>
        </w:tc>
        <w:tc>
          <w:tcPr>
            <w:tcW w:w="785" w:type="dxa"/>
            <w:tcBorders>
              <w:right w:val="single" w:sz="8" w:space="0" w:color="E6F5FD"/>
            </w:tcBorders>
            <w:tcMar>
              <w:right w:w="28" w:type="dxa"/>
            </w:tcMar>
            <w:vAlign w:val="center"/>
          </w:tcPr>
          <w:p>
            <w:pPr>
              <w:pStyle w:val="TableContents"/>
              <w:bidi w:val="0"/>
              <w:spacing w:before="0" w:after="283"/>
              <w:jc w:val="center"/>
              <w:rPr>
                <w:color w:val="002053"/>
              </w:rPr>
            </w:pPr>
            <w:r>
              <w:rPr>
                <w:color w:val="002053"/>
              </w:rPr>
              <w:t>●</w:t>
            </w:r>
          </w:p>
        </w:tc>
        <w:tc>
          <w:tcPr>
            <w:tcW w:w="740" w:type="dxa"/>
            <w:tcBorders>
              <w:right w:val="single" w:sz="8" w:space="0" w:color="E6F5FD"/>
            </w:tcBorders>
            <w:tcMar>
              <w:right w:w="28" w:type="dxa"/>
            </w:tcMar>
            <w:vAlign w:val="center"/>
          </w:tcPr>
          <w:p>
            <w:pPr>
              <w:pStyle w:val="TableContents"/>
              <w:bidi w:val="0"/>
              <w:spacing w:before="0" w:after="283"/>
              <w:jc w:val="center"/>
              <w:rPr>
                <w:color w:val="002053"/>
              </w:rPr>
            </w:pPr>
            <w:r>
              <w:rPr>
                <w:color w:val="002053"/>
              </w:rPr>
              <w:t>●</w:t>
            </w:r>
          </w:p>
        </w:tc>
        <w:tc>
          <w:tcPr>
            <w:tcW w:w="650" w:type="dxa"/>
            <w:tcBorders>
              <w:right w:val="single" w:sz="8" w:space="0" w:color="E6F5FD"/>
            </w:tcBorders>
            <w:tcMar>
              <w:right w:w="28" w:type="dxa"/>
            </w:tcMar>
            <w:vAlign w:val="center"/>
          </w:tcPr>
          <w:p>
            <w:pPr>
              <w:pStyle w:val="TableContents"/>
              <w:bidi w:val="0"/>
              <w:spacing w:before="0" w:after="283"/>
              <w:jc w:val="center"/>
              <w:rPr>
                <w:color w:val="002053"/>
              </w:rPr>
            </w:pPr>
            <w:r>
              <w:rPr>
                <w:color w:val="002053"/>
              </w:rPr>
              <w:t>●</w:t>
            </w:r>
          </w:p>
        </w:tc>
        <w:tc>
          <w:tcPr>
            <w:tcW w:w="650" w:type="dxa"/>
            <w:tcBorders>
              <w:right w:val="single" w:sz="8" w:space="0" w:color="E6F5FD"/>
            </w:tcBorders>
            <w:tcMar>
              <w:right w:w="28" w:type="dxa"/>
            </w:tcMar>
            <w:vAlign w:val="center"/>
          </w:tcPr>
          <w:p>
            <w:pPr>
              <w:pStyle w:val="TableContents"/>
              <w:bidi w:val="0"/>
              <w:spacing w:before="0" w:after="283"/>
              <w:jc w:val="center"/>
              <w:rPr>
                <w:color w:val="002053"/>
              </w:rPr>
            </w:pPr>
            <w:r>
              <w:rPr>
                <w:color w:val="002053"/>
              </w:rPr>
              <w:t>●</w:t>
            </w:r>
          </w:p>
        </w:tc>
        <w:tc>
          <w:tcPr>
            <w:tcW w:w="710" w:type="dxa"/>
            <w:tcBorders/>
            <w:tcMar>
              <w:top w:w="60" w:type="dxa"/>
              <w:left w:w="60" w:type="dxa"/>
              <w:bottom w:w="60" w:type="dxa"/>
              <w:right w:w="60" w:type="dxa"/>
            </w:tcMar>
            <w:vAlign w:val="center"/>
          </w:tcPr>
          <w:p>
            <w:pPr>
              <w:pStyle w:val="TableContents"/>
              <w:bidi w:val="0"/>
              <w:spacing w:before="0" w:after="283"/>
              <w:ind w:left="0" w:right="0" w:hanging="173"/>
              <w:jc w:val="center"/>
              <w:rPr>
                <w:color w:val="002053"/>
              </w:rPr>
            </w:pPr>
            <w:r>
              <w:rPr>
                <w:color w:val="002053"/>
              </w:rPr>
              <w:t>●</w:t>
            </w:r>
          </w:p>
        </w:tc>
      </w:tr>
      <w:tr>
        <w:trPr/>
        <w:tc>
          <w:tcPr>
            <w:tcW w:w="3470" w:type="dxa"/>
            <w:tcBorders/>
            <w:shd w:fill="E6F5FD"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b/>
                <w:sz w:val="16"/>
              </w:rPr>
              <w:t>Industry Background</w:t>
            </w:r>
            <w:r>
              <w:rPr>
                <w:rFonts w:ascii="Arial;Helvetica;Sans-Serif" w:hAnsi="Arial;Helvetica;Sans-Serif"/>
                <w:sz w:val="16"/>
              </w:rPr>
              <w:br/>
            </w:r>
            <w:r>
              <w:rPr>
                <w:rFonts w:ascii="Arial;Helvetica;Sans-Serif" w:hAnsi="Arial;Helvetica;Sans-Serif"/>
                <w:i/>
                <w:sz w:val="16"/>
              </w:rPr>
              <w:t>(Agriculture, Water Rights, Real Estate)</w:t>
            </w:r>
          </w:p>
        </w:tc>
        <w:tc>
          <w:tcPr>
            <w:tcW w:w="665" w:type="dxa"/>
            <w:tcBorders>
              <w:left w:val="single" w:sz="8" w:space="0" w:color="E6F5FD"/>
              <w:right w:val="single" w:sz="8" w:space="0" w:color="E6F5FD"/>
            </w:tcBorders>
            <w:shd w:fill="E6F5FD" w:val="clear"/>
            <w:tcMar>
              <w:left w:w="28" w:type="dxa"/>
              <w:right w:w="28" w:type="dxa"/>
            </w:tcMar>
            <w:vAlign w:val="center"/>
          </w:tcPr>
          <w:p>
            <w:pPr>
              <w:pStyle w:val="TableContents"/>
              <w:bidi w:val="0"/>
              <w:spacing w:before="0" w:after="283"/>
              <w:jc w:val="center"/>
              <w:rPr/>
            </w:pPr>
            <w:r>
              <w:rPr/>
              <w:t> </w:t>
            </w:r>
          </w:p>
        </w:tc>
        <w:tc>
          <w:tcPr>
            <w:tcW w:w="740" w:type="dxa"/>
            <w:tcBorders>
              <w:right w:val="single" w:sz="8" w:space="0" w:color="E6F5FD"/>
            </w:tcBorders>
            <w:shd w:fill="E6F5FD" w:val="clear"/>
            <w:tcMar>
              <w:right w:w="28" w:type="dxa"/>
            </w:tcMar>
            <w:vAlign w:val="center"/>
          </w:tcPr>
          <w:p>
            <w:pPr>
              <w:pStyle w:val="TableContents"/>
              <w:bidi w:val="0"/>
              <w:spacing w:before="0" w:after="283"/>
              <w:jc w:val="center"/>
              <w:rPr>
                <w:color w:val="002053"/>
              </w:rPr>
            </w:pPr>
            <w:r>
              <w:rPr>
                <w:color w:val="002053"/>
              </w:rPr>
              <w:t>●</w:t>
            </w:r>
          </w:p>
        </w:tc>
        <w:tc>
          <w:tcPr>
            <w:tcW w:w="785" w:type="dxa"/>
            <w:tcBorders>
              <w:right w:val="single" w:sz="8" w:space="0" w:color="E6F5FD"/>
            </w:tcBorders>
            <w:shd w:fill="E6F5FD" w:val="clear"/>
            <w:tcMar>
              <w:right w:w="28" w:type="dxa"/>
            </w:tcMar>
            <w:vAlign w:val="center"/>
          </w:tcPr>
          <w:p>
            <w:pPr>
              <w:pStyle w:val="TableContents"/>
              <w:bidi w:val="0"/>
              <w:spacing w:before="0" w:after="283"/>
              <w:jc w:val="center"/>
              <w:rPr>
                <w:color w:val="002053"/>
              </w:rPr>
            </w:pPr>
            <w:r>
              <w:rPr>
                <w:color w:val="002053"/>
              </w:rPr>
              <w:t>●</w:t>
            </w:r>
          </w:p>
        </w:tc>
        <w:tc>
          <w:tcPr>
            <w:tcW w:w="740" w:type="dxa"/>
            <w:tcBorders>
              <w:right w:val="single" w:sz="8" w:space="0" w:color="E6F5FD"/>
            </w:tcBorders>
            <w:shd w:fill="E6F5FD" w:val="clear"/>
            <w:tcMar>
              <w:right w:w="28" w:type="dxa"/>
            </w:tcMar>
            <w:vAlign w:val="center"/>
          </w:tcPr>
          <w:p>
            <w:pPr>
              <w:pStyle w:val="TableContents"/>
              <w:bidi w:val="0"/>
              <w:spacing w:before="0" w:after="283"/>
              <w:jc w:val="center"/>
              <w:rPr/>
            </w:pPr>
            <w:r>
              <w:rPr/>
              <w:t> </w:t>
            </w:r>
          </w:p>
        </w:tc>
        <w:tc>
          <w:tcPr>
            <w:tcW w:w="650" w:type="dxa"/>
            <w:tcBorders>
              <w:right w:val="single" w:sz="8" w:space="0" w:color="E6F5FD"/>
            </w:tcBorders>
            <w:shd w:fill="E6F5FD" w:val="clear"/>
            <w:tcMar>
              <w:right w:w="28" w:type="dxa"/>
            </w:tcMar>
            <w:vAlign w:val="center"/>
          </w:tcPr>
          <w:p>
            <w:pPr>
              <w:pStyle w:val="TableContents"/>
              <w:bidi w:val="0"/>
              <w:spacing w:before="0" w:after="283"/>
              <w:jc w:val="center"/>
              <w:rPr>
                <w:color w:val="002053"/>
              </w:rPr>
            </w:pPr>
            <w:r>
              <w:rPr>
                <w:color w:val="002053"/>
              </w:rPr>
              <w:t>●</w:t>
            </w:r>
          </w:p>
        </w:tc>
        <w:tc>
          <w:tcPr>
            <w:tcW w:w="650" w:type="dxa"/>
            <w:tcBorders>
              <w:right w:val="single" w:sz="8" w:space="0" w:color="E6F5FD"/>
            </w:tcBorders>
            <w:shd w:fill="E6F5FD" w:val="clear"/>
            <w:tcMar>
              <w:right w:w="28" w:type="dxa"/>
            </w:tcMar>
            <w:vAlign w:val="center"/>
          </w:tcPr>
          <w:p>
            <w:pPr>
              <w:pStyle w:val="TableContents"/>
              <w:bidi w:val="0"/>
              <w:spacing w:before="0" w:after="283"/>
              <w:jc w:val="center"/>
              <w:rPr>
                <w:color w:val="002053"/>
              </w:rPr>
            </w:pPr>
            <w:r>
              <w:rPr>
                <w:color w:val="002053"/>
              </w:rPr>
              <w:t>●</w:t>
            </w:r>
          </w:p>
        </w:tc>
        <w:tc>
          <w:tcPr>
            <w:tcW w:w="710" w:type="dxa"/>
            <w:tcBorders/>
            <w:shd w:fill="E6F5FD" w:val="clear"/>
            <w:tcMar>
              <w:top w:w="60" w:type="dxa"/>
              <w:left w:w="60" w:type="dxa"/>
              <w:bottom w:w="60" w:type="dxa"/>
              <w:right w:w="60" w:type="dxa"/>
            </w:tcMar>
            <w:vAlign w:val="center"/>
          </w:tcPr>
          <w:p>
            <w:pPr>
              <w:pStyle w:val="TableContents"/>
              <w:bidi w:val="0"/>
              <w:spacing w:before="0" w:after="283"/>
              <w:ind w:left="0" w:right="0" w:hanging="173"/>
              <w:jc w:val="center"/>
              <w:rPr>
                <w:color w:val="002053"/>
              </w:rPr>
            </w:pPr>
            <w:r>
              <w:rPr>
                <w:color w:val="002053"/>
              </w:rPr>
              <w:t>●</w:t>
            </w:r>
          </w:p>
        </w:tc>
      </w:tr>
      <w:tr>
        <w:trPr/>
        <w:tc>
          <w:tcPr>
            <w:tcW w:w="347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b/>
                <w:sz w:val="16"/>
              </w:rPr>
              <w:t>Technology</w:t>
            </w:r>
            <w:r>
              <w:rPr>
                <w:rFonts w:ascii="Arial;Helvetica;Sans-Serif" w:hAnsi="Arial;Helvetica;Sans-Serif"/>
                <w:sz w:val="16"/>
              </w:rPr>
              <w:br/>
            </w:r>
            <w:r>
              <w:rPr>
                <w:rFonts w:ascii="Arial;Helvetica;Sans-Serif" w:hAnsi="Arial;Helvetica;Sans-Serif"/>
                <w:i/>
                <w:sz w:val="16"/>
              </w:rPr>
              <w:t>(Software, Cybersecurity, ERM)</w:t>
            </w:r>
          </w:p>
        </w:tc>
        <w:tc>
          <w:tcPr>
            <w:tcW w:w="665" w:type="dxa"/>
            <w:tcBorders>
              <w:left w:val="single" w:sz="8" w:space="0" w:color="E6F5FD"/>
              <w:right w:val="single" w:sz="8" w:space="0" w:color="E6F5FD"/>
            </w:tcBorders>
            <w:tcMar>
              <w:left w:w="28" w:type="dxa"/>
              <w:right w:w="28" w:type="dxa"/>
            </w:tcMar>
            <w:vAlign w:val="center"/>
          </w:tcPr>
          <w:p>
            <w:pPr>
              <w:pStyle w:val="TableContents"/>
              <w:bidi w:val="0"/>
              <w:spacing w:before="0" w:after="283"/>
              <w:jc w:val="center"/>
              <w:rPr/>
            </w:pPr>
            <w:r>
              <w:rPr/>
              <w:t> </w:t>
            </w:r>
          </w:p>
        </w:tc>
        <w:tc>
          <w:tcPr>
            <w:tcW w:w="740" w:type="dxa"/>
            <w:tcBorders>
              <w:right w:val="single" w:sz="8" w:space="0" w:color="E6F5FD"/>
            </w:tcBorders>
            <w:tcMar>
              <w:right w:w="28" w:type="dxa"/>
            </w:tcMar>
            <w:vAlign w:val="center"/>
          </w:tcPr>
          <w:p>
            <w:pPr>
              <w:pStyle w:val="TableContents"/>
              <w:bidi w:val="0"/>
              <w:spacing w:before="0" w:after="283"/>
              <w:jc w:val="center"/>
              <w:rPr>
                <w:color w:val="002053"/>
              </w:rPr>
            </w:pPr>
            <w:r>
              <w:rPr>
                <w:color w:val="002053"/>
              </w:rPr>
              <w:t>●</w:t>
            </w:r>
          </w:p>
        </w:tc>
        <w:tc>
          <w:tcPr>
            <w:tcW w:w="785" w:type="dxa"/>
            <w:tcBorders>
              <w:right w:val="single" w:sz="8" w:space="0" w:color="E6F5FD"/>
            </w:tcBorders>
            <w:tcMar>
              <w:right w:w="28" w:type="dxa"/>
            </w:tcMar>
            <w:vAlign w:val="center"/>
          </w:tcPr>
          <w:p>
            <w:pPr>
              <w:pStyle w:val="TableContents"/>
              <w:bidi w:val="0"/>
              <w:spacing w:before="0" w:after="283"/>
              <w:jc w:val="center"/>
              <w:rPr/>
            </w:pPr>
            <w:r>
              <w:rPr/>
              <w:t> </w:t>
            </w:r>
          </w:p>
        </w:tc>
        <w:tc>
          <w:tcPr>
            <w:tcW w:w="740" w:type="dxa"/>
            <w:tcBorders>
              <w:right w:val="single" w:sz="8" w:space="0" w:color="E6F5FD"/>
            </w:tcBorders>
            <w:tcMar>
              <w:right w:w="28" w:type="dxa"/>
            </w:tcMar>
            <w:vAlign w:val="center"/>
          </w:tcPr>
          <w:p>
            <w:pPr>
              <w:pStyle w:val="TableContents"/>
              <w:bidi w:val="0"/>
              <w:spacing w:before="0" w:after="283"/>
              <w:jc w:val="center"/>
              <w:rPr>
                <w:color w:val="002053"/>
              </w:rPr>
            </w:pPr>
            <w:r>
              <w:rPr>
                <w:color w:val="002053"/>
              </w:rPr>
              <w:t>●</w:t>
            </w:r>
          </w:p>
        </w:tc>
        <w:tc>
          <w:tcPr>
            <w:tcW w:w="650" w:type="dxa"/>
            <w:tcBorders>
              <w:right w:val="single" w:sz="8" w:space="0" w:color="E6F5FD"/>
            </w:tcBorders>
            <w:tcMar>
              <w:right w:w="28" w:type="dxa"/>
            </w:tcMar>
            <w:vAlign w:val="center"/>
          </w:tcPr>
          <w:p>
            <w:pPr>
              <w:pStyle w:val="TableContents"/>
              <w:bidi w:val="0"/>
              <w:spacing w:before="0" w:after="283"/>
              <w:jc w:val="center"/>
              <w:rPr/>
            </w:pPr>
            <w:r>
              <w:rPr/>
              <w:t> </w:t>
            </w:r>
          </w:p>
        </w:tc>
        <w:tc>
          <w:tcPr>
            <w:tcW w:w="650" w:type="dxa"/>
            <w:tcBorders>
              <w:right w:val="single" w:sz="8" w:space="0" w:color="E6F5FD"/>
            </w:tcBorders>
            <w:tcMar>
              <w:right w:w="28" w:type="dxa"/>
            </w:tcMar>
            <w:vAlign w:val="center"/>
          </w:tcPr>
          <w:p>
            <w:pPr>
              <w:pStyle w:val="TableContents"/>
              <w:bidi w:val="0"/>
              <w:spacing w:before="0" w:after="283"/>
              <w:jc w:val="center"/>
              <w:rPr/>
            </w:pPr>
            <w:r>
              <w:rPr/>
              <w:t> </w:t>
            </w:r>
          </w:p>
        </w:tc>
        <w:tc>
          <w:tcPr>
            <w:tcW w:w="710" w:type="dxa"/>
            <w:tcBorders/>
            <w:tcMar>
              <w:top w:w="60" w:type="dxa"/>
              <w:left w:w="60" w:type="dxa"/>
              <w:bottom w:w="60" w:type="dxa"/>
              <w:right w:w="60" w:type="dxa"/>
            </w:tcMar>
            <w:vAlign w:val="center"/>
          </w:tcPr>
          <w:p>
            <w:pPr>
              <w:pStyle w:val="TableContents"/>
              <w:bidi w:val="0"/>
              <w:spacing w:before="0" w:after="283"/>
              <w:ind w:left="0" w:right="0" w:hanging="173"/>
              <w:jc w:val="center"/>
              <w:rPr>
                <w:color w:val="002053"/>
              </w:rPr>
            </w:pPr>
            <w:r>
              <w:rPr>
                <w:color w:val="002053"/>
              </w:rPr>
              <w:t>●</w:t>
            </w:r>
          </w:p>
        </w:tc>
      </w:tr>
      <w:tr>
        <w:trPr/>
        <w:tc>
          <w:tcPr>
            <w:tcW w:w="3470" w:type="dxa"/>
            <w:tcBorders/>
            <w:shd w:fill="E6F5FD"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Operations &amp; Human Resources</w:t>
            </w:r>
          </w:p>
        </w:tc>
        <w:tc>
          <w:tcPr>
            <w:tcW w:w="665" w:type="dxa"/>
            <w:tcBorders>
              <w:left w:val="single" w:sz="8" w:space="0" w:color="E6F5FD"/>
              <w:right w:val="single" w:sz="8" w:space="0" w:color="E6F5FD"/>
            </w:tcBorders>
            <w:shd w:fill="E6F5FD" w:val="clear"/>
            <w:tcMar>
              <w:left w:w="28" w:type="dxa"/>
              <w:right w:w="28" w:type="dxa"/>
            </w:tcMar>
            <w:vAlign w:val="center"/>
          </w:tcPr>
          <w:p>
            <w:pPr>
              <w:pStyle w:val="TableContents"/>
              <w:bidi w:val="0"/>
              <w:spacing w:before="0" w:after="283"/>
              <w:jc w:val="center"/>
              <w:rPr>
                <w:color w:val="002053"/>
              </w:rPr>
            </w:pPr>
            <w:r>
              <w:rPr>
                <w:color w:val="002053"/>
              </w:rPr>
              <w:t>●</w:t>
            </w:r>
          </w:p>
        </w:tc>
        <w:tc>
          <w:tcPr>
            <w:tcW w:w="740" w:type="dxa"/>
            <w:tcBorders>
              <w:right w:val="single" w:sz="8" w:space="0" w:color="E6F5FD"/>
            </w:tcBorders>
            <w:shd w:fill="E6F5FD" w:val="clear"/>
            <w:tcMar>
              <w:right w:w="28" w:type="dxa"/>
            </w:tcMar>
            <w:vAlign w:val="center"/>
          </w:tcPr>
          <w:p>
            <w:pPr>
              <w:pStyle w:val="TableContents"/>
              <w:bidi w:val="0"/>
              <w:spacing w:before="0" w:after="283"/>
              <w:jc w:val="center"/>
              <w:rPr>
                <w:color w:val="002053"/>
              </w:rPr>
            </w:pPr>
            <w:r>
              <w:rPr>
                <w:color w:val="002053"/>
              </w:rPr>
              <w:t>●</w:t>
            </w:r>
          </w:p>
        </w:tc>
        <w:tc>
          <w:tcPr>
            <w:tcW w:w="785" w:type="dxa"/>
            <w:tcBorders>
              <w:right w:val="single" w:sz="8" w:space="0" w:color="E6F5FD"/>
            </w:tcBorders>
            <w:shd w:fill="E6F5FD" w:val="clear"/>
            <w:tcMar>
              <w:right w:w="28" w:type="dxa"/>
            </w:tcMar>
            <w:vAlign w:val="center"/>
          </w:tcPr>
          <w:p>
            <w:pPr>
              <w:pStyle w:val="TableContents"/>
              <w:bidi w:val="0"/>
              <w:spacing w:before="0" w:after="283"/>
              <w:jc w:val="center"/>
              <w:rPr>
                <w:color w:val="002053"/>
              </w:rPr>
            </w:pPr>
            <w:r>
              <w:rPr>
                <w:color w:val="002053"/>
              </w:rPr>
              <w:t>●</w:t>
            </w:r>
          </w:p>
        </w:tc>
        <w:tc>
          <w:tcPr>
            <w:tcW w:w="740" w:type="dxa"/>
            <w:tcBorders>
              <w:right w:val="single" w:sz="8" w:space="0" w:color="E6F5FD"/>
            </w:tcBorders>
            <w:shd w:fill="E6F5FD" w:val="clear"/>
            <w:tcMar>
              <w:right w:w="28" w:type="dxa"/>
            </w:tcMar>
            <w:vAlign w:val="center"/>
          </w:tcPr>
          <w:p>
            <w:pPr>
              <w:pStyle w:val="TableContents"/>
              <w:bidi w:val="0"/>
              <w:spacing w:before="0" w:after="283"/>
              <w:jc w:val="center"/>
              <w:rPr>
                <w:color w:val="002053"/>
              </w:rPr>
            </w:pPr>
            <w:r>
              <w:rPr>
                <w:color w:val="002053"/>
              </w:rPr>
              <w:t>●</w:t>
            </w:r>
          </w:p>
        </w:tc>
        <w:tc>
          <w:tcPr>
            <w:tcW w:w="650" w:type="dxa"/>
            <w:tcBorders>
              <w:right w:val="single" w:sz="8" w:space="0" w:color="E6F5FD"/>
            </w:tcBorders>
            <w:shd w:fill="E6F5FD" w:val="clear"/>
            <w:tcMar>
              <w:right w:w="28" w:type="dxa"/>
            </w:tcMar>
            <w:vAlign w:val="center"/>
          </w:tcPr>
          <w:p>
            <w:pPr>
              <w:pStyle w:val="TableContents"/>
              <w:bidi w:val="0"/>
              <w:spacing w:before="0" w:after="283"/>
              <w:jc w:val="center"/>
              <w:rPr>
                <w:color w:val="002053"/>
              </w:rPr>
            </w:pPr>
            <w:r>
              <w:rPr>
                <w:color w:val="002053"/>
              </w:rPr>
              <w:t>●</w:t>
            </w:r>
          </w:p>
        </w:tc>
        <w:tc>
          <w:tcPr>
            <w:tcW w:w="650" w:type="dxa"/>
            <w:tcBorders>
              <w:right w:val="single" w:sz="8" w:space="0" w:color="E6F5FD"/>
            </w:tcBorders>
            <w:shd w:fill="E6F5FD" w:val="clear"/>
            <w:tcMar>
              <w:right w:w="28" w:type="dxa"/>
            </w:tcMar>
            <w:vAlign w:val="center"/>
          </w:tcPr>
          <w:p>
            <w:pPr>
              <w:pStyle w:val="TableContents"/>
              <w:bidi w:val="0"/>
              <w:spacing w:before="0" w:after="283"/>
              <w:jc w:val="center"/>
              <w:rPr>
                <w:color w:val="002053"/>
              </w:rPr>
            </w:pPr>
            <w:r>
              <w:rPr>
                <w:color w:val="002053"/>
              </w:rPr>
              <w:t>●</w:t>
            </w:r>
          </w:p>
        </w:tc>
        <w:tc>
          <w:tcPr>
            <w:tcW w:w="710" w:type="dxa"/>
            <w:tcBorders/>
            <w:shd w:fill="E6F5FD" w:val="clear"/>
            <w:tcMar>
              <w:top w:w="60" w:type="dxa"/>
              <w:left w:w="60" w:type="dxa"/>
              <w:bottom w:w="60" w:type="dxa"/>
              <w:right w:w="60" w:type="dxa"/>
            </w:tcMar>
            <w:vAlign w:val="center"/>
          </w:tcPr>
          <w:p>
            <w:pPr>
              <w:pStyle w:val="TableContents"/>
              <w:bidi w:val="0"/>
              <w:spacing w:before="0" w:after="283"/>
              <w:ind w:left="0" w:right="0" w:hanging="173"/>
              <w:jc w:val="center"/>
              <w:rPr>
                <w:color w:val="002053"/>
              </w:rPr>
            </w:pPr>
            <w:r>
              <w:rPr>
                <w:color w:val="002053"/>
              </w:rPr>
              <w:t>●</w:t>
            </w:r>
          </w:p>
        </w:tc>
      </w:tr>
      <w:tr>
        <w:trPr/>
        <w:tc>
          <w:tcPr>
            <w:tcW w:w="347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b/>
                <w:sz w:val="16"/>
              </w:rPr>
              <w:t>ESG</w:t>
            </w:r>
            <w:r>
              <w:rPr>
                <w:rFonts w:ascii="Arial;Helvetica;Sans-Serif" w:hAnsi="Arial;Helvetica;Sans-Serif"/>
                <w:sz w:val="16"/>
              </w:rPr>
              <w:br/>
            </w:r>
            <w:r>
              <w:rPr>
                <w:rFonts w:ascii="Arial;Helvetica;Sans-Serif" w:hAnsi="Arial;Helvetica;Sans-Serif"/>
                <w:i/>
                <w:sz w:val="16"/>
              </w:rPr>
              <w:t>(Sustainability, Community Affairs,</w:t>
            </w:r>
            <w:r>
              <w:rPr>
                <w:rFonts w:ascii="Arial;Helvetica;Sans-Serif" w:hAnsi="Arial;Helvetica;Sans-Serif"/>
                <w:sz w:val="16"/>
              </w:rPr>
              <w:br/>
            </w:r>
            <w:r>
              <w:rPr>
                <w:rFonts w:ascii="Arial;Helvetica;Sans-Serif" w:hAnsi="Arial;Helvetica;Sans-Serif"/>
                <w:i/>
                <w:sz w:val="16"/>
              </w:rPr>
              <w:t>Corporate Responsibility, Diversity, Inclusion)</w:t>
            </w:r>
          </w:p>
        </w:tc>
        <w:tc>
          <w:tcPr>
            <w:tcW w:w="665" w:type="dxa"/>
            <w:tcBorders>
              <w:left w:val="single" w:sz="8" w:space="0" w:color="E6F5FD"/>
              <w:right w:val="single" w:sz="8" w:space="0" w:color="E6F5FD"/>
            </w:tcBorders>
            <w:tcMar>
              <w:left w:w="28" w:type="dxa"/>
              <w:right w:w="28" w:type="dxa"/>
            </w:tcMar>
            <w:vAlign w:val="center"/>
          </w:tcPr>
          <w:p>
            <w:pPr>
              <w:pStyle w:val="TableContents"/>
              <w:bidi w:val="0"/>
              <w:spacing w:before="0" w:after="283"/>
              <w:jc w:val="center"/>
              <w:rPr>
                <w:color w:val="002053"/>
              </w:rPr>
            </w:pPr>
            <w:r>
              <w:rPr>
                <w:color w:val="002053"/>
              </w:rPr>
              <w:t>●</w:t>
            </w:r>
          </w:p>
        </w:tc>
        <w:tc>
          <w:tcPr>
            <w:tcW w:w="740" w:type="dxa"/>
            <w:tcBorders>
              <w:right w:val="single" w:sz="8" w:space="0" w:color="E6F5FD"/>
            </w:tcBorders>
            <w:tcMar>
              <w:right w:w="28" w:type="dxa"/>
            </w:tcMar>
            <w:vAlign w:val="center"/>
          </w:tcPr>
          <w:p>
            <w:pPr>
              <w:pStyle w:val="TableContents"/>
              <w:bidi w:val="0"/>
              <w:spacing w:before="0" w:after="283"/>
              <w:jc w:val="center"/>
              <w:rPr>
                <w:color w:val="002053"/>
              </w:rPr>
            </w:pPr>
            <w:r>
              <w:rPr>
                <w:color w:val="002053"/>
              </w:rPr>
              <w:t>●</w:t>
            </w:r>
          </w:p>
        </w:tc>
        <w:tc>
          <w:tcPr>
            <w:tcW w:w="785" w:type="dxa"/>
            <w:tcBorders>
              <w:right w:val="single" w:sz="8" w:space="0" w:color="E6F5FD"/>
            </w:tcBorders>
            <w:tcMar>
              <w:right w:w="28" w:type="dxa"/>
            </w:tcMar>
            <w:vAlign w:val="center"/>
          </w:tcPr>
          <w:p>
            <w:pPr>
              <w:pStyle w:val="TableContents"/>
              <w:bidi w:val="0"/>
              <w:spacing w:before="0" w:after="283"/>
              <w:jc w:val="center"/>
              <w:rPr>
                <w:color w:val="002053"/>
              </w:rPr>
            </w:pPr>
            <w:r>
              <w:rPr>
                <w:color w:val="002053"/>
              </w:rPr>
              <w:t>●</w:t>
            </w:r>
          </w:p>
        </w:tc>
        <w:tc>
          <w:tcPr>
            <w:tcW w:w="740" w:type="dxa"/>
            <w:tcBorders>
              <w:right w:val="single" w:sz="8" w:space="0" w:color="E6F5FD"/>
            </w:tcBorders>
            <w:tcMar>
              <w:right w:w="28" w:type="dxa"/>
            </w:tcMar>
            <w:vAlign w:val="center"/>
          </w:tcPr>
          <w:p>
            <w:pPr>
              <w:pStyle w:val="TableContents"/>
              <w:bidi w:val="0"/>
              <w:spacing w:before="0" w:after="283"/>
              <w:jc w:val="center"/>
              <w:rPr>
                <w:color w:val="002053"/>
              </w:rPr>
            </w:pPr>
            <w:r>
              <w:rPr>
                <w:color w:val="002053"/>
              </w:rPr>
              <w:t>●</w:t>
            </w:r>
          </w:p>
        </w:tc>
        <w:tc>
          <w:tcPr>
            <w:tcW w:w="650" w:type="dxa"/>
            <w:tcBorders>
              <w:right w:val="single" w:sz="8" w:space="0" w:color="E6F5FD"/>
            </w:tcBorders>
            <w:tcMar>
              <w:right w:w="28" w:type="dxa"/>
            </w:tcMar>
            <w:vAlign w:val="center"/>
          </w:tcPr>
          <w:p>
            <w:pPr>
              <w:pStyle w:val="TableContents"/>
              <w:bidi w:val="0"/>
              <w:spacing w:before="0" w:after="283"/>
              <w:jc w:val="center"/>
              <w:rPr>
                <w:color w:val="002053"/>
              </w:rPr>
            </w:pPr>
            <w:r>
              <w:rPr>
                <w:color w:val="002053"/>
              </w:rPr>
              <w:t>●</w:t>
            </w:r>
          </w:p>
        </w:tc>
        <w:tc>
          <w:tcPr>
            <w:tcW w:w="650" w:type="dxa"/>
            <w:tcBorders>
              <w:right w:val="single" w:sz="8" w:space="0" w:color="E6F5FD"/>
            </w:tcBorders>
            <w:tcMar>
              <w:right w:w="28" w:type="dxa"/>
            </w:tcMar>
            <w:vAlign w:val="center"/>
          </w:tcPr>
          <w:p>
            <w:pPr>
              <w:pStyle w:val="TableContents"/>
              <w:bidi w:val="0"/>
              <w:spacing w:before="0" w:after="283"/>
              <w:jc w:val="center"/>
              <w:rPr>
                <w:color w:val="002053"/>
              </w:rPr>
            </w:pPr>
            <w:r>
              <w:rPr>
                <w:color w:val="002053"/>
              </w:rPr>
              <w:t>●</w:t>
            </w:r>
          </w:p>
        </w:tc>
        <w:tc>
          <w:tcPr>
            <w:tcW w:w="710" w:type="dxa"/>
            <w:tcBorders/>
            <w:tcMar>
              <w:top w:w="60" w:type="dxa"/>
              <w:left w:w="60" w:type="dxa"/>
              <w:bottom w:w="60" w:type="dxa"/>
              <w:right w:w="60" w:type="dxa"/>
            </w:tcMar>
            <w:vAlign w:val="center"/>
          </w:tcPr>
          <w:p>
            <w:pPr>
              <w:pStyle w:val="TableContents"/>
              <w:bidi w:val="0"/>
              <w:spacing w:before="0" w:after="283"/>
              <w:jc w:val="center"/>
              <w:rPr>
                <w:color w:val="002053"/>
              </w:rPr>
            </w:pPr>
            <w:r>
              <w:rPr>
                <w:color w:val="002053"/>
              </w:rPr>
              <w:t>●</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caps w:val="false"/>
          <w:smallCaps w:val="false"/>
          <w:color w:val="0062AF"/>
          <w:sz w:val="20"/>
          <w:bdr w:val="single" w:sz="8" w:space="1" w:color="2872A8"/>
        </w:rPr>
      </w:pPr>
      <w:bookmarkStart w:id="39" w:name="lmnrdef14aa035"/>
      <w:bookmarkEnd w:id="39"/>
      <w:r>
        <w:rPr>
          <w:rFonts w:ascii="Arial;Helvetica;Sans-Serif" w:hAnsi="Arial;Helvetica;Sans-Serif"/>
          <w:b/>
          <w:i/>
          <w:caps w:val="false"/>
          <w:smallCaps w:val="false"/>
          <w:color w:val="0062AF"/>
          <w:sz w:val="20"/>
          <w:bdr w:val="single" w:sz="8" w:space="1" w:color="2872A8"/>
        </w:rPr>
        <w:t>Director Education</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Our Board believes that ongoing director education is essential to enable directors to fulfil their roles and supports Board members in their continued development. New directors participate in an orientation program, and roles and responsibilities workshops are held periodically for current directors to reinforce their understanding of fiduciary duties and effective corporate governance. During Board and committee meetings and strategy sessions, we invite internal and external experts to present to our directors on relevant subjects to ensure they have all the information and knowledge necessary to make informed decisions for the Company and its stockholders. The Company is a member of the National Association of Corporate Directors, which offers each director and NEOs access to live education resources and webinars.</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color w:val="65C8F2"/>
          <w:sz w:val="24"/>
          <w:bdr w:val="single" w:sz="8" w:space="1" w:color="2872A8"/>
        </w:rPr>
      </w:pPr>
      <w:bookmarkStart w:id="40" w:name="lmnrdef14aa036"/>
      <w:bookmarkEnd w:id="40"/>
      <w:r>
        <w:rPr>
          <w:rFonts w:ascii="Arial;Helvetica;Sans-Serif" w:hAnsi="Arial;Helvetica;Sans-Serif"/>
          <w:b/>
          <w:i w:val="false"/>
          <w:caps w:val="false"/>
          <w:smallCaps w:val="false"/>
          <w:color w:val="65C8F2"/>
          <w:sz w:val="24"/>
          <w:bdr w:val="single" w:sz="8" w:space="1" w:color="2872A8"/>
        </w:rPr>
        <w:t>Nominees for Election to the Board of Directors</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Pursuant to its charter, the Nominating Committee identifies individuals qualified to become directors, consistent with the Board’s criteria, and recommends to the Board the nominees to stand for election at the Annual Meeting of Stockholders.</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Nominating Committee recommended, and the Board nominated, Ms. Elizabeth Mora and Mr. Peter J. Nolan for election as Class III directors, each to serve a three-year term that expires at our 2029 Annual Meeting of Stockholders. Each nominee indicated a willingness to stand for re-election and to serve if re-elected. It is intended that the shares represented by the enclosed proxy will be voted for the election of the above-named nominees. Although it is anticipated that each nominee will be available to serve as a director, should any nominee be unable to serve, the proxies will be voted by the proxy holders in their discretion for another person properly designated.</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Nominating Committee and the Board believe each Class III nominee brings a strong and diverse set of skills and experience to the Company that strengthens our Board leadership and effectiveness with respect to our business and long-term strategy.</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26</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color w:val="008DCF"/>
          <w:sz w:val="26"/>
          <w:u w:val="single"/>
          <w:bdr w:val="single" w:sz="8" w:space="1" w:color="2872A8"/>
        </w:rPr>
      </w:pPr>
      <w:r>
        <w:rPr>
          <w:rFonts w:ascii="Arial;Helvetica;Sans-Serif" w:hAnsi="Arial;Helvetica;Sans-Serif"/>
          <w:b/>
          <w:i w:val="false"/>
          <w:caps w:val="false"/>
          <w:smallCaps w:val="false"/>
          <w:color w:val="008DCF"/>
          <w:sz w:val="26"/>
          <w:u w:val="single"/>
          <w:bdr w:val="single" w:sz="8" w:space="1" w:color="2872A8"/>
        </w:rPr>
        <w:t>Class III Directors – Term Expiring at 2026 Annual Meeting of Stockholders</w:t>
      </w:r>
    </w:p>
    <w:p>
      <w:pPr>
        <w:pStyle w:val="TextBody"/>
        <w:bidi w:val="0"/>
        <w:spacing w:before="0" w:after="0"/>
        <w:ind w:left="0" w:right="0" w:hanging="0"/>
        <w:jc w:val="left"/>
        <w:rPr>
          <w:caps w:val="false"/>
          <w:smallCaps w:val="false"/>
          <w:color w:val="008DCF"/>
          <w:bdr w:val="single" w:sz="8" w:space="1" w:color="2872A8"/>
        </w:rPr>
      </w:pPr>
      <w:r>
        <w:rPr>
          <w:caps w:val="false"/>
          <w:smallCaps w:val="false"/>
          <w:color w:val="008DCF"/>
          <w:bdr w:val="single" w:sz="8" w:space="1" w:color="2872A8"/>
        </w:rPr>
        <w:t> </w:t>
      </w:r>
    </w:p>
    <w:tbl>
      <w:tblPr>
        <w:tblW w:w="10205" w:type="dxa"/>
        <w:jc w:val="left"/>
        <w:tblInd w:w="0" w:type="dxa"/>
        <w:tblLayout w:type="fixed"/>
        <w:tblCellMar>
          <w:top w:w="0" w:type="dxa"/>
          <w:left w:w="0" w:type="dxa"/>
          <w:bottom w:w="0" w:type="dxa"/>
          <w:right w:w="0" w:type="dxa"/>
        </w:tblCellMar>
      </w:tblPr>
      <w:tblGrid>
        <w:gridCol w:w="2325"/>
        <w:gridCol w:w="60"/>
        <w:gridCol w:w="7820"/>
      </w:tblGrid>
      <w:tr>
        <w:trPr/>
        <w:tc>
          <w:tcPr>
            <w:tcW w:w="2325" w:type="dxa"/>
            <w:tcBorders/>
            <w:shd w:fill="D2ECFB" w:val="clear"/>
            <w:vAlign w:val="center"/>
          </w:tcPr>
          <w:p>
            <w:pPr>
              <w:pStyle w:val="TableContents"/>
              <w:bidi w:val="0"/>
              <w:jc w:val="left"/>
              <w:rPr/>
            </w:pPr>
            <w:r>
              <w:rPr/>
              <w:drawing>
                <wp:inline distT="0" distB="0" distL="0" distR="0">
                  <wp:extent cx="1466850" cy="14859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466850" cy="1485900"/>
                          </a:xfrm>
                          <a:prstGeom prst="rect">
                            <a:avLst/>
                          </a:prstGeom>
                        </pic:spPr>
                      </pic:pic>
                    </a:graphicData>
                  </a:graphic>
                </wp:inline>
              </w:drawing>
            </w:r>
          </w:p>
          <w:p>
            <w:pPr>
              <w:pStyle w:val="TableContents"/>
              <w:bidi w:val="0"/>
              <w:spacing w:before="0" w:after="0"/>
              <w:ind w:left="0" w:right="0" w:hanging="0"/>
              <w:jc w:val="left"/>
              <w:rPr>
                <w:caps w:val="false"/>
                <w:smallCaps w:val="false"/>
                <w:color w:val="002053"/>
              </w:rPr>
            </w:pPr>
            <w:r>
              <w:rPr>
                <w:caps w:val="false"/>
                <w:smallCaps w:val="false"/>
                <w:color w:val="002053"/>
              </w:rPr>
              <w:t> </w:t>
            </w:r>
          </w:p>
          <w:p>
            <w:pPr>
              <w:pStyle w:val="TableContents"/>
              <w:bidi w:val="0"/>
              <w:spacing w:before="0" w:after="0"/>
              <w:ind w:left="24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002053"/>
                <w:sz w:val="18"/>
              </w:rPr>
              <w:t xml:space="preserve">AGE: </w:t>
            </w:r>
            <w:r>
              <w:rPr>
                <w:rFonts w:ascii="Arial;Helvetica;Sans-Serif" w:hAnsi="Arial;Helvetica;Sans-Serif"/>
                <w:b w:val="false"/>
                <w:i w:val="false"/>
                <w:caps w:val="false"/>
                <w:smallCaps w:val="false"/>
                <w:sz w:val="18"/>
              </w:rPr>
              <w:t>65</w:t>
            </w:r>
          </w:p>
          <w:p>
            <w:pPr>
              <w:pStyle w:val="TableContents"/>
              <w:bidi w:val="0"/>
              <w:spacing w:before="0" w:after="0"/>
              <w:ind w:left="240" w:right="0" w:hanging="0"/>
              <w:jc w:val="left"/>
              <w:rPr>
                <w:caps w:val="false"/>
                <w:smallCaps w:val="false"/>
              </w:rPr>
            </w:pPr>
            <w:r>
              <w:rPr>
                <w:caps w:val="false"/>
                <w:smallCaps w:val="false"/>
              </w:rPr>
              <w:t> </w:t>
            </w:r>
          </w:p>
          <w:p>
            <w:pPr>
              <w:pStyle w:val="TableContents"/>
              <w:bidi w:val="0"/>
              <w:spacing w:before="0" w:after="0"/>
              <w:ind w:left="24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002053"/>
                <w:sz w:val="18"/>
              </w:rPr>
              <w:t xml:space="preserve">CLASS: </w:t>
            </w:r>
            <w:r>
              <w:rPr>
                <w:rFonts w:ascii="Arial;Helvetica;Sans-Serif" w:hAnsi="Arial;Helvetica;Sans-Serif"/>
                <w:b w:val="false"/>
                <w:i w:val="false"/>
                <w:caps w:val="false"/>
                <w:smallCaps w:val="false"/>
                <w:sz w:val="18"/>
              </w:rPr>
              <w:t>III</w:t>
            </w:r>
          </w:p>
          <w:p>
            <w:pPr>
              <w:pStyle w:val="TableContents"/>
              <w:bidi w:val="0"/>
              <w:spacing w:before="0" w:after="0"/>
              <w:ind w:left="240" w:right="0" w:hanging="0"/>
              <w:jc w:val="left"/>
              <w:rPr>
                <w:caps w:val="false"/>
                <w:smallCaps w:val="false"/>
              </w:rPr>
            </w:pPr>
            <w:r>
              <w:rPr>
                <w:caps w:val="false"/>
                <w:smallCaps w:val="false"/>
              </w:rPr>
              <w:t> </w:t>
            </w:r>
          </w:p>
          <w:p>
            <w:pPr>
              <w:pStyle w:val="TableContents"/>
              <w:bidi w:val="0"/>
              <w:spacing w:before="0" w:after="0"/>
              <w:ind w:left="24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Compensation</w:t>
              <w:br/>
              <w:t>(Chair)</w:t>
              <w:br/>
              <w:t>Nominating</w:t>
              <w:br/>
              <w:t>&amp; Corporate</w:t>
              <w:br/>
              <w:t>Governance</w:t>
              <w:br/>
              <w:t>(Chair)</w:t>
            </w:r>
          </w:p>
          <w:p>
            <w:pPr>
              <w:pStyle w:val="TableContents"/>
              <w:bidi w:val="0"/>
              <w:spacing w:before="0" w:after="0"/>
              <w:ind w:left="240" w:right="0" w:hanging="0"/>
              <w:jc w:val="left"/>
              <w:rPr>
                <w:caps w:val="false"/>
                <w:smallCaps w:val="false"/>
              </w:rPr>
            </w:pPr>
            <w:r>
              <w:rPr>
                <w:caps w:val="false"/>
                <w:smallCaps w:val="false"/>
              </w:rPr>
              <w:t> </w:t>
            </w:r>
          </w:p>
        </w:tc>
        <w:tc>
          <w:tcPr>
            <w:tcW w:w="60" w:type="dxa"/>
            <w:tcBorders/>
            <w:shd w:fill="F6FBFE" w:val="clear"/>
            <w:vAlign w:val="center"/>
          </w:tcPr>
          <w:p>
            <w:pPr>
              <w:pStyle w:val="TableContents"/>
              <w:bidi w:val="0"/>
              <w:spacing w:before="0" w:after="283"/>
              <w:jc w:val="left"/>
              <w:rPr/>
            </w:pPr>
            <w:r>
              <w:rPr/>
              <w:t> </w:t>
            </w:r>
          </w:p>
        </w:tc>
        <w:tc>
          <w:tcPr>
            <w:tcW w:w="7820" w:type="dxa"/>
            <w:tcBorders/>
            <w:shd w:fill="F6FBFE" w:val="clear"/>
            <w:vAlign w:val="center"/>
          </w:tcPr>
          <w:p>
            <w:pPr>
              <w:pStyle w:val="TableContents"/>
              <w:bidi w:val="0"/>
              <w:spacing w:before="0" w:after="0"/>
              <w:ind w:left="0" w:right="0" w:hanging="0"/>
              <w:jc w:val="left"/>
              <w:rPr>
                <w:caps w:val="false"/>
                <w:smallCaps w:val="false"/>
                <w:color w:val="002053"/>
              </w:rPr>
            </w:pPr>
            <w:r>
              <w:rPr>
                <w:caps w:val="false"/>
                <w:smallCaps w:val="false"/>
                <w:color w:val="002053"/>
              </w:rPr>
              <w:t> </w:t>
            </w:r>
          </w:p>
          <w:p>
            <w:pPr>
              <w:pStyle w:val="TableContents"/>
              <w:bidi w:val="0"/>
              <w:spacing w:before="0" w:after="0"/>
              <w:ind w:left="0" w:right="0" w:hanging="0"/>
              <w:jc w:val="left"/>
              <w:rPr>
                <w:rFonts w:ascii="Arial;Helvetica;Sans-Serif" w:hAnsi="Arial;Helvetica;Sans-Serif"/>
                <w:b/>
                <w:i w:val="false"/>
                <w:caps w:val="false"/>
                <w:smallCaps w:val="false"/>
                <w:color w:val="002053"/>
                <w:sz w:val="26"/>
              </w:rPr>
            </w:pPr>
            <w:r>
              <w:rPr>
                <w:rFonts w:ascii="Arial;Helvetica;Sans-Serif" w:hAnsi="Arial;Helvetica;Sans-Serif"/>
                <w:b/>
                <w:i w:val="false"/>
                <w:caps w:val="false"/>
                <w:smallCaps w:val="false"/>
                <w:color w:val="002053"/>
                <w:sz w:val="26"/>
              </w:rPr>
              <w:t>Elizabeth Mora</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Ms. Mora has served as a director of the Company since 2021. Ms. Mora is a seasoned board director, financial expert, and business operations executive, who built her career in the accounting, education, technology and research industries. Ms. Mora’s more than 30-year career began at PricewaterhouseCoopers and her most recent role was as Chief Administrative Officer, Vice President for Finance, Administration and Treasurer at the Charles Stark Draper Laboratory, Inc., a position she held from 2008 to 2020. Ms. Mora served in a variety of executive management roles at Harvard University from 1997 to 2008, including as Chief Financial Officer and Vice President for Finance and Associate Vice President, Research Administration. Ms. Mora currently serves as a board member for two other companies; Inogen Inc. (Nasdaq: INGN), a medical technology company; and MKS Instruments (Nasdaq: MKSI), a global semi-conductor equipment, laser, and laser packaging company. Ms. Mora is a Certified Public Accountant and holds a Bachelor of Arts from the University of California, Berkeley, and a Master of Business Administration from Simmons College.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Ms. Mora’s extensive experience in public accounting and higher education provides the Board with financial and business expertise. Her deep knowledge and passion for sustainability enhances the Board and the Company’s commitment to ESG.</w:t>
            </w:r>
          </w:p>
          <w:p>
            <w:pPr>
              <w:pStyle w:val="TableContents"/>
              <w:bidi w:val="0"/>
              <w:spacing w:before="0" w:after="0"/>
              <w:ind w:left="0" w:right="0" w:hanging="0"/>
              <w:jc w:val="left"/>
              <w:rPr>
                <w:caps w:val="false"/>
                <w:smallCaps w:val="false"/>
                <w:color w:val="008DCF"/>
              </w:rPr>
            </w:pPr>
            <w:r>
              <w:rPr>
                <w:caps w:val="false"/>
                <w:smallCaps w:val="false"/>
                <w:color w:val="008DCF"/>
              </w:rPr>
              <w:t> </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10205" w:type="dxa"/>
        <w:jc w:val="left"/>
        <w:tblInd w:w="0" w:type="dxa"/>
        <w:tblLayout w:type="fixed"/>
        <w:tblCellMar>
          <w:top w:w="0" w:type="dxa"/>
          <w:left w:w="0" w:type="dxa"/>
          <w:bottom w:w="0" w:type="dxa"/>
          <w:right w:w="0" w:type="dxa"/>
        </w:tblCellMar>
      </w:tblPr>
      <w:tblGrid>
        <w:gridCol w:w="2310"/>
        <w:gridCol w:w="60"/>
        <w:gridCol w:w="7835"/>
      </w:tblGrid>
      <w:tr>
        <w:trPr/>
        <w:tc>
          <w:tcPr>
            <w:tcW w:w="2310" w:type="dxa"/>
            <w:tcBorders/>
            <w:shd w:fill="D2ECFB" w:val="clear"/>
            <w:vAlign w:val="center"/>
          </w:tcPr>
          <w:p>
            <w:pPr>
              <w:pStyle w:val="TableContents"/>
              <w:bidi w:val="0"/>
              <w:spacing w:before="0" w:after="0"/>
              <w:ind w:left="0" w:right="0" w:hanging="0"/>
              <w:jc w:val="left"/>
              <w:rPr>
                <w:caps w:val="false"/>
                <w:smallCaps w:val="false"/>
                <w:color w:val="002053"/>
              </w:rPr>
            </w:pPr>
            <w:r>
              <w:rPr>
                <w:caps w:val="false"/>
                <w:smallCaps w:val="false"/>
                <w:color w:val="002053"/>
              </w:rPr>
              <w:drawing>
                <wp:inline distT="0" distB="0" distL="0" distR="0">
                  <wp:extent cx="1457325" cy="14763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457325" cy="1476375"/>
                          </a:xfrm>
                          <a:prstGeom prst="rect">
                            <a:avLst/>
                          </a:prstGeom>
                        </pic:spPr>
                      </pic:pic>
                    </a:graphicData>
                  </a:graphic>
                </wp:inline>
              </w:drawing>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24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002053"/>
                <w:sz w:val="18"/>
              </w:rPr>
              <w:t xml:space="preserve">AGE: </w:t>
            </w:r>
            <w:r>
              <w:rPr>
                <w:rFonts w:ascii="Arial;Helvetica;Sans-Serif" w:hAnsi="Arial;Helvetica;Sans-Serif"/>
                <w:b w:val="false"/>
                <w:i w:val="false"/>
                <w:caps w:val="false"/>
                <w:smallCaps w:val="false"/>
                <w:sz w:val="18"/>
              </w:rPr>
              <w:t>67</w:t>
            </w:r>
          </w:p>
          <w:p>
            <w:pPr>
              <w:pStyle w:val="TableContents"/>
              <w:bidi w:val="0"/>
              <w:spacing w:before="0" w:after="0"/>
              <w:ind w:left="240" w:right="0" w:hanging="0"/>
              <w:jc w:val="left"/>
              <w:rPr>
                <w:caps w:val="false"/>
                <w:smallCaps w:val="false"/>
              </w:rPr>
            </w:pPr>
            <w:r>
              <w:rPr>
                <w:caps w:val="false"/>
                <w:smallCaps w:val="false"/>
              </w:rPr>
              <w:t> </w:t>
            </w:r>
          </w:p>
          <w:p>
            <w:pPr>
              <w:pStyle w:val="TableContents"/>
              <w:bidi w:val="0"/>
              <w:spacing w:before="0" w:after="0"/>
              <w:ind w:left="24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002053"/>
                <w:sz w:val="18"/>
              </w:rPr>
              <w:t xml:space="preserve">CLASS: </w:t>
            </w:r>
            <w:r>
              <w:rPr>
                <w:rFonts w:ascii="Arial;Helvetica;Sans-Serif" w:hAnsi="Arial;Helvetica;Sans-Serif"/>
                <w:b w:val="false"/>
                <w:i w:val="false"/>
                <w:caps w:val="false"/>
                <w:smallCaps w:val="false"/>
                <w:sz w:val="18"/>
              </w:rPr>
              <w:t>III</w:t>
            </w:r>
          </w:p>
          <w:p>
            <w:pPr>
              <w:pStyle w:val="TableContents"/>
              <w:bidi w:val="0"/>
              <w:spacing w:before="0" w:after="0"/>
              <w:ind w:left="240" w:right="0" w:hanging="0"/>
              <w:jc w:val="left"/>
              <w:rPr>
                <w:caps w:val="false"/>
                <w:smallCaps w:val="false"/>
              </w:rPr>
            </w:pPr>
            <w:r>
              <w:rPr>
                <w:caps w:val="false"/>
                <w:smallCaps w:val="false"/>
              </w:rPr>
              <w:t> </w:t>
            </w:r>
          </w:p>
          <w:p>
            <w:pPr>
              <w:pStyle w:val="TableContents"/>
              <w:bidi w:val="0"/>
              <w:spacing w:before="0" w:after="0"/>
              <w:ind w:left="240" w:right="0" w:hanging="0"/>
              <w:jc w:val="left"/>
              <w:rPr>
                <w:rFonts w:ascii="Arial;Helvetica;Sans-Serif" w:hAnsi="Arial;Helvetica;Sans-Serif"/>
                <w:b/>
                <w:i w:val="false"/>
                <w:caps w:val="false"/>
                <w:smallCaps w:val="false"/>
                <w:color w:val="002053"/>
                <w:sz w:val="18"/>
              </w:rPr>
            </w:pPr>
            <w:r>
              <w:rPr>
                <w:rFonts w:ascii="Arial;Helvetica;Sans-Serif" w:hAnsi="Arial;Helvetica;Sans-Serif"/>
                <w:b/>
                <w:i w:val="false"/>
                <w:caps w:val="false"/>
                <w:smallCaps w:val="false"/>
                <w:color w:val="002053"/>
                <w:sz w:val="18"/>
              </w:rPr>
              <w:t>COMMITTEES:</w:t>
            </w:r>
          </w:p>
          <w:p>
            <w:pPr>
              <w:pStyle w:val="TableContents"/>
              <w:bidi w:val="0"/>
              <w:spacing w:before="0" w:after="0"/>
              <w:ind w:left="24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Audit &amp; Finance</w:t>
              <w:br/>
              <w:t>(Member)</w:t>
              <w:br/>
              <w:t>Risk Management</w:t>
              <w:br/>
              <w:t>(Member)</w:t>
            </w:r>
          </w:p>
          <w:p>
            <w:pPr>
              <w:pStyle w:val="TableContents"/>
              <w:bidi w:val="0"/>
              <w:spacing w:before="0" w:after="0"/>
              <w:ind w:left="24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ind w:left="0" w:right="0" w:hanging="0"/>
              <w:jc w:val="left"/>
              <w:rPr>
                <w:caps w:val="false"/>
                <w:smallCaps w:val="false"/>
                <w:color w:val="002053"/>
              </w:rPr>
            </w:pPr>
            <w:r>
              <w:rPr>
                <w:caps w:val="false"/>
                <w:smallCaps w:val="false"/>
                <w:color w:val="002053"/>
              </w:rPr>
              <w:t> </w:t>
            </w:r>
          </w:p>
          <w:p>
            <w:pPr>
              <w:pStyle w:val="TableContents"/>
              <w:bidi w:val="0"/>
              <w:spacing w:before="0" w:after="0"/>
              <w:ind w:left="0" w:right="0" w:hanging="0"/>
              <w:jc w:val="left"/>
              <w:rPr>
                <w:rFonts w:ascii="Arial;Helvetica;Sans-Serif" w:hAnsi="Arial;Helvetica;Sans-Serif"/>
                <w:b/>
                <w:i w:val="false"/>
                <w:caps w:val="false"/>
                <w:smallCaps w:val="false"/>
                <w:color w:val="002053"/>
                <w:sz w:val="26"/>
              </w:rPr>
            </w:pPr>
            <w:r>
              <w:rPr>
                <w:rFonts w:ascii="Arial;Helvetica;Sans-Serif" w:hAnsi="Arial;Helvetica;Sans-Serif"/>
                <w:b/>
                <w:i w:val="false"/>
                <w:caps w:val="false"/>
                <w:smallCaps w:val="false"/>
                <w:color w:val="002053"/>
                <w:sz w:val="26"/>
              </w:rPr>
              <w:t>Peter J. Nolan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Mr. Nolan has served as a director of the Company since January 1, 2024. He currently serves as the chairman of Nolan Capital, Inc., which he founded in 2014 as the holding company for his family office to make long term investments in growth-oriented companies. Mr. Nolan also serves as a Senior Advisor to Leonard Green &amp; Partners (“LGP’’). Mr. Nolan joined LGP as a Managing Partner in 1997. Previously, Mr. Nolan was a Managing Director and Co-Head of DLJ’s (now Credit Suisse) Los Angeles Investment Banking Division, which he joined in 1990. Prior to DLJ, Mr. Nolan was a First Vice President in corporate finance at Drexel, Burnham, Lambert in Beverly Hills from 1986 to 1990, a Vice President at Prudential Securities, Inc. from 1982 to 1986 and an Associate at Manufacturers Hanover Trust Company. Mr. Nolan serves as Chairman of Diamond Wipes International, Ortega National Parks, Country Supplier which owns C-A-L Ranch Stores and Beuri Pro Inc. He earned a Bachelor of Science degree in Agricultural Economics and Finance from Cornell University and a Master of Business Administration from the Johnson Graduate School of Management at Cornell University.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Mr. Nolan’s experience in finance, asset management, capital markets and capital management, and his experience as a senior executive and an institutional investor, provides the Board with financial and business expertise.</w:t>
            </w:r>
          </w:p>
          <w:p>
            <w:pPr>
              <w:pStyle w:val="TableContents"/>
              <w:bidi w:val="0"/>
              <w:spacing w:before="0" w:after="0"/>
              <w:ind w:left="0" w:right="0" w:hanging="0"/>
              <w:jc w:val="left"/>
              <w:rPr>
                <w:caps w:val="false"/>
                <w:smallCaps w:val="false"/>
                <w:color w:val="002053"/>
              </w:rPr>
            </w:pPr>
            <w:r>
              <w:rPr>
                <w:caps w:val="false"/>
                <w:smallCaps w:val="false"/>
                <w:color w:val="002053"/>
              </w:rPr>
              <w:t> </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27</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color w:val="008DCF"/>
          <w:sz w:val="26"/>
          <w:bdr w:val="single" w:sz="8" w:space="1" w:color="2872A8"/>
        </w:rPr>
      </w:pPr>
      <w:bookmarkStart w:id="41" w:name="lmnrdef14aa037"/>
      <w:bookmarkEnd w:id="41"/>
      <w:r>
        <w:rPr>
          <w:rFonts w:ascii="Arial;Helvetica;Sans-Serif" w:hAnsi="Arial;Helvetica;Sans-Serif"/>
          <w:b/>
          <w:i w:val="false"/>
          <w:caps w:val="false"/>
          <w:smallCaps w:val="false"/>
          <w:color w:val="008DCF"/>
          <w:sz w:val="26"/>
          <w:bdr w:val="single" w:sz="8" w:space="1" w:color="2872A8"/>
        </w:rPr>
        <w:t>Required Vote for Election of Directors</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both"/>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election of directors is by plurality of the votes of present, in person or by proxy, at the Annual Meeting and entitled to vote thereon, with the two (2) nominees receiving the highest vote totals to be elected as directors. Broker non-votes and abstentions are not counted toward the election of directors or toward the election of individual nominees specified on the proxy and therefore, broker non-votes and abstentions shall have no effect on this proposal.</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For the election of directors, you may elect to cumulate your vote. Cumulative voting will allow you to allocate all your votes among the director nominees, as you see fit. You may not cumulate your votes against a nominee. If you are a stockholder of record and choose to cumulate your votes, you will need to make an explicit statement of your intent to cumulate your votes, either by so indicating on your proxy or by indicating in writing on your ballot when voting during the Annual Meeting. If you hold shares beneficially through a broker, trustee or other nominee and wish to cumulate votes, you should contact your broker, trustee or nominee. If you vote by proxy or voting instruction card and submit your proxy with no further instructions, the designated proxies may cumulate and cast your votes in favor of the election of some or all of the applicable nominees in their sole discretion, provided that none of your votes will be cast for any nominee as to whom you vote against or abstain from voting. Cumulative voting applies only to Proposal 1 – Election of Directors.</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color w:val="008DCF"/>
          <w:sz w:val="26"/>
          <w:bdr w:val="single" w:sz="8" w:space="1" w:color="2872A8"/>
        </w:rPr>
      </w:pPr>
      <w:bookmarkStart w:id="42" w:name="lmnrdef14aa038"/>
      <w:bookmarkEnd w:id="42"/>
      <w:r>
        <w:rPr>
          <w:rFonts w:ascii="Arial;Helvetica;Sans-Serif" w:hAnsi="Arial;Helvetica;Sans-Serif"/>
          <w:b/>
          <w:i w:val="false"/>
          <w:caps w:val="false"/>
          <w:smallCaps w:val="false"/>
          <w:color w:val="008DCF"/>
          <w:sz w:val="26"/>
          <w:bdr w:val="single" w:sz="8" w:space="1" w:color="2872A8"/>
        </w:rPr>
        <w:t>Recommendation of the Board of Directors</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Board recommends that you vote “FOR” all the nominees, Ms. Elizabeth Mora and Mr. Peter J. Nolan, to be elected to our Board as Class III directors for a term ending at our 2029 Annual Meeting of Stockholders.</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color w:val="008DCF"/>
          <w:sz w:val="26"/>
          <w:bdr w:val="single" w:sz="8" w:space="1" w:color="2872A8"/>
        </w:rPr>
      </w:pPr>
      <w:bookmarkStart w:id="43" w:name="lmnrdef14aa039"/>
      <w:bookmarkEnd w:id="43"/>
      <w:r>
        <w:rPr>
          <w:rFonts w:ascii="Arial;Helvetica;Sans-Serif" w:hAnsi="Arial;Helvetica;Sans-Serif"/>
          <w:b/>
          <w:i w:val="false"/>
          <w:caps w:val="false"/>
          <w:smallCaps w:val="false"/>
          <w:color w:val="008DCF"/>
          <w:sz w:val="26"/>
          <w:bdr w:val="single" w:sz="8" w:space="1" w:color="2872A8"/>
        </w:rPr>
        <w:t>Directors Not Up for Re-Election</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color w:val="65C8F2"/>
          <w:sz w:val="24"/>
          <w:bdr w:val="single" w:sz="8" w:space="1" w:color="2872A8"/>
        </w:rPr>
      </w:pPr>
      <w:r>
        <w:rPr>
          <w:rFonts w:ascii="Arial;Helvetica;Sans-Serif" w:hAnsi="Arial;Helvetica;Sans-Serif"/>
          <w:b/>
          <w:i w:val="false"/>
          <w:caps w:val="false"/>
          <w:smallCaps w:val="false"/>
          <w:color w:val="65C8F2"/>
          <w:sz w:val="24"/>
          <w:bdr w:val="single" w:sz="8" w:space="1" w:color="2872A8"/>
        </w:rPr>
        <w:t>Incumbent Class I Directors – Term Expiring at 2027 Annual Meeting of Stockholders</w:t>
      </w:r>
    </w:p>
    <w:p>
      <w:pPr>
        <w:pStyle w:val="TextBody"/>
        <w:bidi w:val="0"/>
        <w:spacing w:before="0" w:after="0"/>
        <w:ind w:left="0" w:right="0" w:hanging="0"/>
        <w:jc w:val="left"/>
        <w:rPr>
          <w:caps w:val="false"/>
          <w:smallCaps w:val="false"/>
          <w:color w:val="65C8F2"/>
          <w:bdr w:val="single" w:sz="8" w:space="1" w:color="2872A8"/>
        </w:rPr>
      </w:pPr>
      <w:r>
        <w:rPr>
          <w:caps w:val="false"/>
          <w:smallCaps w:val="false"/>
          <w:color w:val="65C8F2"/>
          <w:bdr w:val="single" w:sz="8" w:space="1" w:color="2872A8"/>
        </w:rPr>
        <w:t> </w:t>
      </w:r>
    </w:p>
    <w:tbl>
      <w:tblPr>
        <w:tblW w:w="10205" w:type="dxa"/>
        <w:jc w:val="left"/>
        <w:tblInd w:w="0" w:type="dxa"/>
        <w:tblLayout w:type="fixed"/>
        <w:tblCellMar>
          <w:top w:w="0" w:type="dxa"/>
          <w:left w:w="0" w:type="dxa"/>
          <w:bottom w:w="0" w:type="dxa"/>
          <w:right w:w="0" w:type="dxa"/>
        </w:tblCellMar>
      </w:tblPr>
      <w:tblGrid>
        <w:gridCol w:w="2355"/>
        <w:gridCol w:w="60"/>
        <w:gridCol w:w="7790"/>
      </w:tblGrid>
      <w:tr>
        <w:trPr/>
        <w:tc>
          <w:tcPr>
            <w:tcW w:w="2355" w:type="dxa"/>
            <w:tcBorders/>
            <w:shd w:fill="D2ECFB" w:val="clear"/>
            <w:vAlign w:val="center"/>
          </w:tcPr>
          <w:p>
            <w:pPr>
              <w:pStyle w:val="TableContents"/>
              <w:bidi w:val="0"/>
              <w:spacing w:before="0" w:after="0"/>
              <w:ind w:left="0" w:right="0" w:hanging="0"/>
              <w:jc w:val="left"/>
              <w:rPr>
                <w:caps w:val="false"/>
                <w:smallCaps w:val="false"/>
                <w:color w:val="002053"/>
              </w:rPr>
            </w:pPr>
            <w:r>
              <w:rPr>
                <w:caps w:val="false"/>
                <w:smallCaps w:val="false"/>
                <w:color w:val="002053"/>
              </w:rPr>
              <w:drawing>
                <wp:inline distT="0" distB="0" distL="0" distR="0">
                  <wp:extent cx="1485900" cy="14763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485900" cy="1476375"/>
                          </a:xfrm>
                          <a:prstGeom prst="rect">
                            <a:avLst/>
                          </a:prstGeom>
                        </pic:spPr>
                      </pic:pic>
                    </a:graphicData>
                  </a:graphic>
                </wp:inline>
              </w:drawing>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24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002053"/>
                <w:sz w:val="18"/>
              </w:rPr>
              <w:t xml:space="preserve">AGE: </w:t>
            </w:r>
            <w:r>
              <w:rPr>
                <w:rFonts w:ascii="Arial;Helvetica;Sans-Serif" w:hAnsi="Arial;Helvetica;Sans-Serif"/>
                <w:b w:val="false"/>
                <w:i w:val="false"/>
                <w:caps w:val="false"/>
                <w:smallCaps w:val="false"/>
                <w:sz w:val="18"/>
              </w:rPr>
              <w:t>60</w:t>
            </w:r>
          </w:p>
          <w:p>
            <w:pPr>
              <w:pStyle w:val="TableContents"/>
              <w:bidi w:val="0"/>
              <w:spacing w:before="0" w:after="0"/>
              <w:ind w:left="240" w:right="0" w:hanging="0"/>
              <w:jc w:val="left"/>
              <w:rPr>
                <w:caps w:val="false"/>
                <w:smallCaps w:val="false"/>
              </w:rPr>
            </w:pPr>
            <w:r>
              <w:rPr>
                <w:caps w:val="false"/>
                <w:smallCaps w:val="false"/>
              </w:rPr>
              <w:t> </w:t>
            </w:r>
          </w:p>
          <w:p>
            <w:pPr>
              <w:pStyle w:val="TableContents"/>
              <w:bidi w:val="0"/>
              <w:spacing w:before="0" w:after="0"/>
              <w:ind w:left="24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002053"/>
                <w:sz w:val="18"/>
              </w:rPr>
              <w:t xml:space="preserve">CLASS: </w:t>
            </w:r>
            <w:r>
              <w:rPr>
                <w:rFonts w:ascii="Arial;Helvetica;Sans-Serif" w:hAnsi="Arial;Helvetica;Sans-Serif"/>
                <w:b w:val="false"/>
                <w:i w:val="false"/>
                <w:caps w:val="false"/>
                <w:smallCaps w:val="false"/>
                <w:sz w:val="18"/>
              </w:rPr>
              <w:t>I</w:t>
            </w:r>
          </w:p>
          <w:p>
            <w:pPr>
              <w:pStyle w:val="TableContents"/>
              <w:bidi w:val="0"/>
              <w:spacing w:before="0" w:after="0"/>
              <w:ind w:left="240" w:right="0" w:hanging="0"/>
              <w:jc w:val="left"/>
              <w:rPr>
                <w:caps w:val="false"/>
                <w:smallCaps w:val="false"/>
              </w:rPr>
            </w:pPr>
            <w:r>
              <w:rPr>
                <w:caps w:val="false"/>
                <w:smallCaps w:val="false"/>
              </w:rPr>
              <w:t> </w:t>
            </w:r>
          </w:p>
          <w:p>
            <w:pPr>
              <w:pStyle w:val="TableContents"/>
              <w:bidi w:val="0"/>
              <w:spacing w:before="0" w:after="0"/>
              <w:ind w:left="24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President &amp; CEO</w:t>
            </w:r>
          </w:p>
          <w:p>
            <w:pPr>
              <w:pStyle w:val="TableContents"/>
              <w:bidi w:val="0"/>
              <w:spacing w:before="0" w:after="0"/>
              <w:ind w:left="0" w:right="0" w:hanging="0"/>
              <w:jc w:val="left"/>
              <w:rPr>
                <w:caps w:val="false"/>
                <w:smallCaps w:val="false"/>
                <w:color w:val="002053"/>
              </w:rPr>
            </w:pPr>
            <w:r>
              <w:rPr>
                <w:caps w:val="false"/>
                <w:smallCaps w:val="false"/>
                <w:color w:val="002053"/>
              </w:rPr>
              <w:t> </w:t>
            </w:r>
          </w:p>
        </w:tc>
        <w:tc>
          <w:tcPr>
            <w:tcW w:w="60" w:type="dxa"/>
            <w:tcBorders/>
            <w:shd w:fill="F6FBFE" w:val="clear"/>
            <w:vAlign w:val="center"/>
          </w:tcPr>
          <w:p>
            <w:pPr>
              <w:pStyle w:val="TableContents"/>
              <w:bidi w:val="0"/>
              <w:spacing w:before="0" w:after="283"/>
              <w:jc w:val="left"/>
              <w:rPr/>
            </w:pPr>
            <w:r>
              <w:rPr/>
              <w:t> </w:t>
            </w:r>
          </w:p>
        </w:tc>
        <w:tc>
          <w:tcPr>
            <w:tcW w:w="7790" w:type="dxa"/>
            <w:tcBorders/>
            <w:shd w:fill="F6FBFE" w:val="clear"/>
            <w:vAlign w:val="center"/>
          </w:tcPr>
          <w:p>
            <w:pPr>
              <w:pStyle w:val="TableContents"/>
              <w:bidi w:val="0"/>
              <w:spacing w:before="0" w:after="0"/>
              <w:ind w:left="0" w:right="0" w:hanging="0"/>
              <w:jc w:val="left"/>
              <w:rPr>
                <w:caps w:val="false"/>
                <w:smallCaps w:val="false"/>
                <w:color w:val="002053"/>
              </w:rPr>
            </w:pPr>
            <w:r>
              <w:rPr>
                <w:caps w:val="false"/>
                <w:smallCaps w:val="false"/>
                <w:color w:val="002053"/>
              </w:rPr>
              <w:t> </w:t>
            </w:r>
          </w:p>
          <w:p>
            <w:pPr>
              <w:pStyle w:val="TableContents"/>
              <w:bidi w:val="0"/>
              <w:spacing w:before="0" w:after="0"/>
              <w:ind w:left="0" w:right="0" w:hanging="0"/>
              <w:jc w:val="left"/>
              <w:rPr>
                <w:rFonts w:ascii="Arial;Helvetica;Sans-Serif" w:hAnsi="Arial;Helvetica;Sans-Serif"/>
                <w:b/>
                <w:i w:val="false"/>
                <w:caps w:val="false"/>
                <w:smallCaps w:val="false"/>
                <w:color w:val="002053"/>
                <w:sz w:val="26"/>
              </w:rPr>
            </w:pPr>
            <w:r>
              <w:rPr>
                <w:rFonts w:ascii="Arial;Helvetica;Sans-Serif" w:hAnsi="Arial;Helvetica;Sans-Serif"/>
                <w:b/>
                <w:i w:val="false"/>
                <w:caps w:val="false"/>
                <w:smallCaps w:val="false"/>
                <w:color w:val="002053"/>
                <w:sz w:val="26"/>
              </w:rPr>
              <w:t>Harold S. Edwards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Mr. Edwards has served as a director of the Company since 2009. Mr. Edwards has been President and Chief Executive Officer of the Company since November 2003. Previously, Mr. Edwards was the president of Puritan Medical Products, a division of Airgas Inc. Prior to that, Mr. Edwards held management positions with Fisher Scientific International, Inc, Cargill, Inc, Agribrands International, The Ralston Purina Company, and Mission Produce, Inc. Mr. Edwards is currently a member of the board of directors of Compass Group Diversified Holdings LLC (NYSE: CODI). Mr. Edwards is a graduate of Lewis and Clark College and the Thunderbird School of Global Management, now part of Arizona State University, where he earned a Master of Business Administration degree.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As the President and Chief Executive Officer of the Company, Mr. Edwards brings to our Board an intimate understanding of our business and operations. Mr. Edwards provides our Board with company-specific experience and expertise, in addition to his substantial experience as a chief executive officer and senior executive across a variety of industries.</w:t>
            </w:r>
          </w:p>
          <w:p>
            <w:pPr>
              <w:pStyle w:val="TableContents"/>
              <w:bidi w:val="0"/>
              <w:spacing w:before="0" w:after="0"/>
              <w:ind w:left="0" w:right="0" w:hanging="0"/>
              <w:jc w:val="left"/>
              <w:rPr>
                <w:caps w:val="false"/>
                <w:smallCaps w:val="false"/>
                <w:color w:val="002053"/>
              </w:rPr>
            </w:pPr>
            <w:r>
              <w:rPr>
                <w:caps w:val="false"/>
                <w:smallCaps w:val="false"/>
                <w:color w:val="002053"/>
              </w:rPr>
              <w:t> </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28</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10205" w:type="dxa"/>
        <w:jc w:val="left"/>
        <w:tblInd w:w="0" w:type="dxa"/>
        <w:tblLayout w:type="fixed"/>
        <w:tblCellMar>
          <w:top w:w="0" w:type="dxa"/>
          <w:left w:w="0" w:type="dxa"/>
          <w:bottom w:w="0" w:type="dxa"/>
          <w:right w:w="0" w:type="dxa"/>
        </w:tblCellMar>
      </w:tblPr>
      <w:tblGrid>
        <w:gridCol w:w="2355"/>
        <w:gridCol w:w="60"/>
        <w:gridCol w:w="7790"/>
      </w:tblGrid>
      <w:tr>
        <w:trPr/>
        <w:tc>
          <w:tcPr>
            <w:tcW w:w="2355" w:type="dxa"/>
            <w:tcBorders/>
            <w:shd w:fill="D2ECFB" w:val="clear"/>
            <w:vAlign w:val="center"/>
          </w:tcPr>
          <w:p>
            <w:pPr>
              <w:pStyle w:val="TableContents"/>
              <w:bidi w:val="0"/>
              <w:jc w:val="left"/>
              <w:rPr/>
            </w:pPr>
            <w:r>
              <w:rPr/>
              <w:drawing>
                <wp:inline distT="0" distB="0" distL="0" distR="0">
                  <wp:extent cx="1485900" cy="14478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485900" cy="1447800"/>
                          </a:xfrm>
                          <a:prstGeom prst="rect">
                            <a:avLst/>
                          </a:prstGeom>
                        </pic:spPr>
                      </pic:pic>
                    </a:graphicData>
                  </a:graphic>
                </wp:inline>
              </w:drawing>
            </w:r>
          </w:p>
          <w:p>
            <w:pPr>
              <w:pStyle w:val="TableContents"/>
              <w:bidi w:val="0"/>
              <w:spacing w:before="0" w:after="0"/>
              <w:ind w:left="0" w:right="0" w:hanging="0"/>
              <w:jc w:val="left"/>
              <w:rPr>
                <w:caps w:val="false"/>
                <w:smallCaps w:val="false"/>
                <w:color w:val="002053"/>
              </w:rPr>
            </w:pPr>
            <w:r>
              <w:rPr>
                <w:caps w:val="false"/>
                <w:smallCaps w:val="false"/>
                <w:color w:val="002053"/>
              </w:rPr>
              <w:t> </w:t>
            </w:r>
          </w:p>
          <w:p>
            <w:pPr>
              <w:pStyle w:val="TableContents"/>
              <w:bidi w:val="0"/>
              <w:spacing w:before="0" w:after="0"/>
              <w:ind w:left="24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002053"/>
                <w:sz w:val="18"/>
              </w:rPr>
              <w:t xml:space="preserve">AGE: </w:t>
            </w:r>
            <w:r>
              <w:rPr>
                <w:rFonts w:ascii="Arial;Helvetica;Sans-Serif" w:hAnsi="Arial;Helvetica;Sans-Serif"/>
                <w:b w:val="false"/>
                <w:i w:val="false"/>
                <w:caps w:val="false"/>
                <w:smallCaps w:val="false"/>
                <w:sz w:val="18"/>
              </w:rPr>
              <w:t>66</w:t>
            </w:r>
          </w:p>
          <w:p>
            <w:pPr>
              <w:pStyle w:val="TableContents"/>
              <w:bidi w:val="0"/>
              <w:spacing w:before="0" w:after="0"/>
              <w:ind w:left="240" w:right="0" w:hanging="0"/>
              <w:jc w:val="left"/>
              <w:rPr>
                <w:caps w:val="false"/>
                <w:smallCaps w:val="false"/>
              </w:rPr>
            </w:pPr>
            <w:r>
              <w:rPr>
                <w:caps w:val="false"/>
                <w:smallCaps w:val="false"/>
              </w:rPr>
              <w:t> </w:t>
            </w:r>
          </w:p>
          <w:p>
            <w:pPr>
              <w:pStyle w:val="TableContents"/>
              <w:bidi w:val="0"/>
              <w:spacing w:before="0" w:after="0"/>
              <w:ind w:left="24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002053"/>
                <w:sz w:val="18"/>
              </w:rPr>
              <w:t xml:space="preserve">CLASS: </w:t>
            </w:r>
            <w:r>
              <w:rPr>
                <w:rFonts w:ascii="Arial;Helvetica;Sans-Serif" w:hAnsi="Arial;Helvetica;Sans-Serif"/>
                <w:b w:val="false"/>
                <w:i w:val="false"/>
                <w:caps w:val="false"/>
                <w:smallCaps w:val="false"/>
                <w:sz w:val="18"/>
              </w:rPr>
              <w:t>I</w:t>
            </w:r>
          </w:p>
          <w:p>
            <w:pPr>
              <w:pStyle w:val="TableContents"/>
              <w:bidi w:val="0"/>
              <w:spacing w:before="0" w:after="0"/>
              <w:ind w:left="240" w:right="0" w:hanging="0"/>
              <w:jc w:val="left"/>
              <w:rPr>
                <w:caps w:val="false"/>
                <w:smallCaps w:val="false"/>
              </w:rPr>
            </w:pPr>
            <w:r>
              <w:rPr>
                <w:caps w:val="false"/>
                <w:smallCaps w:val="false"/>
              </w:rPr>
              <w:t> </w:t>
            </w:r>
          </w:p>
          <w:p>
            <w:pPr>
              <w:pStyle w:val="TableContents"/>
              <w:bidi w:val="0"/>
              <w:spacing w:before="0" w:after="0"/>
              <w:ind w:left="240" w:right="0" w:hanging="0"/>
              <w:jc w:val="left"/>
              <w:rPr>
                <w:rFonts w:ascii="Arial;Helvetica;Sans-Serif" w:hAnsi="Arial;Helvetica;Sans-Serif"/>
                <w:b/>
                <w:i w:val="false"/>
                <w:caps w:val="false"/>
                <w:smallCaps w:val="false"/>
                <w:color w:val="002053"/>
                <w:sz w:val="18"/>
              </w:rPr>
            </w:pPr>
            <w:r>
              <w:rPr>
                <w:rFonts w:ascii="Arial;Helvetica;Sans-Serif" w:hAnsi="Arial;Helvetica;Sans-Serif"/>
                <w:b/>
                <w:i w:val="false"/>
                <w:caps w:val="false"/>
                <w:smallCaps w:val="false"/>
                <w:color w:val="002053"/>
                <w:sz w:val="18"/>
              </w:rPr>
              <w:t>COMMITTEES:</w:t>
            </w:r>
          </w:p>
          <w:p>
            <w:pPr>
              <w:pStyle w:val="TableContents"/>
              <w:bidi w:val="0"/>
              <w:spacing w:before="0" w:after="0"/>
              <w:ind w:left="24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Nominating</w:t>
            </w:r>
          </w:p>
          <w:p>
            <w:pPr>
              <w:pStyle w:val="TableContents"/>
              <w:bidi w:val="0"/>
              <w:spacing w:before="0" w:after="0"/>
              <w:ind w:left="24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&amp; Corporate</w:t>
            </w:r>
          </w:p>
          <w:p>
            <w:pPr>
              <w:pStyle w:val="TableContents"/>
              <w:bidi w:val="0"/>
              <w:spacing w:before="0" w:after="0"/>
              <w:ind w:left="24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Governance (Member)</w:t>
            </w:r>
          </w:p>
          <w:p>
            <w:pPr>
              <w:pStyle w:val="TableContents"/>
              <w:bidi w:val="0"/>
              <w:spacing w:before="0" w:after="0"/>
              <w:ind w:left="24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Risk Management</w:t>
            </w:r>
          </w:p>
          <w:p>
            <w:pPr>
              <w:pStyle w:val="TableContents"/>
              <w:bidi w:val="0"/>
              <w:spacing w:before="0" w:after="0"/>
              <w:ind w:left="24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18"/>
              </w:rPr>
              <w:t>(Chair)</w:t>
            </w:r>
            <w:r>
              <w:rPr>
                <w:rFonts w:ascii="Arial;Helvetica;Sans-Serif" w:hAnsi="Arial;Helvetica;Sans-Serif"/>
                <w:b w:val="false"/>
                <w:i w:val="false"/>
                <w:caps w:val="false"/>
                <w:smallCaps w:val="false"/>
                <w:sz w:val="20"/>
              </w:rPr>
              <w:t> </w:t>
            </w:r>
          </w:p>
          <w:p>
            <w:pPr>
              <w:pStyle w:val="TableContents"/>
              <w:bidi w:val="0"/>
              <w:spacing w:before="0" w:after="0"/>
              <w:ind w:left="240" w:right="0" w:hanging="0"/>
              <w:jc w:val="left"/>
              <w:rPr>
                <w:caps w:val="false"/>
                <w:smallCaps w:val="false"/>
              </w:rPr>
            </w:pPr>
            <w:r>
              <w:rPr>
                <w:caps w:val="false"/>
                <w:smallCaps w:val="false"/>
              </w:rPr>
              <w:t> </w:t>
            </w:r>
          </w:p>
        </w:tc>
        <w:tc>
          <w:tcPr>
            <w:tcW w:w="60" w:type="dxa"/>
            <w:tcBorders/>
            <w:shd w:fill="F6FBFE" w:val="clear"/>
            <w:vAlign w:val="center"/>
          </w:tcPr>
          <w:p>
            <w:pPr>
              <w:pStyle w:val="TableContents"/>
              <w:bidi w:val="0"/>
              <w:spacing w:before="0" w:after="283"/>
              <w:jc w:val="left"/>
              <w:rPr/>
            </w:pPr>
            <w:r>
              <w:rPr/>
              <w:t> </w:t>
            </w:r>
          </w:p>
        </w:tc>
        <w:tc>
          <w:tcPr>
            <w:tcW w:w="7790" w:type="dxa"/>
            <w:tcBorders/>
            <w:shd w:fill="F6FBFE" w:val="clear"/>
            <w:vAlign w:val="center"/>
          </w:tcPr>
          <w:p>
            <w:pPr>
              <w:pStyle w:val="TableContents"/>
              <w:bidi w:val="0"/>
              <w:spacing w:before="0" w:after="0"/>
              <w:ind w:left="0" w:right="0" w:hanging="0"/>
              <w:jc w:val="left"/>
              <w:rPr>
                <w:caps w:val="false"/>
                <w:smallCaps w:val="false"/>
                <w:color w:val="002053"/>
              </w:rPr>
            </w:pPr>
            <w:r>
              <w:rPr>
                <w:caps w:val="false"/>
                <w:smallCaps w:val="false"/>
                <w:color w:val="002053"/>
              </w:rPr>
              <w:t> </w:t>
            </w:r>
          </w:p>
          <w:p>
            <w:pPr>
              <w:pStyle w:val="TableContents"/>
              <w:bidi w:val="0"/>
              <w:spacing w:before="0" w:after="0"/>
              <w:ind w:left="0" w:right="0" w:hanging="0"/>
              <w:jc w:val="left"/>
              <w:rPr>
                <w:rFonts w:ascii="Arial;Helvetica;Sans-Serif" w:hAnsi="Arial;Helvetica;Sans-Serif"/>
                <w:b/>
                <w:i w:val="false"/>
                <w:caps w:val="false"/>
                <w:smallCaps w:val="false"/>
                <w:color w:val="002053"/>
                <w:sz w:val="26"/>
              </w:rPr>
            </w:pPr>
            <w:r>
              <w:rPr>
                <w:rFonts w:ascii="Arial;Helvetica;Sans-Serif" w:hAnsi="Arial;Helvetica;Sans-Serif"/>
                <w:b/>
                <w:i w:val="false"/>
                <w:caps w:val="false"/>
                <w:smallCaps w:val="false"/>
                <w:color w:val="002053"/>
                <w:sz w:val="26"/>
              </w:rPr>
              <w:t>Edgar A. Terry</w:t>
            </w:r>
          </w:p>
          <w:p>
            <w:pPr>
              <w:pStyle w:val="TableContents"/>
              <w:bidi w:val="0"/>
              <w:spacing w:before="0" w:after="0"/>
              <w:ind w:left="0" w:right="0" w:hanging="0"/>
              <w:jc w:val="left"/>
              <w:rPr>
                <w:caps w:val="false"/>
                <w:smallCaps w:val="false"/>
                <w:color w:val="FF0000"/>
              </w:rPr>
            </w:pPr>
            <w:r>
              <w:rPr>
                <w:caps w:val="false"/>
                <w:smallCaps w:val="false"/>
                <w:color w:val="FF0000"/>
              </w:rPr>
              <w:t> </w:t>
            </w:r>
          </w:p>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Mr. Terry has served as a director of the Company since 2017. Since 1982, Mr. Terry has worked for his family company, Terry Farms, Inc., which produces various vegetable and strawberry crops in Ventura County, California; he serves as its President and Chief Financial Officer (1990-Present). Additionally, he serves as President of Willal, Inc. (1990- Present). Mr. Terry also teaches corporate finance at California Lutheran University (1987-Present). In the past, Mr. Terry served as President of the Ventura County Farm Bureau (2001-2003) and as Chief Financial Officer of the District 63 Umpire Association (2006-2013). Mr. Terry currently serves as a director (and on various committees) on several companies and other entities, including Terry Farms Inc.; Farm Credit System; CoBank; Willal, Inc.; Rancho Adobe, Inc.; Ventura County Fair Foundation, the Center for Economic Forecasting Advisory Board at California Lutheran University and the Federal Farm Credit Funding Corporation. Mr. Terry is a graduate of California Lutheran University where he earned a Bachelor of Science degree and a Master of Business Administration degree.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Mr. Terry’s extensive experience in agribusiness, finance, and the Ventura County community provides the Board with important knowledge and perspective regarding the responsible use of the Company’s land and water resources, technical and financial expertise, and community relations.</w:t>
            </w:r>
          </w:p>
          <w:p>
            <w:pPr>
              <w:pStyle w:val="TableContents"/>
              <w:bidi w:val="0"/>
              <w:spacing w:before="0" w:after="0"/>
              <w:ind w:left="0" w:right="0" w:hanging="0"/>
              <w:jc w:val="left"/>
              <w:rPr>
                <w:caps w:val="false"/>
                <w:smallCaps w:val="false"/>
                <w:color w:val="002053"/>
              </w:rPr>
            </w:pPr>
            <w:r>
              <w:rPr>
                <w:caps w:val="false"/>
                <w:smallCaps w:val="false"/>
                <w:color w:val="002053"/>
              </w:rPr>
              <w:t> </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color w:val="65C8F2"/>
          <w:sz w:val="24"/>
          <w:bdr w:val="single" w:sz="8" w:space="1" w:color="2872A8"/>
        </w:rPr>
      </w:pPr>
      <w:r>
        <w:rPr>
          <w:rFonts w:ascii="Arial;Helvetica;Sans-Serif" w:hAnsi="Arial;Helvetica;Sans-Serif"/>
          <w:b/>
          <w:i w:val="false"/>
          <w:caps w:val="false"/>
          <w:smallCaps w:val="false"/>
          <w:color w:val="65C8F2"/>
          <w:sz w:val="24"/>
          <w:bdr w:val="single" w:sz="8" w:space="1" w:color="2872A8"/>
        </w:rPr>
        <w:t>Incumbent Class II Directors – Term Expiring at 2028 Annual Meeting of Stockholders</w:t>
      </w:r>
    </w:p>
    <w:p>
      <w:pPr>
        <w:pStyle w:val="TextBody"/>
        <w:bidi w:val="0"/>
        <w:spacing w:before="0" w:after="0"/>
        <w:ind w:left="0" w:right="0" w:hanging="0"/>
        <w:jc w:val="left"/>
        <w:rPr>
          <w:caps w:val="false"/>
          <w:smallCaps w:val="false"/>
          <w:color w:val="65C8F2"/>
          <w:bdr w:val="single" w:sz="8" w:space="1" w:color="2872A8"/>
        </w:rPr>
      </w:pPr>
      <w:r>
        <w:rPr>
          <w:caps w:val="false"/>
          <w:smallCaps w:val="false"/>
          <w:color w:val="65C8F2"/>
          <w:bdr w:val="single" w:sz="8" w:space="1" w:color="2872A8"/>
        </w:rPr>
        <w:t> </w:t>
      </w:r>
    </w:p>
    <w:tbl>
      <w:tblPr>
        <w:tblW w:w="10205" w:type="dxa"/>
        <w:jc w:val="left"/>
        <w:tblInd w:w="0" w:type="dxa"/>
        <w:tblLayout w:type="fixed"/>
        <w:tblCellMar>
          <w:top w:w="0" w:type="dxa"/>
          <w:left w:w="0" w:type="dxa"/>
          <w:bottom w:w="0" w:type="dxa"/>
          <w:right w:w="0" w:type="dxa"/>
        </w:tblCellMar>
      </w:tblPr>
      <w:tblGrid>
        <w:gridCol w:w="2340"/>
        <w:gridCol w:w="60"/>
        <w:gridCol w:w="7805"/>
      </w:tblGrid>
      <w:tr>
        <w:trPr/>
        <w:tc>
          <w:tcPr>
            <w:tcW w:w="2340" w:type="dxa"/>
            <w:tcBorders/>
            <w:shd w:fill="D2ECFB" w:val="clear"/>
            <w:vAlign w:val="center"/>
          </w:tcPr>
          <w:p>
            <w:pPr>
              <w:pStyle w:val="TableContents"/>
              <w:bidi w:val="0"/>
              <w:jc w:val="left"/>
              <w:rPr/>
            </w:pPr>
            <w:r>
              <w:rPr/>
              <w:drawing>
                <wp:inline distT="0" distB="0" distL="0" distR="0">
                  <wp:extent cx="1476375" cy="14668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476375" cy="1466850"/>
                          </a:xfrm>
                          <a:prstGeom prst="rect">
                            <a:avLst/>
                          </a:prstGeom>
                        </pic:spPr>
                      </pic:pic>
                    </a:graphicData>
                  </a:graphic>
                </wp:inline>
              </w:drawing>
            </w:r>
          </w:p>
          <w:p>
            <w:pPr>
              <w:pStyle w:val="TableContents"/>
              <w:bidi w:val="0"/>
              <w:spacing w:before="0" w:after="0"/>
              <w:ind w:left="0" w:right="0" w:hanging="0"/>
              <w:jc w:val="left"/>
              <w:rPr>
                <w:caps w:val="false"/>
                <w:smallCaps w:val="false"/>
                <w:color w:val="002053"/>
              </w:rPr>
            </w:pPr>
            <w:r>
              <w:rPr>
                <w:caps w:val="false"/>
                <w:smallCaps w:val="false"/>
                <w:color w:val="002053"/>
              </w:rPr>
              <w:t> </w:t>
            </w:r>
          </w:p>
          <w:p>
            <w:pPr>
              <w:pStyle w:val="TableContents"/>
              <w:bidi w:val="0"/>
              <w:spacing w:before="0" w:after="0"/>
              <w:ind w:left="24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002053"/>
                <w:sz w:val="18"/>
              </w:rPr>
              <w:t xml:space="preserve">AGE: </w:t>
            </w:r>
            <w:r>
              <w:rPr>
                <w:rFonts w:ascii="Arial;Helvetica;Sans-Serif" w:hAnsi="Arial;Helvetica;Sans-Serif"/>
                <w:b w:val="false"/>
                <w:i w:val="false"/>
                <w:caps w:val="false"/>
                <w:smallCaps w:val="false"/>
                <w:sz w:val="18"/>
              </w:rPr>
              <w:t>67</w:t>
            </w:r>
          </w:p>
          <w:p>
            <w:pPr>
              <w:pStyle w:val="TableContents"/>
              <w:bidi w:val="0"/>
              <w:spacing w:before="0" w:after="0"/>
              <w:ind w:left="240" w:right="0" w:hanging="0"/>
              <w:jc w:val="left"/>
              <w:rPr>
                <w:caps w:val="false"/>
                <w:smallCaps w:val="false"/>
              </w:rPr>
            </w:pPr>
            <w:r>
              <w:rPr>
                <w:caps w:val="false"/>
                <w:smallCaps w:val="false"/>
              </w:rPr>
              <w:t> </w:t>
            </w:r>
          </w:p>
          <w:p>
            <w:pPr>
              <w:pStyle w:val="TableContents"/>
              <w:bidi w:val="0"/>
              <w:spacing w:before="0" w:after="0"/>
              <w:ind w:left="24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002053"/>
                <w:sz w:val="18"/>
              </w:rPr>
              <w:t xml:space="preserve">CLASS: </w:t>
            </w:r>
            <w:r>
              <w:rPr>
                <w:rFonts w:ascii="Arial;Helvetica;Sans-Serif" w:hAnsi="Arial;Helvetica;Sans-Serif"/>
                <w:b w:val="false"/>
                <w:i w:val="false"/>
                <w:caps w:val="false"/>
                <w:smallCaps w:val="false"/>
                <w:sz w:val="18"/>
              </w:rPr>
              <w:t>II</w:t>
            </w:r>
          </w:p>
          <w:p>
            <w:pPr>
              <w:pStyle w:val="TableContents"/>
              <w:bidi w:val="0"/>
              <w:spacing w:before="0" w:after="0"/>
              <w:ind w:left="240" w:right="0" w:hanging="0"/>
              <w:jc w:val="left"/>
              <w:rPr>
                <w:caps w:val="false"/>
                <w:smallCaps w:val="false"/>
              </w:rPr>
            </w:pPr>
            <w:r>
              <w:rPr>
                <w:caps w:val="false"/>
                <w:smallCaps w:val="false"/>
              </w:rPr>
              <w:t> </w:t>
            </w:r>
          </w:p>
          <w:p>
            <w:pPr>
              <w:pStyle w:val="TableContents"/>
              <w:bidi w:val="0"/>
              <w:spacing w:before="0" w:after="0"/>
              <w:ind w:left="240" w:right="0" w:hanging="0"/>
              <w:jc w:val="left"/>
              <w:rPr>
                <w:rFonts w:ascii="Arial;Helvetica;Sans-Serif" w:hAnsi="Arial;Helvetica;Sans-Serif"/>
                <w:b/>
                <w:i w:val="false"/>
                <w:caps w:val="false"/>
                <w:smallCaps w:val="false"/>
                <w:color w:val="002053"/>
                <w:sz w:val="18"/>
              </w:rPr>
            </w:pPr>
            <w:r>
              <w:rPr>
                <w:rFonts w:ascii="Arial;Helvetica;Sans-Serif" w:hAnsi="Arial;Helvetica;Sans-Serif"/>
                <w:b/>
                <w:i w:val="false"/>
                <w:caps w:val="false"/>
                <w:smallCaps w:val="false"/>
                <w:color w:val="002053"/>
                <w:sz w:val="18"/>
              </w:rPr>
              <w:t>COMMITTEES:</w:t>
            </w:r>
          </w:p>
          <w:p>
            <w:pPr>
              <w:pStyle w:val="TableContents"/>
              <w:bidi w:val="0"/>
              <w:spacing w:before="0" w:after="0"/>
              <w:ind w:left="24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Audit &amp; Finance</w:t>
              <w:br/>
              <w:t>(Chair)</w:t>
              <w:br/>
              <w:t>Compensation</w:t>
              <w:br/>
              <w:t>(Member)</w:t>
            </w:r>
          </w:p>
          <w:p>
            <w:pPr>
              <w:pStyle w:val="TableContents"/>
              <w:bidi w:val="0"/>
              <w:spacing w:before="0" w:after="0"/>
              <w:ind w:left="0" w:right="0" w:hanging="0"/>
              <w:jc w:val="left"/>
              <w:rPr>
                <w:caps w:val="false"/>
                <w:smallCaps w:val="false"/>
                <w:color w:val="002053"/>
              </w:rPr>
            </w:pPr>
            <w:r>
              <w:rPr>
                <w:caps w:val="false"/>
                <w:smallCaps w:val="false"/>
                <w:color w:val="002053"/>
              </w:rPr>
              <w:t> </w:t>
            </w:r>
          </w:p>
        </w:tc>
        <w:tc>
          <w:tcPr>
            <w:tcW w:w="60" w:type="dxa"/>
            <w:tcBorders/>
            <w:shd w:fill="F6FBFE" w:val="clear"/>
            <w:vAlign w:val="center"/>
          </w:tcPr>
          <w:p>
            <w:pPr>
              <w:pStyle w:val="TableContents"/>
              <w:bidi w:val="0"/>
              <w:spacing w:before="0" w:after="283"/>
              <w:jc w:val="left"/>
              <w:rPr/>
            </w:pPr>
            <w:r>
              <w:rPr/>
              <w:t> </w:t>
            </w:r>
          </w:p>
        </w:tc>
        <w:tc>
          <w:tcPr>
            <w:tcW w:w="7805" w:type="dxa"/>
            <w:tcBorders/>
            <w:shd w:fill="F6FBFE" w:val="clear"/>
            <w:vAlign w:val="center"/>
          </w:tcPr>
          <w:p>
            <w:pPr>
              <w:pStyle w:val="TableContents"/>
              <w:bidi w:val="0"/>
              <w:spacing w:before="0" w:after="0"/>
              <w:ind w:left="0" w:right="0" w:hanging="0"/>
              <w:jc w:val="left"/>
              <w:rPr>
                <w:caps w:val="false"/>
                <w:smallCaps w:val="false"/>
                <w:color w:val="002053"/>
              </w:rPr>
            </w:pPr>
            <w:r>
              <w:rPr>
                <w:caps w:val="false"/>
                <w:smallCaps w:val="false"/>
                <w:color w:val="002053"/>
              </w:rPr>
              <w:t> </w:t>
            </w:r>
          </w:p>
          <w:p>
            <w:pPr>
              <w:pStyle w:val="TableContents"/>
              <w:bidi w:val="0"/>
              <w:spacing w:before="0" w:after="0"/>
              <w:ind w:left="0" w:right="0" w:hanging="0"/>
              <w:jc w:val="left"/>
              <w:rPr>
                <w:rFonts w:ascii="Arial;Helvetica;Sans-Serif" w:hAnsi="Arial;Helvetica;Sans-Serif"/>
                <w:b/>
                <w:i w:val="false"/>
                <w:caps w:val="false"/>
                <w:smallCaps w:val="false"/>
                <w:color w:val="002053"/>
                <w:sz w:val="26"/>
              </w:rPr>
            </w:pPr>
            <w:r>
              <w:rPr>
                <w:rFonts w:ascii="Arial;Helvetica;Sans-Serif" w:hAnsi="Arial;Helvetica;Sans-Serif"/>
                <w:b/>
                <w:i w:val="false"/>
                <w:caps w:val="false"/>
                <w:smallCaps w:val="false"/>
                <w:color w:val="002053"/>
                <w:sz w:val="26"/>
              </w:rPr>
              <w:t>Barbara Carbone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Ms. Carbone has served as a director of the Company since 2022. Ms. Carbone served in several accounting and auditing-related roles at KPMG LLP, a multinational accounting and advisory firm from 1981 through September 2019. Prior to her retirement she served on the KPMG Partnership Audit Committee for six years including three years as the chairperson. Ms. Carbone currently serves on the board of directors and on the audit committee of The Cooper Companies, Inc. and on the board of directors and as audit committee chair of Bob’s Discount Furniture, Inc. Ms. Carbone served as the chairperson of the board of directors and a member of the workforce and compensation committees for TrueCar, Inc. from June 2023 to January 2026, and on the Audit Committee throughout her term on the board, as chair from December 2021. She served as a member of the board of directors, a member of the audit and transaction committees, and as chair of the compensation committee of DZS Inc. (NSDQ: DZSI) from January 2021 through March 2025 and as chair of the nominating and governance committee from May 2024 through March 2025. From September 1998 through December 2019, she served as a member of the board of directors, and chair of the audit committee, of the Women’s Business Enterprise National Council, the largest certifier of women-owned businesses in the United States and a leading advocate for women business owners and entrepreneurs. Ms. Carbone has a Bachelor of Science in Business Administration (Accountancy) from California State University at Sacramento.</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Ms. Carbone’s extensive public reporting experience, audit committee leadership, and public board experience brings a level of diversity and financial expertise to the Board.</w:t>
            </w:r>
          </w:p>
          <w:p>
            <w:pPr>
              <w:pStyle w:val="TableContents"/>
              <w:bidi w:val="0"/>
              <w:spacing w:before="0" w:after="0"/>
              <w:ind w:left="0" w:right="0" w:hanging="0"/>
              <w:jc w:val="left"/>
              <w:rPr>
                <w:caps w:val="false"/>
                <w:smallCaps w:val="false"/>
                <w:color w:val="002053"/>
              </w:rPr>
            </w:pPr>
            <w:r>
              <w:rPr>
                <w:caps w:val="false"/>
                <w:smallCaps w:val="false"/>
                <w:color w:val="002053"/>
              </w:rPr>
              <w:t> </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29</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10205" w:type="dxa"/>
        <w:jc w:val="left"/>
        <w:tblInd w:w="0" w:type="dxa"/>
        <w:tblLayout w:type="fixed"/>
        <w:tblCellMar>
          <w:top w:w="0" w:type="dxa"/>
          <w:left w:w="0" w:type="dxa"/>
          <w:bottom w:w="0" w:type="dxa"/>
          <w:right w:w="0" w:type="dxa"/>
        </w:tblCellMar>
      </w:tblPr>
      <w:tblGrid>
        <w:gridCol w:w="2355"/>
        <w:gridCol w:w="60"/>
        <w:gridCol w:w="7790"/>
      </w:tblGrid>
      <w:tr>
        <w:trPr/>
        <w:tc>
          <w:tcPr>
            <w:tcW w:w="2355" w:type="dxa"/>
            <w:tcBorders/>
            <w:shd w:fill="D2ECFB" w:val="clear"/>
            <w:vAlign w:val="center"/>
          </w:tcPr>
          <w:p>
            <w:pPr>
              <w:pStyle w:val="TableContents"/>
              <w:bidi w:val="0"/>
              <w:jc w:val="left"/>
              <w:rPr/>
            </w:pPr>
            <w:r>
              <w:rPr/>
              <w:drawing>
                <wp:inline distT="0" distB="0" distL="0" distR="0">
                  <wp:extent cx="1485900" cy="145732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485900" cy="1457325"/>
                          </a:xfrm>
                          <a:prstGeom prst="rect">
                            <a:avLst/>
                          </a:prstGeom>
                        </pic:spPr>
                      </pic:pic>
                    </a:graphicData>
                  </a:graphic>
                </wp:inline>
              </w:drawing>
            </w:r>
          </w:p>
          <w:p>
            <w:pPr>
              <w:pStyle w:val="TableContents"/>
              <w:bidi w:val="0"/>
              <w:spacing w:before="0" w:after="0"/>
              <w:ind w:left="0" w:right="0" w:hanging="0"/>
              <w:jc w:val="left"/>
              <w:rPr>
                <w:caps w:val="false"/>
                <w:smallCaps w:val="false"/>
                <w:color w:val="002053"/>
              </w:rPr>
            </w:pPr>
            <w:r>
              <w:rPr>
                <w:caps w:val="false"/>
                <w:smallCaps w:val="false"/>
                <w:color w:val="002053"/>
              </w:rPr>
              <w:t> </w:t>
            </w:r>
          </w:p>
          <w:p>
            <w:pPr>
              <w:pStyle w:val="TableContents"/>
              <w:bidi w:val="0"/>
              <w:spacing w:before="0" w:after="0"/>
              <w:ind w:left="24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002053"/>
                <w:sz w:val="18"/>
              </w:rPr>
              <w:t xml:space="preserve">AGE: </w:t>
            </w:r>
            <w:r>
              <w:rPr>
                <w:rFonts w:ascii="Arial;Helvetica;Sans-Serif" w:hAnsi="Arial;Helvetica;Sans-Serif"/>
                <w:b w:val="false"/>
                <w:i w:val="false"/>
                <w:caps w:val="false"/>
                <w:smallCaps w:val="false"/>
                <w:sz w:val="18"/>
              </w:rPr>
              <w:t>73</w:t>
            </w:r>
          </w:p>
          <w:p>
            <w:pPr>
              <w:pStyle w:val="TableContents"/>
              <w:bidi w:val="0"/>
              <w:spacing w:before="0" w:after="0"/>
              <w:ind w:left="240" w:right="0" w:hanging="0"/>
              <w:jc w:val="left"/>
              <w:rPr>
                <w:caps w:val="false"/>
                <w:smallCaps w:val="false"/>
              </w:rPr>
            </w:pPr>
            <w:r>
              <w:rPr>
                <w:caps w:val="false"/>
                <w:smallCaps w:val="false"/>
              </w:rPr>
              <w:t> </w:t>
            </w:r>
          </w:p>
          <w:p>
            <w:pPr>
              <w:pStyle w:val="TableContents"/>
              <w:bidi w:val="0"/>
              <w:spacing w:before="0" w:after="0"/>
              <w:ind w:left="24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002053"/>
                <w:sz w:val="18"/>
              </w:rPr>
              <w:t xml:space="preserve">CLASS: </w:t>
            </w:r>
            <w:r>
              <w:rPr>
                <w:rFonts w:ascii="Arial;Helvetica;Sans-Serif" w:hAnsi="Arial;Helvetica;Sans-Serif"/>
                <w:b w:val="false"/>
                <w:i w:val="false"/>
                <w:caps w:val="false"/>
                <w:smallCaps w:val="false"/>
                <w:sz w:val="18"/>
              </w:rPr>
              <w:t>II</w:t>
            </w:r>
          </w:p>
          <w:p>
            <w:pPr>
              <w:pStyle w:val="TableContents"/>
              <w:bidi w:val="0"/>
              <w:spacing w:before="0" w:after="0"/>
              <w:ind w:left="240" w:right="0" w:hanging="0"/>
              <w:jc w:val="left"/>
              <w:rPr>
                <w:caps w:val="false"/>
                <w:smallCaps w:val="false"/>
              </w:rPr>
            </w:pPr>
            <w:r>
              <w:rPr>
                <w:caps w:val="false"/>
                <w:smallCaps w:val="false"/>
              </w:rPr>
              <w:t> </w:t>
            </w:r>
          </w:p>
          <w:p>
            <w:pPr>
              <w:pStyle w:val="TableContents"/>
              <w:bidi w:val="0"/>
              <w:spacing w:before="0" w:after="0"/>
              <w:ind w:left="240" w:right="0" w:hanging="0"/>
              <w:jc w:val="left"/>
              <w:rPr>
                <w:rFonts w:ascii="Arial;Helvetica;Sans-Serif" w:hAnsi="Arial;Helvetica;Sans-Serif"/>
                <w:b/>
                <w:i w:val="false"/>
                <w:caps w:val="false"/>
                <w:smallCaps w:val="false"/>
                <w:color w:val="002053"/>
                <w:sz w:val="18"/>
              </w:rPr>
            </w:pPr>
            <w:r>
              <w:rPr>
                <w:rFonts w:ascii="Arial;Helvetica;Sans-Serif" w:hAnsi="Arial;Helvetica;Sans-Serif"/>
                <w:b/>
                <w:i w:val="false"/>
                <w:caps w:val="false"/>
                <w:smallCaps w:val="false"/>
                <w:color w:val="002053"/>
                <w:sz w:val="18"/>
              </w:rPr>
              <w:t>COMMITTEES:</w:t>
            </w:r>
          </w:p>
          <w:p>
            <w:pPr>
              <w:pStyle w:val="TableContents"/>
              <w:bidi w:val="0"/>
              <w:spacing w:before="0" w:after="0"/>
              <w:ind w:left="24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Audit &amp; Finance</w:t>
              <w:br/>
              <w:t>(Member)</w:t>
            </w:r>
          </w:p>
          <w:p>
            <w:pPr>
              <w:pStyle w:val="TableContents"/>
              <w:bidi w:val="0"/>
              <w:spacing w:before="0" w:after="0"/>
              <w:ind w:left="24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Risk Management</w:t>
            </w:r>
          </w:p>
          <w:p>
            <w:pPr>
              <w:pStyle w:val="TableContents"/>
              <w:bidi w:val="0"/>
              <w:spacing w:before="0" w:after="0"/>
              <w:ind w:left="24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(Member)</w:t>
            </w:r>
          </w:p>
          <w:p>
            <w:pPr>
              <w:pStyle w:val="TableContents"/>
              <w:bidi w:val="0"/>
              <w:spacing w:before="0" w:after="0"/>
              <w:ind w:left="0" w:right="0" w:hanging="0"/>
              <w:jc w:val="left"/>
              <w:rPr>
                <w:caps w:val="false"/>
                <w:smallCaps w:val="false"/>
                <w:color w:val="002053"/>
              </w:rPr>
            </w:pPr>
            <w:r>
              <w:rPr>
                <w:caps w:val="false"/>
                <w:smallCaps w:val="false"/>
                <w:color w:val="002053"/>
              </w:rPr>
              <w:t> </w:t>
            </w:r>
          </w:p>
        </w:tc>
        <w:tc>
          <w:tcPr>
            <w:tcW w:w="60" w:type="dxa"/>
            <w:tcBorders/>
            <w:shd w:fill="F6FBFE" w:val="clear"/>
            <w:vAlign w:val="center"/>
          </w:tcPr>
          <w:p>
            <w:pPr>
              <w:pStyle w:val="TableContents"/>
              <w:bidi w:val="0"/>
              <w:spacing w:before="0" w:after="283"/>
              <w:jc w:val="left"/>
              <w:rPr/>
            </w:pPr>
            <w:r>
              <w:rPr/>
              <w:t> </w:t>
            </w:r>
          </w:p>
        </w:tc>
        <w:tc>
          <w:tcPr>
            <w:tcW w:w="7790" w:type="dxa"/>
            <w:tcBorders/>
            <w:shd w:fill="F6FBFE" w:val="clear"/>
            <w:vAlign w:val="center"/>
          </w:tcPr>
          <w:p>
            <w:pPr>
              <w:pStyle w:val="TableContents"/>
              <w:bidi w:val="0"/>
              <w:spacing w:before="0" w:after="0"/>
              <w:ind w:left="0" w:right="0" w:hanging="0"/>
              <w:jc w:val="left"/>
              <w:rPr>
                <w:caps w:val="false"/>
                <w:smallCaps w:val="false"/>
                <w:color w:val="002053"/>
              </w:rPr>
            </w:pPr>
            <w:r>
              <w:rPr>
                <w:caps w:val="false"/>
                <w:smallCaps w:val="false"/>
                <w:color w:val="002053"/>
              </w:rPr>
              <w:t> </w:t>
            </w:r>
          </w:p>
          <w:p>
            <w:pPr>
              <w:pStyle w:val="TableContents"/>
              <w:bidi w:val="0"/>
              <w:spacing w:before="0" w:after="0"/>
              <w:ind w:left="0" w:right="0" w:hanging="0"/>
              <w:jc w:val="left"/>
              <w:rPr>
                <w:rFonts w:ascii="Arial;Helvetica;Sans-Serif" w:hAnsi="Arial;Helvetica;Sans-Serif"/>
                <w:b/>
                <w:i w:val="false"/>
                <w:caps w:val="false"/>
                <w:smallCaps w:val="false"/>
                <w:color w:val="002053"/>
                <w:sz w:val="26"/>
              </w:rPr>
            </w:pPr>
            <w:r>
              <w:rPr>
                <w:rFonts w:ascii="Arial;Helvetica;Sans-Serif" w:hAnsi="Arial;Helvetica;Sans-Serif"/>
                <w:b/>
                <w:i w:val="false"/>
                <w:caps w:val="false"/>
                <w:smallCaps w:val="false"/>
                <w:color w:val="002053"/>
                <w:sz w:val="26"/>
              </w:rPr>
              <w:t>Gordon E. Kimball</w:t>
            </w:r>
          </w:p>
          <w:p>
            <w:pPr>
              <w:pStyle w:val="TableContents"/>
              <w:bidi w:val="0"/>
              <w:spacing w:before="0" w:after="0"/>
              <w:ind w:left="0" w:right="0" w:hanging="0"/>
              <w:jc w:val="left"/>
              <w:rPr>
                <w:caps w:val="false"/>
                <w:smallCaps w:val="false"/>
                <w:color w:val="FF0000"/>
              </w:rPr>
            </w:pPr>
            <w:r>
              <w:rPr>
                <w:caps w:val="false"/>
                <w:smallCaps w:val="false"/>
                <w:color w:val="FF0000"/>
              </w:rPr>
              <w:t> </w:t>
            </w:r>
          </w:p>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Mr. Kimball has served as a director of the Company since 1995. Mr. Kimball has been president of Kimball Engineering, Inc., which provides race car design and production services, since 1994. He is also the managing partner of Kimball Ranches, a 150-acre avocado ranch near Santa Paula, California. Prior to that, Mr. Kimball designed Formula One race cars in England and Italy for McLaren International, Ferrari and Benetton Racing from 1984 to 1992. From 1976 to 1983, he designed Indianapolis race cars for Parnelli Jones, Chaparral and Patrick racing teams. Mr. Kimball currently serves on the board of directors of the United Water Conservation District and the Fillmore and Piru Basins Groundwater Sustainability Agency. Mr. Kimball graduated from Stanford University where he earned his Bachelor of Science and Master of Science degrees in mechanical engineering.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Mr. Kimball’s experience as an entrepreneur and producer of avocados provides our Board with focused and insightful operational experience and leadership.</w:t>
            </w:r>
          </w:p>
          <w:p>
            <w:pPr>
              <w:pStyle w:val="TableContents"/>
              <w:bidi w:val="0"/>
              <w:spacing w:before="0" w:after="0"/>
              <w:ind w:left="0" w:right="0" w:hanging="0"/>
              <w:jc w:val="left"/>
              <w:rPr>
                <w:caps w:val="false"/>
                <w:smallCaps w:val="false"/>
                <w:color w:val="002053"/>
              </w:rPr>
            </w:pPr>
            <w:r>
              <w:rPr>
                <w:caps w:val="false"/>
                <w:smallCaps w:val="false"/>
                <w:color w:val="002053"/>
              </w:rPr>
              <w:t> </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10205" w:type="dxa"/>
        <w:jc w:val="left"/>
        <w:tblInd w:w="0" w:type="dxa"/>
        <w:tblLayout w:type="fixed"/>
        <w:tblCellMar>
          <w:top w:w="0" w:type="dxa"/>
          <w:left w:w="0" w:type="dxa"/>
          <w:bottom w:w="0" w:type="dxa"/>
          <w:right w:w="0" w:type="dxa"/>
        </w:tblCellMar>
      </w:tblPr>
      <w:tblGrid>
        <w:gridCol w:w="2325"/>
        <w:gridCol w:w="60"/>
        <w:gridCol w:w="7820"/>
      </w:tblGrid>
      <w:tr>
        <w:trPr/>
        <w:tc>
          <w:tcPr>
            <w:tcW w:w="2325" w:type="dxa"/>
            <w:tcBorders/>
            <w:shd w:fill="D2ECFB" w:val="clear"/>
            <w:vAlign w:val="center"/>
          </w:tcPr>
          <w:p>
            <w:pPr>
              <w:pStyle w:val="TableContents"/>
              <w:bidi w:val="0"/>
              <w:jc w:val="left"/>
              <w:rPr/>
            </w:pPr>
            <w:r>
              <w:rPr/>
              <w:drawing>
                <wp:inline distT="0" distB="0" distL="0" distR="0">
                  <wp:extent cx="1466850" cy="14763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466850" cy="1476375"/>
                          </a:xfrm>
                          <a:prstGeom prst="rect">
                            <a:avLst/>
                          </a:prstGeom>
                        </pic:spPr>
                      </pic:pic>
                    </a:graphicData>
                  </a:graphic>
                </wp:inline>
              </w:drawing>
            </w:r>
          </w:p>
          <w:p>
            <w:pPr>
              <w:pStyle w:val="TableContents"/>
              <w:bidi w:val="0"/>
              <w:spacing w:before="0" w:after="0"/>
              <w:ind w:left="0" w:right="0" w:hanging="0"/>
              <w:jc w:val="left"/>
              <w:rPr>
                <w:caps w:val="false"/>
                <w:smallCaps w:val="false"/>
                <w:color w:val="002053"/>
              </w:rPr>
            </w:pPr>
            <w:r>
              <w:rPr>
                <w:caps w:val="false"/>
                <w:smallCaps w:val="false"/>
                <w:color w:val="002053"/>
              </w:rPr>
              <w:t> </w:t>
            </w:r>
          </w:p>
          <w:p>
            <w:pPr>
              <w:pStyle w:val="TableContents"/>
              <w:bidi w:val="0"/>
              <w:spacing w:before="0" w:after="0"/>
              <w:ind w:left="24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002053"/>
                <w:sz w:val="18"/>
              </w:rPr>
              <w:t xml:space="preserve">AGE: </w:t>
            </w:r>
            <w:r>
              <w:rPr>
                <w:rFonts w:ascii="Arial;Helvetica;Sans-Serif" w:hAnsi="Arial;Helvetica;Sans-Serif"/>
                <w:b w:val="false"/>
                <w:i w:val="false"/>
                <w:caps w:val="false"/>
                <w:smallCaps w:val="false"/>
                <w:sz w:val="18"/>
              </w:rPr>
              <w:t>67</w:t>
            </w:r>
          </w:p>
          <w:p>
            <w:pPr>
              <w:pStyle w:val="TableContents"/>
              <w:bidi w:val="0"/>
              <w:spacing w:before="0" w:after="0"/>
              <w:ind w:left="240" w:right="0" w:hanging="0"/>
              <w:jc w:val="left"/>
              <w:rPr>
                <w:caps w:val="false"/>
                <w:smallCaps w:val="false"/>
              </w:rPr>
            </w:pPr>
            <w:r>
              <w:rPr>
                <w:caps w:val="false"/>
                <w:smallCaps w:val="false"/>
              </w:rPr>
              <w:t> </w:t>
            </w:r>
          </w:p>
          <w:p>
            <w:pPr>
              <w:pStyle w:val="TableContents"/>
              <w:bidi w:val="0"/>
              <w:spacing w:before="0" w:after="0"/>
              <w:ind w:left="24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002053"/>
                <w:sz w:val="18"/>
              </w:rPr>
              <w:t xml:space="preserve">CLASS: </w:t>
            </w:r>
            <w:r>
              <w:rPr>
                <w:rFonts w:ascii="Arial;Helvetica;Sans-Serif" w:hAnsi="Arial;Helvetica;Sans-Serif"/>
                <w:b w:val="false"/>
                <w:i w:val="false"/>
                <w:caps w:val="false"/>
                <w:smallCaps w:val="false"/>
                <w:sz w:val="18"/>
              </w:rPr>
              <w:t>II</w:t>
            </w:r>
          </w:p>
          <w:p>
            <w:pPr>
              <w:pStyle w:val="TableContents"/>
              <w:bidi w:val="0"/>
              <w:spacing w:before="0" w:after="0"/>
              <w:ind w:left="240" w:right="0" w:hanging="0"/>
              <w:jc w:val="left"/>
              <w:rPr>
                <w:caps w:val="false"/>
                <w:smallCaps w:val="false"/>
              </w:rPr>
            </w:pPr>
            <w:r>
              <w:rPr>
                <w:caps w:val="false"/>
                <w:smallCaps w:val="false"/>
              </w:rPr>
              <w:t> </w:t>
            </w:r>
          </w:p>
          <w:p>
            <w:pPr>
              <w:pStyle w:val="TableContents"/>
              <w:bidi w:val="0"/>
              <w:spacing w:before="0" w:after="0"/>
              <w:ind w:left="24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Chairperson of the</w:t>
              <w:br/>
              <w:t>Board of Director</w:t>
            </w:r>
          </w:p>
          <w:p>
            <w:pPr>
              <w:pStyle w:val="TableContents"/>
              <w:bidi w:val="0"/>
              <w:spacing w:before="0" w:after="0"/>
              <w:ind w:left="240" w:right="0" w:hanging="0"/>
              <w:jc w:val="left"/>
              <w:rPr>
                <w:caps w:val="false"/>
                <w:smallCaps w:val="false"/>
              </w:rPr>
            </w:pPr>
            <w:r>
              <w:rPr>
                <w:caps w:val="false"/>
                <w:smallCaps w:val="false"/>
              </w:rPr>
              <w:t> </w:t>
            </w:r>
          </w:p>
          <w:p>
            <w:pPr>
              <w:pStyle w:val="TableContents"/>
              <w:bidi w:val="0"/>
              <w:spacing w:before="0" w:after="0"/>
              <w:ind w:left="240" w:right="0" w:hanging="0"/>
              <w:jc w:val="left"/>
              <w:rPr>
                <w:rFonts w:ascii="Arial;Helvetica;Sans-Serif" w:hAnsi="Arial;Helvetica;Sans-Serif"/>
                <w:b/>
                <w:i w:val="false"/>
                <w:caps w:val="false"/>
                <w:smallCaps w:val="false"/>
                <w:color w:val="002053"/>
                <w:sz w:val="18"/>
              </w:rPr>
            </w:pPr>
            <w:r>
              <w:rPr>
                <w:rFonts w:ascii="Arial;Helvetica;Sans-Serif" w:hAnsi="Arial;Helvetica;Sans-Serif"/>
                <w:b/>
                <w:i w:val="false"/>
                <w:caps w:val="false"/>
                <w:smallCaps w:val="false"/>
                <w:color w:val="002053"/>
                <w:sz w:val="18"/>
              </w:rPr>
              <w:t>COMMITTEES:</w:t>
            </w:r>
          </w:p>
          <w:p>
            <w:pPr>
              <w:pStyle w:val="TableContents"/>
              <w:bidi w:val="0"/>
              <w:spacing w:before="0" w:after="0"/>
              <w:ind w:left="24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Compensation</w:t>
              <w:br/>
              <w:t>(Member)</w:t>
              <w:br/>
              <w:t>Nominating</w:t>
            </w:r>
          </w:p>
          <w:p>
            <w:pPr>
              <w:pStyle w:val="TableContents"/>
              <w:bidi w:val="0"/>
              <w:spacing w:before="0" w:after="0"/>
              <w:ind w:left="24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&amp; Corporate</w:t>
            </w:r>
          </w:p>
          <w:p>
            <w:pPr>
              <w:pStyle w:val="TableContents"/>
              <w:bidi w:val="0"/>
              <w:spacing w:before="0" w:after="0"/>
              <w:ind w:left="24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Governance</w:t>
              <w:br/>
              <w:t>(Member)</w:t>
            </w:r>
          </w:p>
          <w:p>
            <w:pPr>
              <w:pStyle w:val="TableContents"/>
              <w:bidi w:val="0"/>
              <w:spacing w:before="0" w:after="0"/>
              <w:ind w:left="0" w:right="0" w:hanging="0"/>
              <w:jc w:val="left"/>
              <w:rPr>
                <w:caps w:val="false"/>
                <w:smallCaps w:val="false"/>
                <w:color w:val="002053"/>
              </w:rPr>
            </w:pPr>
            <w:r>
              <w:rPr>
                <w:caps w:val="false"/>
                <w:smallCaps w:val="false"/>
                <w:color w:val="002053"/>
              </w:rPr>
              <w:t> </w:t>
            </w:r>
          </w:p>
        </w:tc>
        <w:tc>
          <w:tcPr>
            <w:tcW w:w="60" w:type="dxa"/>
            <w:tcBorders/>
            <w:shd w:fill="F6FBFE" w:val="clear"/>
            <w:vAlign w:val="center"/>
          </w:tcPr>
          <w:p>
            <w:pPr>
              <w:pStyle w:val="TableContents"/>
              <w:bidi w:val="0"/>
              <w:spacing w:before="0" w:after="283"/>
              <w:jc w:val="left"/>
              <w:rPr/>
            </w:pPr>
            <w:r>
              <w:rPr/>
              <w:t> </w:t>
            </w:r>
          </w:p>
        </w:tc>
        <w:tc>
          <w:tcPr>
            <w:tcW w:w="7820" w:type="dxa"/>
            <w:tcBorders/>
            <w:shd w:fill="F6FBFE" w:val="clear"/>
            <w:vAlign w:val="center"/>
          </w:tcPr>
          <w:p>
            <w:pPr>
              <w:pStyle w:val="TableContents"/>
              <w:bidi w:val="0"/>
              <w:spacing w:before="0" w:after="0"/>
              <w:ind w:left="0" w:right="0" w:hanging="0"/>
              <w:jc w:val="left"/>
              <w:rPr>
                <w:caps w:val="false"/>
                <w:smallCaps w:val="false"/>
                <w:color w:val="002053"/>
              </w:rPr>
            </w:pPr>
            <w:r>
              <w:rPr>
                <w:caps w:val="false"/>
                <w:smallCaps w:val="false"/>
                <w:color w:val="002053"/>
              </w:rPr>
              <w:t> </w:t>
            </w:r>
          </w:p>
          <w:p>
            <w:pPr>
              <w:pStyle w:val="TableContents"/>
              <w:bidi w:val="0"/>
              <w:spacing w:before="0" w:after="0"/>
              <w:ind w:left="0" w:right="0" w:hanging="0"/>
              <w:jc w:val="left"/>
              <w:rPr>
                <w:rFonts w:ascii="Arial;Helvetica;Sans-Serif" w:hAnsi="Arial;Helvetica;Sans-Serif"/>
                <w:b/>
                <w:i w:val="false"/>
                <w:caps w:val="false"/>
                <w:smallCaps w:val="false"/>
                <w:color w:val="002053"/>
                <w:sz w:val="26"/>
              </w:rPr>
            </w:pPr>
            <w:r>
              <w:rPr>
                <w:rFonts w:ascii="Arial;Helvetica;Sans-Serif" w:hAnsi="Arial;Helvetica;Sans-Serif"/>
                <w:b/>
                <w:i w:val="false"/>
                <w:caps w:val="false"/>
                <w:smallCaps w:val="false"/>
                <w:color w:val="002053"/>
                <w:sz w:val="26"/>
              </w:rPr>
              <w:t>Scott S. Slater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Mr. Slater has served as a director of the Company since 2012. He was named Chairperson of the Board in July 2022. Mr. Slater is a shareholder with the law firm of Brownstein Hyatt Farber Schreck, with 40 years of experience representing clients in complex water matters. Mr. Slater is an experienced litigator, and now primarily provides transactional and strategic counseling on water related matters. He was the lead negotiator for the San Diego County Water Authority, in its consummation of the largest water transfer in United States history. The author of </w:t>
            </w:r>
            <w:r>
              <w:rPr>
                <w:rFonts w:ascii="Arial;Helvetica;Sans-Serif" w:hAnsi="Arial;Helvetica;Sans-Serif"/>
                <w:b w:val="false"/>
                <w:i/>
                <w:caps w:val="false"/>
                <w:smallCaps w:val="false"/>
                <w:sz w:val="18"/>
              </w:rPr>
              <w:t>California Water Law and Policy</w:t>
            </w:r>
            <w:r>
              <w:rPr>
                <w:rFonts w:ascii="Arial;Helvetica;Sans-Serif" w:hAnsi="Arial;Helvetica;Sans-Serif"/>
                <w:b w:val="false"/>
                <w:i w:val="false"/>
                <w:caps w:val="false"/>
                <w:smallCaps w:val="false"/>
                <w:sz w:val="18"/>
              </w:rPr>
              <w:t>, the leading water law treatise in California, he also taught water law at several graduate and law schools in the United States, Australia and China. He was the principal author of strategy to decentralize groundwater sustainability planning for the Republic of Tunisia in 2022-2023 and water law legislative reform in Western Australia. He was identified by the California Daily Journal as one of the best 100 lawyers in California. From 2011 until January 1, 2024, he served as the President, Chief Executive Officer and member of the board of directors of Cadiz Inc, a publicly traded company (NASDAQ: CDZI). He currently serves as a senior advisor to Cadiz Inc. and remains the CEO of ATEC Water Systems, a wholly owned subsidiary of Cadiz Inc. Mr. Slater graduated from University of Redlands with a Bachelor degree and University of the Pacific – McGeorge School of Law where he earned a Juris Doctor.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With his significant experience in the water field, Mr. Slater brings vast knowledge to the Board and the Company to assist them in, among other things, continued stewardship and management of the Company’s water assets.</w:t>
            </w:r>
          </w:p>
          <w:p>
            <w:pPr>
              <w:pStyle w:val="TableContents"/>
              <w:bidi w:val="0"/>
              <w:spacing w:before="0" w:after="0"/>
              <w:ind w:left="0" w:right="0" w:hanging="0"/>
              <w:jc w:val="left"/>
              <w:rPr>
                <w:caps w:val="false"/>
                <w:smallCaps w:val="false"/>
                <w:color w:val="002053"/>
              </w:rPr>
            </w:pPr>
            <w:r>
              <w:rPr>
                <w:caps w:val="false"/>
                <w:smallCaps w:val="false"/>
                <w:color w:val="002053"/>
              </w:rPr>
              <w:t> </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30</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10" w:type="dxa"/>
        <w:tblLayout w:type="fixed"/>
        <w:tblCellMar>
          <w:top w:w="160" w:type="dxa"/>
          <w:left w:w="28" w:type="dxa"/>
          <w:bottom w:w="0" w:type="dxa"/>
          <w:right w:w="0" w:type="dxa"/>
        </w:tblCellMar>
      </w:tblPr>
      <w:tblGrid>
        <w:gridCol w:w="75"/>
        <w:gridCol w:w="2414"/>
        <w:gridCol w:w="7640"/>
        <w:gridCol w:w="76"/>
      </w:tblGrid>
      <w:tr>
        <w:trPr/>
        <w:tc>
          <w:tcPr>
            <w:tcW w:w="75" w:type="dxa"/>
            <w:tcBorders>
              <w:top w:val="single" w:sz="8" w:space="0" w:color="6ECBF3"/>
              <w:left w:val="single" w:sz="8" w:space="0" w:color="6ECBF3"/>
            </w:tcBorders>
            <w:shd w:fill="1C305B" w:val="clear"/>
            <w:vAlign w:val="center"/>
          </w:tcPr>
          <w:p>
            <w:pPr>
              <w:pStyle w:val="TableContents"/>
              <w:bidi w:val="0"/>
              <w:spacing w:before="0" w:after="283"/>
              <w:jc w:val="left"/>
              <w:rPr>
                <w:sz w:val="4"/>
                <w:szCs w:val="4"/>
              </w:rPr>
            </w:pPr>
            <w:r>
              <w:rPr>
                <w:sz w:val="4"/>
                <w:szCs w:val="4"/>
              </w:rPr>
            </w:r>
          </w:p>
        </w:tc>
        <w:tc>
          <w:tcPr>
            <w:tcW w:w="10054" w:type="dxa"/>
            <w:gridSpan w:val="2"/>
            <w:tcBorders>
              <w:top w:val="single" w:sz="8" w:space="0" w:color="6ECBF3"/>
            </w:tcBorders>
            <w:shd w:fill="1C305B" w:val="clear"/>
            <w:tcMar>
              <w:left w:w="0" w:type="dxa"/>
            </w:tcMar>
            <w:vAlign w:val="center"/>
          </w:tcPr>
          <w:p>
            <w:pPr>
              <w:pStyle w:val="TableContents"/>
              <w:bidi w:val="0"/>
              <w:spacing w:before="0" w:after="283"/>
              <w:jc w:val="left"/>
              <w:rPr>
                <w:rFonts w:ascii="Arial;Helvetica;Sans-Serif" w:hAnsi="Arial;Helvetica;Sans-Serif"/>
                <w:b/>
                <w:color w:val="FFFFFF"/>
                <w:sz w:val="26"/>
              </w:rPr>
            </w:pPr>
            <w:bookmarkStart w:id="44" w:name="lmnrdef14aa040"/>
            <w:bookmarkEnd w:id="44"/>
            <w:r>
              <w:rPr>
                <w:rFonts w:ascii="Arial;Helvetica;Sans-Serif" w:hAnsi="Arial;Helvetica;Sans-Serif"/>
                <w:b/>
                <w:color w:val="FFFFFF"/>
                <w:sz w:val="26"/>
              </w:rPr>
              <w:t>Executive Compensation</w:t>
            </w:r>
          </w:p>
        </w:tc>
        <w:tc>
          <w:tcPr>
            <w:tcW w:w="76" w:type="dxa"/>
            <w:tcBorders>
              <w:top w:val="single" w:sz="8" w:space="0" w:color="6ECBF3"/>
              <w:right w:val="single" w:sz="8" w:space="0" w:color="6ECBF3"/>
            </w:tcBorders>
            <w:shd w:fill="1C305B" w:val="clear"/>
            <w:tcMar>
              <w:left w:w="0" w:type="dxa"/>
              <w:right w:w="28" w:type="dxa"/>
            </w:tcMar>
            <w:vAlign w:val="center"/>
          </w:tcPr>
          <w:p>
            <w:pPr>
              <w:pStyle w:val="TableContents"/>
              <w:bidi w:val="0"/>
              <w:spacing w:before="0" w:after="283"/>
              <w:jc w:val="left"/>
              <w:rPr>
                <w:color w:val="FFFFFF"/>
              </w:rPr>
            </w:pPr>
            <w:r>
              <w:rPr>
                <w:color w:val="FFFFFF"/>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2414" w:type="dxa"/>
            <w:tcBorders/>
            <w:tcMar>
              <w:top w:w="0" w:type="dxa"/>
              <w:left w:w="0" w:type="dxa"/>
            </w:tcMar>
            <w:vAlign w:val="center"/>
          </w:tcPr>
          <w:p>
            <w:pPr>
              <w:pStyle w:val="TableContents"/>
              <w:bidi w:val="0"/>
              <w:spacing w:before="0" w:after="283"/>
              <w:jc w:val="left"/>
              <w:rPr/>
            </w:pPr>
            <w:r>
              <w:rPr/>
              <w:t> </w:t>
            </w:r>
          </w:p>
        </w:tc>
        <w:tc>
          <w:tcPr>
            <w:tcW w:w="7640" w:type="dxa"/>
            <w:tcBorders/>
            <w:tcMar>
              <w:top w:w="0" w:type="dxa"/>
              <w:left w:w="0" w:type="dxa"/>
            </w:tcMar>
            <w:vAlign w:val="center"/>
          </w:tcPr>
          <w:p>
            <w:pPr>
              <w:pStyle w:val="TableContents"/>
              <w:bidi w:val="0"/>
              <w:spacing w:before="0" w:after="283"/>
              <w:jc w:val="left"/>
              <w:rPr/>
            </w:pPr>
            <w:r>
              <w:rPr/>
              <w:t> </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color w:val="008DCF"/>
              </w:rPr>
            </w:pPr>
            <w:r>
              <w:rPr>
                <w:color w:val="008DCF"/>
              </w:rPr>
              <w:t> </w:t>
            </w:r>
          </w:p>
        </w:tc>
        <w:tc>
          <w:tcPr>
            <w:tcW w:w="10054" w:type="dxa"/>
            <w:gridSpan w:val="2"/>
            <w:tcBorders/>
            <w:tcMar>
              <w:top w:w="0" w:type="dxa"/>
              <w:left w:w="0" w:type="dxa"/>
            </w:tcMar>
            <w:vAlign w:val="center"/>
          </w:tcPr>
          <w:p>
            <w:pPr>
              <w:pStyle w:val="TableContents"/>
              <w:bidi w:val="0"/>
              <w:spacing w:before="0" w:after="283"/>
              <w:jc w:val="left"/>
              <w:rPr>
                <w:rFonts w:ascii="Arial;Helvetica;Sans-Serif" w:hAnsi="Arial;Helvetica;Sans-Serif"/>
                <w:b/>
                <w:color w:val="008DCF"/>
                <w:sz w:val="26"/>
              </w:rPr>
            </w:pPr>
            <w:bookmarkStart w:id="45" w:name="lmnrdef14aa041"/>
            <w:bookmarkEnd w:id="45"/>
            <w:r>
              <w:rPr>
                <w:rFonts w:ascii="Arial;Helvetica;Sans-Serif" w:hAnsi="Arial;Helvetica;Sans-Serif"/>
                <w:b/>
                <w:color w:val="008DCF"/>
                <w:sz w:val="26"/>
              </w:rPr>
              <w:t>Compensation Discussion and Analysis</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color w:val="008DCF"/>
              </w:rPr>
            </w:pPr>
            <w:r>
              <w:rPr>
                <w:color w:val="008DCF"/>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2414" w:type="dxa"/>
            <w:tcBorders/>
            <w:tcMar>
              <w:top w:w="0" w:type="dxa"/>
              <w:left w:w="0" w:type="dxa"/>
            </w:tcMar>
            <w:vAlign w:val="center"/>
          </w:tcPr>
          <w:p>
            <w:pPr>
              <w:pStyle w:val="TableContents"/>
              <w:bidi w:val="0"/>
              <w:spacing w:before="0" w:after="283"/>
              <w:jc w:val="left"/>
              <w:rPr/>
            </w:pPr>
            <w:r>
              <w:rPr/>
              <w:t> </w:t>
            </w:r>
          </w:p>
        </w:tc>
        <w:tc>
          <w:tcPr>
            <w:tcW w:w="7640" w:type="dxa"/>
            <w:tcBorders/>
            <w:tcMar>
              <w:top w:w="0" w:type="dxa"/>
              <w:left w:w="0" w:type="dxa"/>
            </w:tcMar>
            <w:vAlign w:val="center"/>
          </w:tcPr>
          <w:p>
            <w:pPr>
              <w:pStyle w:val="TableContents"/>
              <w:bidi w:val="0"/>
              <w:spacing w:before="0" w:after="283"/>
              <w:jc w:val="left"/>
              <w:rPr/>
            </w:pPr>
            <w:r>
              <w:rPr/>
              <w:t> </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10054" w:type="dxa"/>
            <w:gridSpan w:val="2"/>
            <w:tcBorders/>
            <w:tcMar>
              <w:top w:w="0" w:type="dxa"/>
              <w:left w:w="0" w:type="dxa"/>
            </w:tcMar>
            <w:vAlign w:val="center"/>
          </w:tcPr>
          <w:p>
            <w:pPr>
              <w:pStyle w:val="TableContents"/>
              <w:bidi w:val="0"/>
              <w:spacing w:before="0" w:after="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This Compensation Discussion and Analysis describes our fiscal year 2025 executive compensation program and the oversight provided by the Compensation Committee. It also summarizes our compensation structure and discusses the compensation earned by our NEOs and should be read in conjunction with the Summary Compensation Table, related tables and disclosures for a more complete understanding of how our NEO compensation program operates. To ensure our leaders are driven to deliver excellence for our team members, our customers, and our stockholders, our executive compensation program is designed to link business priorities with performance.</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2414" w:type="dxa"/>
            <w:tcBorders/>
            <w:tcMar>
              <w:top w:w="0" w:type="dxa"/>
              <w:left w:w="0" w:type="dxa"/>
            </w:tcMar>
            <w:vAlign w:val="center"/>
          </w:tcPr>
          <w:p>
            <w:pPr>
              <w:pStyle w:val="TableContents"/>
              <w:bidi w:val="0"/>
              <w:spacing w:before="0" w:after="283"/>
              <w:jc w:val="left"/>
              <w:rPr/>
            </w:pPr>
            <w:r>
              <w:rPr/>
              <w:t> </w:t>
            </w:r>
          </w:p>
        </w:tc>
        <w:tc>
          <w:tcPr>
            <w:tcW w:w="7640" w:type="dxa"/>
            <w:tcBorders/>
            <w:tcMar>
              <w:top w:w="0" w:type="dxa"/>
              <w:left w:w="0" w:type="dxa"/>
            </w:tcMar>
            <w:vAlign w:val="center"/>
          </w:tcPr>
          <w:p>
            <w:pPr>
              <w:pStyle w:val="TableContents"/>
              <w:bidi w:val="0"/>
              <w:spacing w:before="0" w:after="283"/>
              <w:jc w:val="left"/>
              <w:rPr/>
            </w:pPr>
            <w:r>
              <w:rPr/>
              <w:t> </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10054" w:type="dxa"/>
            <w:gridSpan w:val="2"/>
            <w:tcBorders/>
            <w:tcMar>
              <w:top w:w="0" w:type="dxa"/>
              <w:left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Our NEOs for fiscal year 2025 were:</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2414" w:type="dxa"/>
            <w:tcBorders/>
            <w:tcMar>
              <w:top w:w="0" w:type="dxa"/>
              <w:left w:w="0" w:type="dxa"/>
            </w:tcMar>
            <w:vAlign w:val="center"/>
          </w:tcPr>
          <w:p>
            <w:pPr>
              <w:pStyle w:val="TableContents"/>
              <w:bidi w:val="0"/>
              <w:spacing w:before="0" w:after="283"/>
              <w:jc w:val="left"/>
              <w:rPr/>
            </w:pPr>
            <w:r>
              <w:rPr/>
              <w:t> </w:t>
            </w:r>
          </w:p>
        </w:tc>
        <w:tc>
          <w:tcPr>
            <w:tcW w:w="7640" w:type="dxa"/>
            <w:tcBorders/>
            <w:tcMar>
              <w:top w:w="0" w:type="dxa"/>
              <w:left w:w="0" w:type="dxa"/>
            </w:tcMar>
            <w:vAlign w:val="center"/>
          </w:tcPr>
          <w:p>
            <w:pPr>
              <w:pStyle w:val="TableContents"/>
              <w:bidi w:val="0"/>
              <w:spacing w:before="0" w:after="283"/>
              <w:jc w:val="left"/>
              <w:rPr/>
            </w:pPr>
            <w:r>
              <w:rPr/>
              <w:t> </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2414" w:type="dxa"/>
            <w:tcBorders/>
            <w:tcMar>
              <w:top w:w="0" w:type="dxa"/>
              <w:left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Harold S. Edwards</w:t>
            </w:r>
            <w:r>
              <w:rPr>
                <w:rFonts w:ascii="Arial;Helvetica;Sans-Serif" w:hAnsi="Arial;Helvetica;Sans-Serif"/>
                <w:position w:val="6"/>
                <w:sz w:val="14"/>
                <w:sz w:val="18"/>
              </w:rPr>
              <w:t>(1)</w:t>
            </w:r>
          </w:p>
        </w:tc>
        <w:tc>
          <w:tcPr>
            <w:tcW w:w="7640" w:type="dxa"/>
            <w:tcBorders/>
            <w:tcMar>
              <w:top w:w="0" w:type="dxa"/>
              <w:left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President &amp; Chief Executive Officer</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2414" w:type="dxa"/>
            <w:tcBorders/>
            <w:tcMar>
              <w:top w:w="0" w:type="dxa"/>
              <w:left w:w="0" w:type="dxa"/>
            </w:tcMar>
            <w:vAlign w:val="center"/>
          </w:tcPr>
          <w:p>
            <w:pPr>
              <w:pStyle w:val="TableContents"/>
              <w:bidi w:val="0"/>
              <w:spacing w:before="0" w:after="283"/>
              <w:jc w:val="left"/>
              <w:rPr/>
            </w:pPr>
            <w:r>
              <w:rPr/>
              <w:t> </w:t>
            </w:r>
          </w:p>
        </w:tc>
        <w:tc>
          <w:tcPr>
            <w:tcW w:w="7640" w:type="dxa"/>
            <w:tcBorders/>
            <w:tcMar>
              <w:top w:w="0" w:type="dxa"/>
              <w:left w:w="0" w:type="dxa"/>
            </w:tcMar>
            <w:vAlign w:val="center"/>
          </w:tcPr>
          <w:p>
            <w:pPr>
              <w:pStyle w:val="TableContents"/>
              <w:bidi w:val="0"/>
              <w:spacing w:before="0" w:after="283"/>
              <w:jc w:val="left"/>
              <w:rPr/>
            </w:pPr>
            <w:r>
              <w:rPr/>
              <w:t> </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2414" w:type="dxa"/>
            <w:tcBorders/>
            <w:tcMar>
              <w:top w:w="0" w:type="dxa"/>
              <w:left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Mark Palamountain</w:t>
            </w:r>
          </w:p>
        </w:tc>
        <w:tc>
          <w:tcPr>
            <w:tcW w:w="7640" w:type="dxa"/>
            <w:tcBorders/>
            <w:tcMar>
              <w:top w:w="0" w:type="dxa"/>
              <w:left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Executive Vice President, Chief Financial Officer &amp; Treasurer</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2414" w:type="dxa"/>
            <w:tcBorders/>
            <w:tcMar>
              <w:top w:w="0" w:type="dxa"/>
              <w:left w:w="0" w:type="dxa"/>
            </w:tcMar>
            <w:vAlign w:val="center"/>
          </w:tcPr>
          <w:p>
            <w:pPr>
              <w:pStyle w:val="TableContents"/>
              <w:bidi w:val="0"/>
              <w:spacing w:before="0" w:after="283"/>
              <w:jc w:val="left"/>
              <w:rPr/>
            </w:pPr>
            <w:r>
              <w:rPr/>
              <w:t> </w:t>
            </w:r>
          </w:p>
        </w:tc>
        <w:tc>
          <w:tcPr>
            <w:tcW w:w="7640" w:type="dxa"/>
            <w:tcBorders/>
            <w:tcMar>
              <w:top w:w="0" w:type="dxa"/>
              <w:left w:w="0" w:type="dxa"/>
            </w:tcMar>
            <w:vAlign w:val="center"/>
          </w:tcPr>
          <w:p>
            <w:pPr>
              <w:pStyle w:val="TableContents"/>
              <w:bidi w:val="0"/>
              <w:spacing w:before="0" w:after="283"/>
              <w:jc w:val="left"/>
              <w:rPr/>
            </w:pPr>
            <w:r>
              <w:rPr/>
              <w:t> </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10054" w:type="dxa"/>
            <w:gridSpan w:val="2"/>
            <w:tcBorders/>
            <w:tcMar>
              <w:top w:w="0" w:type="dxa"/>
              <w:left w:w="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   Mr. Edwards is also a non-compensated management director.</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2414" w:type="dxa"/>
            <w:tcBorders/>
            <w:tcMar>
              <w:top w:w="0" w:type="dxa"/>
              <w:left w:w="0" w:type="dxa"/>
            </w:tcMar>
            <w:vAlign w:val="center"/>
          </w:tcPr>
          <w:p>
            <w:pPr>
              <w:pStyle w:val="TableContents"/>
              <w:bidi w:val="0"/>
              <w:spacing w:before="0" w:after="283"/>
              <w:jc w:val="left"/>
              <w:rPr/>
            </w:pPr>
            <w:r>
              <w:rPr/>
              <w:t> </w:t>
            </w:r>
          </w:p>
        </w:tc>
        <w:tc>
          <w:tcPr>
            <w:tcW w:w="7640" w:type="dxa"/>
            <w:tcBorders/>
            <w:tcMar>
              <w:top w:w="0" w:type="dxa"/>
              <w:left w:w="0" w:type="dxa"/>
            </w:tcMar>
            <w:vAlign w:val="center"/>
          </w:tcPr>
          <w:p>
            <w:pPr>
              <w:pStyle w:val="TableContents"/>
              <w:bidi w:val="0"/>
              <w:spacing w:before="0" w:after="283"/>
              <w:jc w:val="left"/>
              <w:rPr/>
            </w:pPr>
            <w:r>
              <w:rPr/>
              <w:t> </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color w:val="008DCF"/>
              </w:rPr>
            </w:pPr>
            <w:r>
              <w:rPr>
                <w:color w:val="008DCF"/>
              </w:rPr>
              <w:t> </w:t>
            </w:r>
          </w:p>
        </w:tc>
        <w:tc>
          <w:tcPr>
            <w:tcW w:w="10054" w:type="dxa"/>
            <w:gridSpan w:val="2"/>
            <w:tcBorders/>
            <w:tcMar>
              <w:top w:w="0" w:type="dxa"/>
              <w:left w:w="0" w:type="dxa"/>
            </w:tcMar>
            <w:vAlign w:val="center"/>
          </w:tcPr>
          <w:p>
            <w:pPr>
              <w:pStyle w:val="TableContents"/>
              <w:bidi w:val="0"/>
              <w:spacing w:before="0" w:after="283"/>
              <w:jc w:val="left"/>
              <w:rPr>
                <w:rFonts w:ascii="Arial;Helvetica;Sans-Serif" w:hAnsi="Arial;Helvetica;Sans-Serif"/>
                <w:b/>
                <w:color w:val="008DCF"/>
                <w:sz w:val="24"/>
              </w:rPr>
            </w:pPr>
            <w:bookmarkStart w:id="46" w:name="lmnrdef14aa042"/>
            <w:bookmarkEnd w:id="46"/>
            <w:r>
              <w:rPr>
                <w:rFonts w:ascii="Arial;Helvetica;Sans-Serif" w:hAnsi="Arial;Helvetica;Sans-Serif"/>
                <w:b/>
                <w:color w:val="008DCF"/>
                <w:sz w:val="24"/>
              </w:rPr>
              <w:t>Certain Information Regarding Our Executive Officers</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color w:val="008DCF"/>
              </w:rPr>
            </w:pPr>
            <w:r>
              <w:rPr>
                <w:color w:val="008DCF"/>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2414" w:type="dxa"/>
            <w:tcBorders/>
            <w:tcMar>
              <w:top w:w="0" w:type="dxa"/>
              <w:left w:w="0" w:type="dxa"/>
            </w:tcMar>
            <w:vAlign w:val="center"/>
          </w:tcPr>
          <w:p>
            <w:pPr>
              <w:pStyle w:val="TableContents"/>
              <w:bidi w:val="0"/>
              <w:spacing w:before="0" w:after="283"/>
              <w:jc w:val="left"/>
              <w:rPr/>
            </w:pPr>
            <w:r>
              <w:rPr/>
              <w:t> </w:t>
            </w:r>
          </w:p>
        </w:tc>
        <w:tc>
          <w:tcPr>
            <w:tcW w:w="7640" w:type="dxa"/>
            <w:tcBorders/>
            <w:tcMar>
              <w:top w:w="0" w:type="dxa"/>
              <w:left w:w="0" w:type="dxa"/>
            </w:tcMar>
            <w:vAlign w:val="center"/>
          </w:tcPr>
          <w:p>
            <w:pPr>
              <w:pStyle w:val="TableContents"/>
              <w:bidi w:val="0"/>
              <w:spacing w:before="0" w:after="283"/>
              <w:jc w:val="left"/>
              <w:rPr/>
            </w:pPr>
            <w:r>
              <w:rPr/>
              <w:t> </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color w:val="008DCF"/>
              </w:rPr>
            </w:pPr>
            <w:r>
              <w:rPr>
                <w:color w:val="008DCF"/>
              </w:rPr>
              <w:t> </w:t>
            </w:r>
          </w:p>
        </w:tc>
        <w:tc>
          <w:tcPr>
            <w:tcW w:w="10054" w:type="dxa"/>
            <w:gridSpan w:val="2"/>
            <w:tcBorders/>
            <w:tcMar>
              <w:top w:w="0" w:type="dxa"/>
              <w:left w:w="0" w:type="dxa"/>
            </w:tcMar>
            <w:vAlign w:val="center"/>
          </w:tcPr>
          <w:p>
            <w:pPr>
              <w:pStyle w:val="TableContents"/>
              <w:bidi w:val="0"/>
              <w:spacing w:before="0" w:after="283"/>
              <w:jc w:val="left"/>
              <w:rPr>
                <w:rFonts w:ascii="Arial;Helvetica;Sans-Serif" w:hAnsi="Arial;Helvetica;Sans-Serif"/>
                <w:b/>
                <w:color w:val="008DCF"/>
                <w:sz w:val="24"/>
              </w:rPr>
            </w:pPr>
            <w:bookmarkStart w:id="47" w:name="lmnrdef14aa043"/>
            <w:bookmarkEnd w:id="47"/>
            <w:r>
              <w:rPr>
                <w:rFonts w:ascii="Arial;Helvetica;Sans-Serif" w:hAnsi="Arial;Helvetica;Sans-Serif"/>
                <w:b/>
                <w:color w:val="008DCF"/>
                <w:sz w:val="24"/>
              </w:rPr>
              <w:t>Executive Officers Who Are Not Directors</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color w:val="008DCF"/>
              </w:rPr>
            </w:pPr>
            <w:r>
              <w:rPr>
                <w:color w:val="008DCF"/>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2414" w:type="dxa"/>
            <w:tcBorders/>
            <w:tcMar>
              <w:top w:w="0" w:type="dxa"/>
              <w:left w:w="0" w:type="dxa"/>
            </w:tcMar>
            <w:vAlign w:val="center"/>
          </w:tcPr>
          <w:p>
            <w:pPr>
              <w:pStyle w:val="TableContents"/>
              <w:bidi w:val="0"/>
              <w:spacing w:before="0" w:after="283"/>
              <w:jc w:val="left"/>
              <w:rPr/>
            </w:pPr>
            <w:r>
              <w:rPr/>
              <w:t> </w:t>
            </w:r>
          </w:p>
        </w:tc>
        <w:tc>
          <w:tcPr>
            <w:tcW w:w="7640" w:type="dxa"/>
            <w:tcBorders/>
            <w:tcMar>
              <w:top w:w="0" w:type="dxa"/>
              <w:left w:w="0" w:type="dxa"/>
            </w:tcMar>
            <w:vAlign w:val="center"/>
          </w:tcPr>
          <w:p>
            <w:pPr>
              <w:pStyle w:val="TableContents"/>
              <w:bidi w:val="0"/>
              <w:spacing w:before="0" w:after="283"/>
              <w:jc w:val="left"/>
              <w:rPr/>
            </w:pPr>
            <w:r>
              <w:rPr/>
              <w:t> </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2414" w:type="dxa"/>
            <w:tcBorders/>
            <w:shd w:fill="D2ECFB" w:val="clear"/>
            <w:tcMar>
              <w:top w:w="0" w:type="dxa"/>
              <w:left w:w="0" w:type="dxa"/>
            </w:tcMar>
            <w:vAlign w:val="center"/>
          </w:tcPr>
          <w:p>
            <w:pPr>
              <w:pStyle w:val="TableContents"/>
              <w:bidi w:val="0"/>
              <w:jc w:val="left"/>
              <w:rPr/>
            </w:pPr>
            <w:r>
              <w:rPr/>
              <w:drawing>
                <wp:inline distT="0" distB="0" distL="0" distR="0">
                  <wp:extent cx="1428750" cy="14097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428750" cy="1409700"/>
                          </a:xfrm>
                          <a:prstGeom prst="rect">
                            <a:avLst/>
                          </a:prstGeom>
                        </pic:spPr>
                      </pic:pic>
                    </a:graphicData>
                  </a:graphic>
                </wp:inline>
              </w:drawing>
            </w:r>
          </w:p>
          <w:p>
            <w:pPr>
              <w:pStyle w:val="TableContents"/>
              <w:bidi w:val="0"/>
              <w:jc w:val="left"/>
              <w:rPr/>
            </w:pPr>
            <w:r>
              <w:rPr/>
              <w:t> </w:t>
            </w:r>
          </w:p>
          <w:p>
            <w:pPr>
              <w:pStyle w:val="TableContents"/>
              <w:bidi w:val="0"/>
              <w:ind w:left="160" w:right="160" w:hanging="0"/>
              <w:jc w:val="left"/>
              <w:rPr/>
            </w:pPr>
            <w:r>
              <w:rPr>
                <w:rFonts w:ascii="Arial;Helvetica;Sans-Serif" w:hAnsi="Arial;Helvetica;Sans-Serif"/>
                <w:b/>
                <w:color w:val="002053"/>
                <w:sz w:val="18"/>
              </w:rPr>
              <w:t xml:space="preserve">AGE: </w:t>
            </w:r>
            <w:r>
              <w:rPr>
                <w:rFonts w:ascii="Arial;Helvetica;Sans-Serif" w:hAnsi="Arial;Helvetica;Sans-Serif"/>
                <w:sz w:val="18"/>
              </w:rPr>
              <w:t>50</w:t>
            </w:r>
          </w:p>
          <w:p>
            <w:pPr>
              <w:pStyle w:val="TableContents"/>
              <w:bidi w:val="0"/>
              <w:ind w:left="160" w:right="160" w:hanging="0"/>
              <w:jc w:val="left"/>
              <w:rPr/>
            </w:pPr>
            <w:r>
              <w:rPr/>
              <w:t> </w:t>
            </w:r>
          </w:p>
          <w:p>
            <w:pPr>
              <w:pStyle w:val="TableContents"/>
              <w:bidi w:val="0"/>
              <w:ind w:left="160" w:right="160" w:hanging="0"/>
              <w:jc w:val="left"/>
              <w:rPr>
                <w:rFonts w:ascii="Arial;Helvetica;Sans-Serif" w:hAnsi="Arial;Helvetica;Sans-Serif"/>
                <w:sz w:val="18"/>
              </w:rPr>
            </w:pPr>
            <w:r>
              <w:rPr>
                <w:rFonts w:ascii="Arial;Helvetica;Sans-Serif" w:hAnsi="Arial;Helvetica;Sans-Serif"/>
                <w:sz w:val="18"/>
              </w:rPr>
              <w:t>Executive Vice President, Chief Financial Officer &amp; Treasurer</w:t>
            </w:r>
          </w:p>
          <w:p>
            <w:pPr>
              <w:pStyle w:val="TableContents"/>
              <w:bidi w:val="0"/>
              <w:ind w:left="160" w:right="160" w:hanging="0"/>
              <w:jc w:val="left"/>
              <w:rPr/>
            </w:pPr>
            <w:r>
              <w:rPr/>
              <w:t> </w:t>
            </w:r>
          </w:p>
          <w:p>
            <w:pPr>
              <w:pStyle w:val="TableContents"/>
              <w:bidi w:val="0"/>
              <w:ind w:left="160" w:right="160" w:hanging="0"/>
              <w:jc w:val="left"/>
              <w:rPr>
                <w:rFonts w:ascii="Arial;Helvetica;Sans-Serif" w:hAnsi="Arial;Helvetica;Sans-Serif"/>
                <w:sz w:val="18"/>
              </w:rPr>
            </w:pPr>
            <w:r>
              <w:rPr>
                <w:rFonts w:ascii="Arial;Helvetica;Sans-Serif" w:hAnsi="Arial;Helvetica;Sans-Serif"/>
                <w:sz w:val="18"/>
              </w:rPr>
              <w:t>(April 2024 - February 2026)</w:t>
            </w:r>
          </w:p>
          <w:p>
            <w:pPr>
              <w:pStyle w:val="TableContents"/>
              <w:bidi w:val="0"/>
              <w:spacing w:before="0" w:after="283"/>
              <w:ind w:left="160" w:right="160" w:hanging="0"/>
              <w:jc w:val="left"/>
              <w:rPr/>
            </w:pPr>
            <w:r>
              <w:rPr/>
              <w:t> </w:t>
            </w:r>
          </w:p>
        </w:tc>
        <w:tc>
          <w:tcPr>
            <w:tcW w:w="7640" w:type="dxa"/>
            <w:tcBorders/>
            <w:shd w:fill="F6FBFE" w:val="clear"/>
            <w:tcMar>
              <w:top w:w="0" w:type="dxa"/>
              <w:left w:w="0" w:type="dxa"/>
            </w:tcMar>
            <w:vAlign w:val="center"/>
          </w:tcPr>
          <w:p>
            <w:pPr>
              <w:pStyle w:val="TableContents"/>
              <w:bidi w:val="0"/>
              <w:jc w:val="left"/>
              <w:rPr/>
            </w:pPr>
            <w:r>
              <w:rPr/>
              <w:t> </w:t>
            </w:r>
          </w:p>
          <w:p>
            <w:pPr>
              <w:pStyle w:val="TableContents"/>
              <w:bidi w:val="0"/>
              <w:jc w:val="left"/>
              <w:rPr>
                <w:rFonts w:ascii="Arial;Helvetica;Sans-Serif" w:hAnsi="Arial;Helvetica;Sans-Serif"/>
                <w:b/>
                <w:color w:val="002053"/>
                <w:sz w:val="26"/>
              </w:rPr>
            </w:pPr>
            <w:r>
              <w:rPr>
                <w:rFonts w:ascii="Arial;Helvetica;Sans-Serif" w:hAnsi="Arial;Helvetica;Sans-Serif"/>
                <w:b/>
                <w:color w:val="002053"/>
                <w:sz w:val="26"/>
              </w:rPr>
              <w:t>Mark Palamountain</w:t>
            </w:r>
          </w:p>
          <w:p>
            <w:pPr>
              <w:pStyle w:val="TableContents"/>
              <w:bidi w:val="0"/>
              <w:jc w:val="left"/>
              <w:rPr/>
            </w:pPr>
            <w:r>
              <w:rPr/>
              <w:t> </w:t>
            </w:r>
          </w:p>
          <w:p>
            <w:pPr>
              <w:pStyle w:val="TableContents"/>
              <w:bidi w:val="0"/>
              <w:spacing w:before="0" w:after="283"/>
              <w:jc w:val="both"/>
              <w:rPr>
                <w:rFonts w:ascii="Arial;Helvetica;Sans-Serif" w:hAnsi="Arial;Helvetica;Sans-Serif"/>
                <w:sz w:val="18"/>
              </w:rPr>
            </w:pPr>
            <w:r>
              <w:rPr>
                <w:rFonts w:ascii="Arial;Helvetica;Sans-Serif" w:hAnsi="Arial;Helvetica;Sans-Serif"/>
                <w:sz w:val="18"/>
              </w:rPr>
              <w:t>Mr. Palamountain was appointed Executive Vice President, Chief Financial Officer and Treasurer in April 2024. He served as the Company’s Chief Financial Officer and Treasurer from January 2018 to February 2026. He was also the Corporate Secretary from January 2018 through July 2022. He has served as the Company’s Senior Director of Agricultural Operations from 2014 to 2018. From 2012 to 2014, Mr. Palamountain served as Director of Business Development and Business Integration at the Company. Prior to joining the Company, Mr. Palamountain was the Chief Executive Officer and a founder of Perpetual Power LLC, a leading solar integration company specializing in finance and product technology. From 2003 to 2008, he served as Managing Director, Head of NASDAQ Trading for Broadpoint Securities where he was responsible for all trading desk management functions for a team of 25 traders. Between 2001 and 2003, Mr. Palamountain was a Principal at Thomas Weisel Partners and from 1997 to 2001, he was a trader at JPMorgan Chase. Mr. Palamountain is a member of the board of directors and chair of the audit committee for VM Agritech. Mr. Palamountain is a graduate of the University of Colorado at Boulder, where he earned a Bachelor of Science degree in Finance.</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2414" w:type="dxa"/>
            <w:tcBorders/>
            <w:tcMar>
              <w:top w:w="0" w:type="dxa"/>
              <w:left w:w="0" w:type="dxa"/>
            </w:tcMar>
            <w:vAlign w:val="center"/>
          </w:tcPr>
          <w:p>
            <w:pPr>
              <w:pStyle w:val="TableContents"/>
              <w:bidi w:val="0"/>
              <w:spacing w:before="0" w:after="283"/>
              <w:jc w:val="left"/>
              <w:rPr/>
            </w:pPr>
            <w:r>
              <w:rPr/>
              <w:t> </w:t>
            </w:r>
          </w:p>
        </w:tc>
        <w:tc>
          <w:tcPr>
            <w:tcW w:w="7640" w:type="dxa"/>
            <w:tcBorders/>
            <w:tcMar>
              <w:top w:w="0" w:type="dxa"/>
              <w:left w:w="0" w:type="dxa"/>
            </w:tcMar>
            <w:vAlign w:val="center"/>
          </w:tcPr>
          <w:p>
            <w:pPr>
              <w:pStyle w:val="TableContents"/>
              <w:bidi w:val="0"/>
              <w:spacing w:before="0" w:after="283"/>
              <w:jc w:val="left"/>
              <w:rPr/>
            </w:pPr>
            <w:r>
              <w:rPr/>
              <w:t> </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2414" w:type="dxa"/>
            <w:tcBorders/>
            <w:tcMar>
              <w:top w:w="0" w:type="dxa"/>
              <w:left w:w="0" w:type="dxa"/>
            </w:tcMar>
            <w:vAlign w:val="center"/>
          </w:tcPr>
          <w:p>
            <w:pPr>
              <w:pStyle w:val="TableContents"/>
              <w:bidi w:val="0"/>
              <w:spacing w:before="0" w:after="283"/>
              <w:jc w:val="left"/>
              <w:rPr/>
            </w:pPr>
            <w:r>
              <w:rPr/>
              <w:t> </w:t>
            </w:r>
          </w:p>
        </w:tc>
        <w:tc>
          <w:tcPr>
            <w:tcW w:w="7640" w:type="dxa"/>
            <w:tcBorders/>
            <w:tcMar>
              <w:top w:w="0" w:type="dxa"/>
              <w:left w:w="0" w:type="dxa"/>
            </w:tcMar>
            <w:vAlign w:val="center"/>
          </w:tcPr>
          <w:p>
            <w:pPr>
              <w:pStyle w:val="TableContents"/>
              <w:bidi w:val="0"/>
              <w:spacing w:before="0" w:after="283"/>
              <w:jc w:val="left"/>
              <w:rPr/>
            </w:pPr>
            <w:r>
              <w:rPr/>
              <w:t> </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2414" w:type="dxa"/>
            <w:tcBorders/>
            <w:tcMar>
              <w:top w:w="0" w:type="dxa"/>
              <w:left w:w="0" w:type="dxa"/>
            </w:tcMar>
            <w:vAlign w:val="center"/>
          </w:tcPr>
          <w:p>
            <w:pPr>
              <w:pStyle w:val="TableContents"/>
              <w:bidi w:val="0"/>
              <w:spacing w:before="0" w:after="283"/>
              <w:jc w:val="left"/>
              <w:rPr/>
            </w:pPr>
            <w:r>
              <w:rPr/>
              <w:t> </w:t>
            </w:r>
          </w:p>
        </w:tc>
        <w:tc>
          <w:tcPr>
            <w:tcW w:w="7640" w:type="dxa"/>
            <w:tcBorders/>
            <w:tcMar>
              <w:top w:w="0" w:type="dxa"/>
              <w:left w:w="0" w:type="dxa"/>
            </w:tcMar>
            <w:vAlign w:val="center"/>
          </w:tcPr>
          <w:p>
            <w:pPr>
              <w:pStyle w:val="TableContents"/>
              <w:bidi w:val="0"/>
              <w:spacing w:before="0" w:after="283"/>
              <w:jc w:val="left"/>
              <w:rPr/>
            </w:pPr>
            <w:r>
              <w:rPr/>
              <w:t> </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2414" w:type="dxa"/>
            <w:tcBorders/>
            <w:tcMar>
              <w:top w:w="0" w:type="dxa"/>
              <w:left w:w="0" w:type="dxa"/>
            </w:tcMar>
            <w:vAlign w:val="center"/>
          </w:tcPr>
          <w:p>
            <w:pPr>
              <w:pStyle w:val="TableContents"/>
              <w:bidi w:val="0"/>
              <w:spacing w:before="0" w:after="283"/>
              <w:jc w:val="left"/>
              <w:rPr/>
            </w:pPr>
            <w:r>
              <w:rPr/>
              <w:t> </w:t>
            </w:r>
          </w:p>
        </w:tc>
        <w:tc>
          <w:tcPr>
            <w:tcW w:w="7640" w:type="dxa"/>
            <w:tcBorders/>
            <w:tcMar>
              <w:top w:w="0" w:type="dxa"/>
              <w:left w:w="0" w:type="dxa"/>
            </w:tcMar>
            <w:vAlign w:val="center"/>
          </w:tcPr>
          <w:p>
            <w:pPr>
              <w:pStyle w:val="TableContents"/>
              <w:bidi w:val="0"/>
              <w:spacing w:before="0" w:after="283"/>
              <w:jc w:val="left"/>
              <w:rPr/>
            </w:pPr>
            <w:r>
              <w:rPr/>
              <w:t> </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2414" w:type="dxa"/>
            <w:tcBorders/>
            <w:tcMar>
              <w:top w:w="0" w:type="dxa"/>
              <w:left w:w="0" w:type="dxa"/>
            </w:tcMar>
            <w:vAlign w:val="center"/>
          </w:tcPr>
          <w:p>
            <w:pPr>
              <w:pStyle w:val="TableContents"/>
              <w:bidi w:val="0"/>
              <w:spacing w:before="0" w:after="283"/>
              <w:jc w:val="left"/>
              <w:rPr/>
            </w:pPr>
            <w:r>
              <w:rPr/>
              <w:t> </w:t>
            </w:r>
          </w:p>
        </w:tc>
        <w:tc>
          <w:tcPr>
            <w:tcW w:w="7640" w:type="dxa"/>
            <w:tcBorders/>
            <w:tcMar>
              <w:top w:w="0" w:type="dxa"/>
              <w:left w:w="0" w:type="dxa"/>
            </w:tcMar>
            <w:vAlign w:val="center"/>
          </w:tcPr>
          <w:p>
            <w:pPr>
              <w:pStyle w:val="TableContents"/>
              <w:bidi w:val="0"/>
              <w:spacing w:before="0" w:after="283"/>
              <w:jc w:val="left"/>
              <w:rPr/>
            </w:pPr>
            <w:r>
              <w:rPr/>
              <w:t> </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2414" w:type="dxa"/>
            <w:tcBorders/>
            <w:tcMar>
              <w:top w:w="0" w:type="dxa"/>
              <w:left w:w="0" w:type="dxa"/>
            </w:tcMar>
            <w:vAlign w:val="center"/>
          </w:tcPr>
          <w:p>
            <w:pPr>
              <w:pStyle w:val="TableContents"/>
              <w:bidi w:val="0"/>
              <w:spacing w:before="0" w:after="283"/>
              <w:jc w:val="left"/>
              <w:rPr/>
            </w:pPr>
            <w:r>
              <w:rPr/>
              <w:t> </w:t>
            </w:r>
          </w:p>
        </w:tc>
        <w:tc>
          <w:tcPr>
            <w:tcW w:w="7640" w:type="dxa"/>
            <w:tcBorders/>
            <w:tcMar>
              <w:top w:w="0" w:type="dxa"/>
              <w:left w:w="0" w:type="dxa"/>
            </w:tcMar>
            <w:vAlign w:val="center"/>
          </w:tcPr>
          <w:p>
            <w:pPr>
              <w:pStyle w:val="TableContents"/>
              <w:bidi w:val="0"/>
              <w:spacing w:before="0" w:after="283"/>
              <w:jc w:val="left"/>
              <w:rPr/>
            </w:pPr>
            <w:r>
              <w:rPr/>
              <w:t> </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2414" w:type="dxa"/>
            <w:tcBorders/>
            <w:tcMar>
              <w:top w:w="0" w:type="dxa"/>
              <w:left w:w="0" w:type="dxa"/>
            </w:tcMar>
            <w:vAlign w:val="center"/>
          </w:tcPr>
          <w:p>
            <w:pPr>
              <w:pStyle w:val="TableContents"/>
              <w:bidi w:val="0"/>
              <w:spacing w:before="0" w:after="283"/>
              <w:jc w:val="left"/>
              <w:rPr/>
            </w:pPr>
            <w:r>
              <w:rPr/>
              <w:t> </w:t>
            </w:r>
          </w:p>
        </w:tc>
        <w:tc>
          <w:tcPr>
            <w:tcW w:w="7640" w:type="dxa"/>
            <w:tcBorders/>
            <w:tcMar>
              <w:top w:w="0" w:type="dxa"/>
              <w:left w:w="0" w:type="dxa"/>
            </w:tcMar>
            <w:vAlign w:val="center"/>
          </w:tcPr>
          <w:p>
            <w:pPr>
              <w:pStyle w:val="TableContents"/>
              <w:bidi w:val="0"/>
              <w:spacing w:before="0" w:after="283"/>
              <w:jc w:val="left"/>
              <w:rPr/>
            </w:pPr>
            <w:r>
              <w:rPr/>
              <w:t> </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2414" w:type="dxa"/>
            <w:tcBorders/>
            <w:tcMar>
              <w:top w:w="0" w:type="dxa"/>
              <w:left w:w="0" w:type="dxa"/>
            </w:tcMar>
            <w:vAlign w:val="center"/>
          </w:tcPr>
          <w:p>
            <w:pPr>
              <w:pStyle w:val="TableContents"/>
              <w:bidi w:val="0"/>
              <w:spacing w:before="0" w:after="283"/>
              <w:jc w:val="left"/>
              <w:rPr/>
            </w:pPr>
            <w:r>
              <w:rPr/>
              <w:t> </w:t>
            </w:r>
          </w:p>
        </w:tc>
        <w:tc>
          <w:tcPr>
            <w:tcW w:w="7640" w:type="dxa"/>
            <w:tcBorders/>
            <w:tcMar>
              <w:top w:w="0" w:type="dxa"/>
              <w:left w:w="0" w:type="dxa"/>
            </w:tcMar>
            <w:vAlign w:val="center"/>
          </w:tcPr>
          <w:p>
            <w:pPr>
              <w:pStyle w:val="TableContents"/>
              <w:bidi w:val="0"/>
              <w:spacing w:before="0" w:after="283"/>
              <w:jc w:val="left"/>
              <w:rPr/>
            </w:pPr>
            <w:r>
              <w:rPr/>
              <w:t> </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2414" w:type="dxa"/>
            <w:tcBorders/>
            <w:tcMar>
              <w:top w:w="0" w:type="dxa"/>
              <w:left w:w="0" w:type="dxa"/>
            </w:tcMar>
            <w:vAlign w:val="center"/>
          </w:tcPr>
          <w:p>
            <w:pPr>
              <w:pStyle w:val="TableContents"/>
              <w:bidi w:val="0"/>
              <w:spacing w:before="0" w:after="283"/>
              <w:jc w:val="left"/>
              <w:rPr/>
            </w:pPr>
            <w:r>
              <w:rPr/>
              <w:t> </w:t>
            </w:r>
          </w:p>
        </w:tc>
        <w:tc>
          <w:tcPr>
            <w:tcW w:w="7640" w:type="dxa"/>
            <w:tcBorders/>
            <w:tcMar>
              <w:top w:w="0" w:type="dxa"/>
              <w:left w:w="0" w:type="dxa"/>
            </w:tcMar>
            <w:vAlign w:val="center"/>
          </w:tcPr>
          <w:p>
            <w:pPr>
              <w:pStyle w:val="TableContents"/>
              <w:bidi w:val="0"/>
              <w:spacing w:before="0" w:after="283"/>
              <w:jc w:val="left"/>
              <w:rPr/>
            </w:pPr>
            <w:r>
              <w:rPr/>
              <w:t> </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2414" w:type="dxa"/>
            <w:tcBorders/>
            <w:tcMar>
              <w:top w:w="0" w:type="dxa"/>
              <w:left w:w="0" w:type="dxa"/>
            </w:tcMar>
            <w:vAlign w:val="center"/>
          </w:tcPr>
          <w:p>
            <w:pPr>
              <w:pStyle w:val="TableContents"/>
              <w:bidi w:val="0"/>
              <w:spacing w:before="0" w:after="283"/>
              <w:jc w:val="left"/>
              <w:rPr/>
            </w:pPr>
            <w:r>
              <w:rPr/>
              <w:t> </w:t>
            </w:r>
          </w:p>
        </w:tc>
        <w:tc>
          <w:tcPr>
            <w:tcW w:w="7640" w:type="dxa"/>
            <w:tcBorders/>
            <w:tcMar>
              <w:top w:w="0" w:type="dxa"/>
              <w:left w:w="0" w:type="dxa"/>
            </w:tcMar>
            <w:vAlign w:val="center"/>
          </w:tcPr>
          <w:p>
            <w:pPr>
              <w:pStyle w:val="TableContents"/>
              <w:bidi w:val="0"/>
              <w:spacing w:before="0" w:after="283"/>
              <w:jc w:val="left"/>
              <w:rPr/>
            </w:pPr>
            <w:r>
              <w:rPr/>
              <w:t> </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2414" w:type="dxa"/>
            <w:tcBorders/>
            <w:tcMar>
              <w:top w:w="0" w:type="dxa"/>
              <w:left w:w="0" w:type="dxa"/>
            </w:tcMar>
            <w:vAlign w:val="center"/>
          </w:tcPr>
          <w:p>
            <w:pPr>
              <w:pStyle w:val="TableContents"/>
              <w:bidi w:val="0"/>
              <w:spacing w:before="0" w:after="283"/>
              <w:jc w:val="left"/>
              <w:rPr/>
            </w:pPr>
            <w:r>
              <w:rPr/>
              <w:t> </w:t>
            </w:r>
          </w:p>
        </w:tc>
        <w:tc>
          <w:tcPr>
            <w:tcW w:w="7640" w:type="dxa"/>
            <w:tcBorders/>
            <w:tcMar>
              <w:top w:w="0" w:type="dxa"/>
              <w:left w:w="0" w:type="dxa"/>
            </w:tcMar>
            <w:vAlign w:val="center"/>
          </w:tcPr>
          <w:p>
            <w:pPr>
              <w:pStyle w:val="TableContents"/>
              <w:bidi w:val="0"/>
              <w:spacing w:before="0" w:after="283"/>
              <w:jc w:val="left"/>
              <w:rPr/>
            </w:pPr>
            <w:r>
              <w:rPr/>
              <w:t> </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2414" w:type="dxa"/>
            <w:tcBorders/>
            <w:tcMar>
              <w:top w:w="0" w:type="dxa"/>
              <w:left w:w="0" w:type="dxa"/>
            </w:tcMar>
            <w:vAlign w:val="center"/>
          </w:tcPr>
          <w:p>
            <w:pPr>
              <w:pStyle w:val="TableContents"/>
              <w:bidi w:val="0"/>
              <w:spacing w:before="0" w:after="283"/>
              <w:jc w:val="left"/>
              <w:rPr/>
            </w:pPr>
            <w:r>
              <w:rPr/>
              <w:t> </w:t>
            </w:r>
          </w:p>
        </w:tc>
        <w:tc>
          <w:tcPr>
            <w:tcW w:w="7640" w:type="dxa"/>
            <w:tcBorders/>
            <w:tcMar>
              <w:top w:w="0" w:type="dxa"/>
              <w:left w:w="0" w:type="dxa"/>
            </w:tcMar>
            <w:vAlign w:val="center"/>
          </w:tcPr>
          <w:p>
            <w:pPr>
              <w:pStyle w:val="TableContents"/>
              <w:bidi w:val="0"/>
              <w:spacing w:before="0" w:after="283"/>
              <w:jc w:val="left"/>
              <w:rPr/>
            </w:pPr>
            <w:r>
              <w:rPr/>
              <w:t> </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2414" w:type="dxa"/>
            <w:tcBorders/>
            <w:tcMar>
              <w:top w:w="0" w:type="dxa"/>
              <w:left w:w="0" w:type="dxa"/>
            </w:tcMar>
            <w:vAlign w:val="center"/>
          </w:tcPr>
          <w:p>
            <w:pPr>
              <w:pStyle w:val="TableContents"/>
              <w:bidi w:val="0"/>
              <w:spacing w:before="0" w:after="283"/>
              <w:jc w:val="left"/>
              <w:rPr/>
            </w:pPr>
            <w:r>
              <w:rPr/>
              <w:t> </w:t>
            </w:r>
          </w:p>
        </w:tc>
        <w:tc>
          <w:tcPr>
            <w:tcW w:w="7640" w:type="dxa"/>
            <w:tcBorders/>
            <w:tcMar>
              <w:top w:w="0" w:type="dxa"/>
              <w:left w:w="0" w:type="dxa"/>
            </w:tcMar>
            <w:vAlign w:val="center"/>
          </w:tcPr>
          <w:p>
            <w:pPr>
              <w:pStyle w:val="TableContents"/>
              <w:bidi w:val="0"/>
              <w:spacing w:before="0" w:after="283"/>
              <w:jc w:val="left"/>
              <w:rPr/>
            </w:pPr>
            <w:r>
              <w:rPr/>
              <w:t> </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2414" w:type="dxa"/>
            <w:tcBorders/>
            <w:tcMar>
              <w:top w:w="0" w:type="dxa"/>
              <w:left w:w="0" w:type="dxa"/>
            </w:tcMar>
            <w:vAlign w:val="center"/>
          </w:tcPr>
          <w:p>
            <w:pPr>
              <w:pStyle w:val="TableContents"/>
              <w:bidi w:val="0"/>
              <w:spacing w:before="0" w:after="283"/>
              <w:jc w:val="left"/>
              <w:rPr/>
            </w:pPr>
            <w:r>
              <w:rPr/>
              <w:t> </w:t>
            </w:r>
          </w:p>
        </w:tc>
        <w:tc>
          <w:tcPr>
            <w:tcW w:w="7640" w:type="dxa"/>
            <w:tcBorders/>
            <w:tcMar>
              <w:top w:w="0" w:type="dxa"/>
              <w:left w:w="0" w:type="dxa"/>
            </w:tcMar>
            <w:vAlign w:val="center"/>
          </w:tcPr>
          <w:p>
            <w:pPr>
              <w:pStyle w:val="TableContents"/>
              <w:bidi w:val="0"/>
              <w:spacing w:before="0" w:after="283"/>
              <w:jc w:val="left"/>
              <w:rPr/>
            </w:pPr>
            <w:r>
              <w:rPr/>
              <w:t> </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2414" w:type="dxa"/>
            <w:tcBorders/>
            <w:tcMar>
              <w:top w:w="0" w:type="dxa"/>
              <w:left w:w="0" w:type="dxa"/>
            </w:tcMar>
            <w:vAlign w:val="center"/>
          </w:tcPr>
          <w:p>
            <w:pPr>
              <w:pStyle w:val="TableContents"/>
              <w:bidi w:val="0"/>
              <w:spacing w:before="0" w:after="283"/>
              <w:jc w:val="left"/>
              <w:rPr/>
            </w:pPr>
            <w:r>
              <w:rPr/>
              <w:t> </w:t>
            </w:r>
          </w:p>
        </w:tc>
        <w:tc>
          <w:tcPr>
            <w:tcW w:w="7640" w:type="dxa"/>
            <w:tcBorders/>
            <w:tcMar>
              <w:top w:w="0" w:type="dxa"/>
              <w:left w:w="0" w:type="dxa"/>
            </w:tcMar>
            <w:vAlign w:val="center"/>
          </w:tcPr>
          <w:p>
            <w:pPr>
              <w:pStyle w:val="TableContents"/>
              <w:bidi w:val="0"/>
              <w:spacing w:before="0" w:after="283"/>
              <w:jc w:val="left"/>
              <w:rPr/>
            </w:pPr>
            <w:r>
              <w:rPr/>
              <w:t> </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2414" w:type="dxa"/>
            <w:tcBorders/>
            <w:tcMar>
              <w:top w:w="0" w:type="dxa"/>
              <w:left w:w="0" w:type="dxa"/>
            </w:tcMar>
            <w:vAlign w:val="center"/>
          </w:tcPr>
          <w:p>
            <w:pPr>
              <w:pStyle w:val="TableContents"/>
              <w:bidi w:val="0"/>
              <w:spacing w:before="0" w:after="283"/>
              <w:jc w:val="left"/>
              <w:rPr/>
            </w:pPr>
            <w:r>
              <w:rPr/>
              <w:t> </w:t>
            </w:r>
          </w:p>
        </w:tc>
        <w:tc>
          <w:tcPr>
            <w:tcW w:w="7640" w:type="dxa"/>
            <w:tcBorders/>
            <w:tcMar>
              <w:top w:w="0" w:type="dxa"/>
              <w:left w:w="0" w:type="dxa"/>
            </w:tcMar>
            <w:vAlign w:val="center"/>
          </w:tcPr>
          <w:p>
            <w:pPr>
              <w:pStyle w:val="TableContents"/>
              <w:bidi w:val="0"/>
              <w:spacing w:before="0" w:after="283"/>
              <w:jc w:val="left"/>
              <w:rPr/>
            </w:pPr>
            <w:r>
              <w:rPr/>
              <w:t> </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2414" w:type="dxa"/>
            <w:tcBorders/>
            <w:tcMar>
              <w:top w:w="0" w:type="dxa"/>
              <w:left w:w="0" w:type="dxa"/>
            </w:tcMar>
            <w:vAlign w:val="center"/>
          </w:tcPr>
          <w:p>
            <w:pPr>
              <w:pStyle w:val="TableContents"/>
              <w:bidi w:val="0"/>
              <w:spacing w:before="0" w:after="283"/>
              <w:jc w:val="left"/>
              <w:rPr/>
            </w:pPr>
            <w:r>
              <w:rPr/>
              <w:t> </w:t>
            </w:r>
          </w:p>
        </w:tc>
        <w:tc>
          <w:tcPr>
            <w:tcW w:w="7640" w:type="dxa"/>
            <w:tcBorders/>
            <w:tcMar>
              <w:top w:w="0" w:type="dxa"/>
              <w:left w:w="0" w:type="dxa"/>
            </w:tcMar>
            <w:vAlign w:val="center"/>
          </w:tcPr>
          <w:p>
            <w:pPr>
              <w:pStyle w:val="TableContents"/>
              <w:bidi w:val="0"/>
              <w:spacing w:before="0" w:after="283"/>
              <w:jc w:val="left"/>
              <w:rPr/>
            </w:pPr>
            <w:r>
              <w:rPr/>
              <w:t> </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2414" w:type="dxa"/>
            <w:tcBorders/>
            <w:tcMar>
              <w:top w:w="0" w:type="dxa"/>
              <w:left w:w="0" w:type="dxa"/>
            </w:tcMar>
            <w:vAlign w:val="center"/>
          </w:tcPr>
          <w:p>
            <w:pPr>
              <w:pStyle w:val="TableContents"/>
              <w:bidi w:val="0"/>
              <w:spacing w:before="0" w:after="283"/>
              <w:jc w:val="left"/>
              <w:rPr/>
            </w:pPr>
            <w:r>
              <w:rPr/>
              <w:t> </w:t>
            </w:r>
          </w:p>
        </w:tc>
        <w:tc>
          <w:tcPr>
            <w:tcW w:w="7640" w:type="dxa"/>
            <w:tcBorders/>
            <w:tcMar>
              <w:top w:w="0" w:type="dxa"/>
              <w:left w:w="0" w:type="dxa"/>
            </w:tcMar>
            <w:vAlign w:val="center"/>
          </w:tcPr>
          <w:p>
            <w:pPr>
              <w:pStyle w:val="TableContents"/>
              <w:bidi w:val="0"/>
              <w:spacing w:before="0" w:after="283"/>
              <w:jc w:val="left"/>
              <w:rPr/>
            </w:pPr>
            <w:r>
              <w:rPr/>
              <w:t> </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2414" w:type="dxa"/>
            <w:tcBorders/>
            <w:tcMar>
              <w:top w:w="0" w:type="dxa"/>
              <w:left w:w="0" w:type="dxa"/>
            </w:tcMar>
            <w:vAlign w:val="center"/>
          </w:tcPr>
          <w:p>
            <w:pPr>
              <w:pStyle w:val="TableContents"/>
              <w:bidi w:val="0"/>
              <w:spacing w:before="0" w:after="283"/>
              <w:jc w:val="left"/>
              <w:rPr/>
            </w:pPr>
            <w:r>
              <w:rPr/>
              <w:t> </w:t>
            </w:r>
          </w:p>
        </w:tc>
        <w:tc>
          <w:tcPr>
            <w:tcW w:w="7640" w:type="dxa"/>
            <w:tcBorders/>
            <w:tcMar>
              <w:top w:w="0" w:type="dxa"/>
              <w:left w:w="0" w:type="dxa"/>
            </w:tcMar>
            <w:vAlign w:val="center"/>
          </w:tcPr>
          <w:p>
            <w:pPr>
              <w:pStyle w:val="TableContents"/>
              <w:bidi w:val="0"/>
              <w:spacing w:before="0" w:after="283"/>
              <w:jc w:val="left"/>
              <w:rPr/>
            </w:pPr>
            <w:r>
              <w:rPr/>
              <w:t> </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tcBorders>
            <w:tcMar>
              <w:top w:w="0" w:type="dxa"/>
            </w:tcMar>
            <w:vAlign w:val="center"/>
          </w:tcPr>
          <w:p>
            <w:pPr>
              <w:pStyle w:val="TableContents"/>
              <w:bidi w:val="0"/>
              <w:spacing w:before="0" w:after="283"/>
              <w:jc w:val="left"/>
              <w:rPr/>
            </w:pPr>
            <w:r>
              <w:rPr/>
              <w:t> </w:t>
            </w:r>
          </w:p>
        </w:tc>
        <w:tc>
          <w:tcPr>
            <w:tcW w:w="2414" w:type="dxa"/>
            <w:tcBorders/>
            <w:tcMar>
              <w:top w:w="0" w:type="dxa"/>
              <w:left w:w="0" w:type="dxa"/>
            </w:tcMar>
            <w:vAlign w:val="center"/>
          </w:tcPr>
          <w:p>
            <w:pPr>
              <w:pStyle w:val="TableContents"/>
              <w:bidi w:val="0"/>
              <w:spacing w:before="0" w:after="283"/>
              <w:jc w:val="left"/>
              <w:rPr/>
            </w:pPr>
            <w:r>
              <w:rPr/>
              <w:t> </w:t>
            </w:r>
          </w:p>
        </w:tc>
        <w:tc>
          <w:tcPr>
            <w:tcW w:w="7640" w:type="dxa"/>
            <w:tcBorders/>
            <w:tcMar>
              <w:top w:w="0" w:type="dxa"/>
              <w:left w:w="0" w:type="dxa"/>
            </w:tcMar>
            <w:vAlign w:val="center"/>
          </w:tcPr>
          <w:p>
            <w:pPr>
              <w:pStyle w:val="TableContents"/>
              <w:bidi w:val="0"/>
              <w:spacing w:before="0" w:after="283"/>
              <w:jc w:val="left"/>
              <w:rPr/>
            </w:pPr>
            <w:r>
              <w:rPr/>
              <w:t> </w:t>
            </w:r>
          </w:p>
        </w:tc>
        <w:tc>
          <w:tcPr>
            <w:tcW w:w="76" w:type="dxa"/>
            <w:tcBorders>
              <w:right w:val="single" w:sz="8" w:space="0" w:color="6ECBF3"/>
            </w:tcBorders>
            <w:tcMar>
              <w:top w:w="0" w:type="dxa"/>
              <w:left w:w="0" w:type="dxa"/>
              <w:right w:w="28" w:type="dxa"/>
            </w:tcMar>
            <w:vAlign w:val="center"/>
          </w:tcPr>
          <w:p>
            <w:pPr>
              <w:pStyle w:val="TableContents"/>
              <w:bidi w:val="0"/>
              <w:spacing w:before="0" w:after="283"/>
              <w:jc w:val="left"/>
              <w:rPr/>
            </w:pPr>
            <w:r>
              <w:rPr/>
              <w:t> </w:t>
            </w:r>
          </w:p>
        </w:tc>
      </w:tr>
      <w:tr>
        <w:trPr/>
        <w:tc>
          <w:tcPr>
            <w:tcW w:w="75" w:type="dxa"/>
            <w:tcBorders>
              <w:left w:val="single" w:sz="8" w:space="0" w:color="6ECBF3"/>
              <w:bottom w:val="single" w:sz="8" w:space="0" w:color="6ECBF3"/>
            </w:tcBorders>
            <w:tcMar>
              <w:top w:w="0" w:type="dxa"/>
              <w:bottom w:w="28" w:type="dxa"/>
            </w:tcMar>
            <w:vAlign w:val="center"/>
          </w:tcPr>
          <w:p>
            <w:pPr>
              <w:pStyle w:val="TableContents"/>
              <w:bidi w:val="0"/>
              <w:spacing w:before="0" w:after="283"/>
              <w:jc w:val="left"/>
              <w:rPr/>
            </w:pPr>
            <w:r>
              <w:rPr/>
              <w:t> </w:t>
            </w:r>
          </w:p>
        </w:tc>
        <w:tc>
          <w:tcPr>
            <w:tcW w:w="2414" w:type="dxa"/>
            <w:tcBorders>
              <w:bottom w:val="single" w:sz="8" w:space="0" w:color="6ECBF3"/>
            </w:tcBorders>
            <w:tcMar>
              <w:top w:w="0" w:type="dxa"/>
              <w:left w:w="0" w:type="dxa"/>
              <w:bottom w:w="28" w:type="dxa"/>
            </w:tcMar>
            <w:vAlign w:val="center"/>
          </w:tcPr>
          <w:p>
            <w:pPr>
              <w:pStyle w:val="TableContents"/>
              <w:bidi w:val="0"/>
              <w:spacing w:before="0" w:after="283"/>
              <w:jc w:val="left"/>
              <w:rPr/>
            </w:pPr>
            <w:r>
              <w:rPr/>
              <w:t> </w:t>
            </w:r>
          </w:p>
        </w:tc>
        <w:tc>
          <w:tcPr>
            <w:tcW w:w="7640" w:type="dxa"/>
            <w:tcBorders>
              <w:bottom w:val="single" w:sz="8" w:space="0" w:color="6ECBF3"/>
            </w:tcBorders>
            <w:tcMar>
              <w:top w:w="0" w:type="dxa"/>
              <w:left w:w="0" w:type="dxa"/>
              <w:bottom w:w="28" w:type="dxa"/>
            </w:tcMar>
            <w:vAlign w:val="center"/>
          </w:tcPr>
          <w:p>
            <w:pPr>
              <w:pStyle w:val="TableContents"/>
              <w:bidi w:val="0"/>
              <w:spacing w:before="0" w:after="283"/>
              <w:jc w:val="left"/>
              <w:rPr/>
            </w:pPr>
            <w:r>
              <w:rPr/>
              <w:t> </w:t>
            </w:r>
          </w:p>
        </w:tc>
        <w:tc>
          <w:tcPr>
            <w:tcW w:w="76" w:type="dxa"/>
            <w:tcBorders>
              <w:bottom w:val="single" w:sz="8" w:space="0" w:color="6ECBF3"/>
              <w:right w:val="single" w:sz="8" w:space="0" w:color="6ECBF3"/>
            </w:tcBorders>
            <w:tcMar>
              <w:top w:w="0" w:type="dxa"/>
              <w:left w:w="0" w:type="dxa"/>
              <w:bottom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31</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bdr w:val="single" w:sz="2" w:space="1" w:color="6ECBF3"/>
        </w:rPr>
      </w:pPr>
      <w:r>
        <w:rPr>
          <w:bdr w:val="single" w:sz="2" w:space="1" w:color="6ECBF3"/>
        </w:rPr>
        <w:t> </w:t>
      </w:r>
    </w:p>
    <w:tbl>
      <w:tblPr>
        <w:tblW w:w="10205" w:type="dxa"/>
        <w:jc w:val="left"/>
        <w:tblInd w:w="0" w:type="dxa"/>
        <w:tblLayout w:type="fixed"/>
        <w:tblCellMar>
          <w:top w:w="0" w:type="dxa"/>
          <w:left w:w="0" w:type="dxa"/>
          <w:bottom w:w="0" w:type="dxa"/>
          <w:right w:w="0" w:type="dxa"/>
        </w:tblCellMar>
      </w:tblPr>
      <w:tblGrid>
        <w:gridCol w:w="2542"/>
        <w:gridCol w:w="7663"/>
      </w:tblGrid>
      <w:tr>
        <w:trPr/>
        <w:tc>
          <w:tcPr>
            <w:tcW w:w="2542" w:type="dxa"/>
            <w:tcBorders/>
            <w:shd w:fill="D2ECFB" w:val="clear"/>
            <w:vAlign w:val="center"/>
          </w:tcPr>
          <w:p>
            <w:pPr>
              <w:pStyle w:val="TableContents"/>
              <w:bidi w:val="0"/>
              <w:jc w:val="left"/>
              <w:rPr/>
            </w:pPr>
            <w:r>
              <w:rPr/>
              <w:drawing>
                <wp:inline distT="0" distB="0" distL="0" distR="0">
                  <wp:extent cx="1428750" cy="14192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428750" cy="1419225"/>
                          </a:xfrm>
                          <a:prstGeom prst="rect">
                            <a:avLst/>
                          </a:prstGeom>
                        </pic:spPr>
                      </pic:pic>
                    </a:graphicData>
                  </a:graphic>
                </wp:inline>
              </w:drawing>
            </w:r>
            <w:r>
              <w:rPr/>
              <w:t> </w:t>
            </w:r>
          </w:p>
          <w:p>
            <w:pPr>
              <w:pStyle w:val="TableContents"/>
              <w:bidi w:val="0"/>
              <w:ind w:left="160" w:right="160" w:hanging="0"/>
              <w:jc w:val="left"/>
              <w:rPr/>
            </w:pPr>
            <w:r>
              <w:rPr/>
              <w:t> </w:t>
            </w:r>
          </w:p>
          <w:p>
            <w:pPr>
              <w:pStyle w:val="TableContents"/>
              <w:bidi w:val="0"/>
              <w:ind w:left="160" w:right="160" w:hanging="0"/>
              <w:jc w:val="left"/>
              <w:rPr/>
            </w:pPr>
            <w:r>
              <w:rPr>
                <w:rFonts w:ascii="Arial;Helvetica;Sans-Serif" w:hAnsi="Arial;Helvetica;Sans-Serif"/>
                <w:b/>
                <w:color w:val="002053"/>
                <w:sz w:val="18"/>
              </w:rPr>
              <w:t xml:space="preserve">AGE: </w:t>
            </w:r>
            <w:r>
              <w:rPr>
                <w:rFonts w:ascii="Arial;Helvetica;Sans-Serif" w:hAnsi="Arial;Helvetica;Sans-Serif"/>
                <w:sz w:val="18"/>
              </w:rPr>
              <w:t>64</w:t>
            </w:r>
          </w:p>
          <w:p>
            <w:pPr>
              <w:pStyle w:val="TableContents"/>
              <w:bidi w:val="0"/>
              <w:ind w:left="160" w:right="160" w:hanging="0"/>
              <w:jc w:val="left"/>
              <w:rPr/>
            </w:pPr>
            <w:r>
              <w:rPr/>
              <w:t> </w:t>
            </w:r>
          </w:p>
          <w:p>
            <w:pPr>
              <w:pStyle w:val="TableContents"/>
              <w:bidi w:val="0"/>
              <w:ind w:left="160" w:right="160" w:hanging="0"/>
              <w:jc w:val="left"/>
              <w:rPr>
                <w:rFonts w:ascii="Arial;Helvetica;Sans-Serif" w:hAnsi="Arial;Helvetica;Sans-Serif"/>
                <w:sz w:val="18"/>
              </w:rPr>
            </w:pPr>
            <w:r>
              <w:rPr>
                <w:rFonts w:ascii="Arial;Helvetica;Sans-Serif" w:hAnsi="Arial;Helvetica;Sans-Serif"/>
                <w:sz w:val="18"/>
              </w:rPr>
              <w:t>Vice President, Chief Financial Officer &amp; Treasurer</w:t>
            </w:r>
          </w:p>
          <w:p>
            <w:pPr>
              <w:pStyle w:val="TableContents"/>
              <w:bidi w:val="0"/>
              <w:ind w:left="160" w:right="160" w:hanging="0"/>
              <w:jc w:val="left"/>
              <w:rPr/>
            </w:pPr>
            <w:r>
              <w:rPr/>
              <w:t> </w:t>
            </w:r>
          </w:p>
          <w:p>
            <w:pPr>
              <w:pStyle w:val="TableContents"/>
              <w:bidi w:val="0"/>
              <w:spacing w:before="0" w:after="283"/>
              <w:ind w:left="160" w:right="160" w:hanging="0"/>
              <w:jc w:val="left"/>
              <w:rPr>
                <w:rFonts w:ascii="Arial;Helvetica;Sans-Serif" w:hAnsi="Arial;Helvetica;Sans-Serif"/>
                <w:sz w:val="18"/>
              </w:rPr>
            </w:pPr>
            <w:r>
              <w:rPr>
                <w:rFonts w:ascii="Arial;Helvetica;Sans-Serif" w:hAnsi="Arial;Helvetica;Sans-Serif"/>
                <w:sz w:val="18"/>
              </w:rPr>
              <w:t>(February 2026 - Current)</w:t>
            </w:r>
          </w:p>
        </w:tc>
        <w:tc>
          <w:tcPr>
            <w:tcW w:w="7663" w:type="dxa"/>
            <w:tcBorders/>
            <w:shd w:fill="F6FBFE" w:val="clear"/>
            <w:vAlign w:val="center"/>
          </w:tcPr>
          <w:p>
            <w:pPr>
              <w:pStyle w:val="TableContents"/>
              <w:bidi w:val="0"/>
              <w:jc w:val="left"/>
              <w:rPr/>
            </w:pPr>
            <w:r>
              <w:rPr/>
              <w:t> </w:t>
            </w:r>
          </w:p>
          <w:p>
            <w:pPr>
              <w:pStyle w:val="TableContents"/>
              <w:bidi w:val="0"/>
              <w:jc w:val="left"/>
              <w:rPr>
                <w:rFonts w:ascii="Arial;Helvetica;Sans-Serif" w:hAnsi="Arial;Helvetica;Sans-Serif"/>
                <w:b/>
                <w:color w:val="002053"/>
                <w:sz w:val="26"/>
              </w:rPr>
            </w:pPr>
            <w:r>
              <w:rPr>
                <w:rFonts w:ascii="Arial;Helvetica;Sans-Serif" w:hAnsi="Arial;Helvetica;Sans-Serif"/>
                <w:b/>
                <w:color w:val="002053"/>
                <w:sz w:val="26"/>
              </w:rPr>
              <w:t>Gregory C. Hamm</w:t>
            </w:r>
          </w:p>
          <w:p>
            <w:pPr>
              <w:pStyle w:val="TableContents"/>
              <w:bidi w:val="0"/>
              <w:jc w:val="left"/>
              <w:rPr/>
            </w:pPr>
            <w:r>
              <w:rPr/>
              <w:t> </w:t>
            </w:r>
          </w:p>
          <w:p>
            <w:pPr>
              <w:pStyle w:val="TableContents"/>
              <w:bidi w:val="0"/>
              <w:spacing w:before="0" w:after="283"/>
              <w:jc w:val="both"/>
              <w:rPr>
                <w:rFonts w:ascii="Arial;Helvetica;Sans-Serif" w:hAnsi="Arial;Helvetica;Sans-Serif"/>
                <w:sz w:val="18"/>
              </w:rPr>
            </w:pPr>
            <w:r>
              <w:rPr>
                <w:rFonts w:ascii="Arial;Helvetica;Sans-Serif" w:hAnsi="Arial;Helvetica;Sans-Serif"/>
                <w:sz w:val="18"/>
              </w:rPr>
              <w:t>Gregory C. Hamm has served as the Company’s Corporate Controller since 2004 and the Company’s Vice President and Corporate Controller since 2008, and was appointed Vice President, Chief Financial Officer and Treasurer on February 8, 2026. Mr. Hamm has served as a member of the Board of Directors for Limoneira’s Federal Credit Union since 2011 and as President of Limoneira’s Federal Credit Union from 2011 – 2021. Prior to joining the Company, Mr. Hamm served as the Corporate Controller for Enterprise Fish Co. and Hurry Curry of Tokyo Restaurants. Mr. Hamm is a graduate of the University of California at Santa Barbara where he earned a Bachelor of Arts Degree in Business Economics with an Accounting Emphasis.</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Mr. Hamm was appointed Chief Financial Officer in fiscal year 2026 and did not serve as an NEO during fiscal year 2025. Accordingly, the compensation disclosure below is not applicable to him.</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80"/>
        <w:jc w:val="left"/>
        <w:rPr>
          <w:rFonts w:ascii="Arial;Helvetica;Sans-Serif" w:hAnsi="Arial;Helvetica;Sans-Serif"/>
          <w:b w:val="false"/>
          <w:i w:val="false"/>
          <w:caps w:val="false"/>
          <w:smallCaps w:val="false"/>
          <w:color w:val="008DCF"/>
          <w:sz w:val="24"/>
          <w:bdr w:val="single" w:sz="2" w:space="1" w:color="6ECBF3"/>
        </w:rPr>
      </w:pPr>
      <w:bookmarkStart w:id="48" w:name="lmnrdef14aa044"/>
      <w:bookmarkEnd w:id="48"/>
      <w:r>
        <w:rPr>
          <w:rFonts w:ascii="Arial;Helvetica;Sans-Serif" w:hAnsi="Arial;Helvetica;Sans-Serif"/>
          <w:b/>
          <w:i w:val="false"/>
          <w:caps w:val="false"/>
          <w:smallCaps w:val="false"/>
          <w:color w:val="008DCF"/>
          <w:sz w:val="24"/>
          <w:bdr w:val="single" w:sz="2" w:space="1" w:color="6ECBF3"/>
        </w:rPr>
        <w:t>Key Executive Compensation Objectives</w:t>
      </w:r>
      <w:r>
        <w:rPr>
          <w:rFonts w:ascii="Arial;Helvetica;Sans-Serif" w:hAnsi="Arial;Helvetica;Sans-Serif"/>
          <w:b w:val="false"/>
          <w:i w:val="false"/>
          <w:caps w:val="false"/>
          <w:smallCaps w:val="false"/>
          <w:color w:val="008DCF"/>
          <w:sz w:val="24"/>
          <w:bdr w:val="single" w:sz="2" w:space="1" w:color="6ECBF3"/>
        </w:rPr>
        <w:t> </w:t>
      </w:r>
    </w:p>
    <w:p>
      <w:pPr>
        <w:pStyle w:val="TextBody"/>
        <w:bidi w:val="0"/>
        <w:spacing w:before="0" w:after="0"/>
        <w:jc w:val="both"/>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The compensation policies developed by the Compensation Committee are based on the philosophy that compensation should reflect both the Company’s performance, financially and operationally, the success of the Company in executing against our strategic roadmap, and individual performance. The Compensation Committee uses the following objectives when setting compensation for our NEOs:</w:t>
      </w:r>
    </w:p>
    <w:p>
      <w:pPr>
        <w:pStyle w:val="TextBody"/>
        <w:bidi w:val="0"/>
        <w:spacing w:before="0" w:after="0"/>
        <w:jc w:val="both"/>
        <w:rPr>
          <w:caps w:val="false"/>
          <w:smallCaps w:val="false"/>
          <w:bdr w:val="single" w:sz="2" w:space="1" w:color="6ECBF3"/>
        </w:rPr>
      </w:pPr>
      <w:r>
        <w:rPr>
          <w:caps w:val="false"/>
          <w:smallCaps w:val="false"/>
          <w:bdr w:val="single" w:sz="2" w:space="1" w:color="6ECBF3"/>
        </w:rPr>
        <w:t> </w:t>
      </w:r>
    </w:p>
    <w:tbl>
      <w:tblPr>
        <w:tblW w:w="10205" w:type="dxa"/>
        <w:jc w:val="left"/>
        <w:tblInd w:w="0" w:type="dxa"/>
        <w:tblLayout w:type="fixed"/>
        <w:tblCellMar>
          <w:top w:w="0" w:type="dxa"/>
          <w:left w:w="0" w:type="dxa"/>
          <w:bottom w:w="0" w:type="dxa"/>
          <w:right w:w="0" w:type="dxa"/>
        </w:tblCellMar>
      </w:tblPr>
      <w:tblGrid>
        <w:gridCol w:w="1300"/>
        <w:gridCol w:w="8905"/>
      </w:tblGrid>
      <w:tr>
        <w:trPr/>
        <w:tc>
          <w:tcPr>
            <w:tcW w:w="1300" w:type="dxa"/>
            <w:tcBorders/>
            <w:vAlign w:val="center"/>
          </w:tcPr>
          <w:p>
            <w:pPr>
              <w:pStyle w:val="TableContents"/>
              <w:bidi w:val="0"/>
              <w:spacing w:before="0" w:after="283"/>
              <w:jc w:val="left"/>
              <w:rPr>
                <w:rFonts w:ascii="Arial;Helvetica;Sans-Serif" w:hAnsi="Arial;Helvetica;Sans-Serif"/>
                <w:color w:val="0062AF"/>
                <w:sz w:val="18"/>
              </w:rPr>
            </w:pPr>
            <w:r>
              <w:rPr>
                <w:rFonts w:ascii="Arial;Helvetica;Sans-Serif" w:hAnsi="Arial;Helvetica;Sans-Serif"/>
                <w:color w:val="0062AF"/>
                <w:sz w:val="18"/>
              </w:rPr>
              <w:t>Competitive Advantage</w:t>
            </w:r>
          </w:p>
        </w:tc>
        <w:tc>
          <w:tcPr>
            <w:tcW w:w="890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Setting compensation levels that are sufficiently competitive such that they will motivate and reward the highest quality individuals to contribute to our goals, objectives, and overall financial success. This is done in part through reviewing and comparing the compensation of other companies in our industry.</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10205" w:type="dxa"/>
        <w:jc w:val="left"/>
        <w:tblInd w:w="0" w:type="dxa"/>
        <w:tblLayout w:type="fixed"/>
        <w:tblCellMar>
          <w:top w:w="0" w:type="dxa"/>
          <w:left w:w="0" w:type="dxa"/>
          <w:bottom w:w="0" w:type="dxa"/>
          <w:right w:w="0" w:type="dxa"/>
        </w:tblCellMar>
      </w:tblPr>
      <w:tblGrid>
        <w:gridCol w:w="815"/>
        <w:gridCol w:w="9390"/>
      </w:tblGrid>
      <w:tr>
        <w:trPr/>
        <w:tc>
          <w:tcPr>
            <w:tcW w:w="815" w:type="dxa"/>
            <w:tcBorders/>
            <w:vAlign w:val="center"/>
          </w:tcPr>
          <w:p>
            <w:pPr>
              <w:pStyle w:val="TableContents"/>
              <w:bidi w:val="0"/>
              <w:spacing w:before="0" w:after="283"/>
              <w:jc w:val="left"/>
              <w:rPr>
                <w:rFonts w:ascii="Arial;Helvetica;Sans-Serif" w:hAnsi="Arial;Helvetica;Sans-Serif"/>
                <w:color w:val="0062AF"/>
                <w:sz w:val="18"/>
              </w:rPr>
            </w:pPr>
            <w:r>
              <w:rPr>
                <w:rFonts w:ascii="Arial;Helvetica;Sans-Serif" w:hAnsi="Arial;Helvetica;Sans-Serif"/>
                <w:color w:val="0062AF"/>
                <w:sz w:val="18"/>
              </w:rPr>
              <w:t>Retention</w:t>
            </w:r>
          </w:p>
        </w:tc>
        <w:tc>
          <w:tcPr>
            <w:tcW w:w="939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Retaining executives and encouraging their continued quality service, thereby encouraging and maintaining continuity of the management team. Our competitive base salaries combined with variable cash and equity incentive bonuses, and the long-term incentives through our retirement plan and the vesting requirements of our equity-based incentive bonuses, encourage high-performing executives to remain with the Company.</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10205" w:type="dxa"/>
        <w:jc w:val="left"/>
        <w:tblInd w:w="0" w:type="dxa"/>
        <w:tblLayout w:type="fixed"/>
        <w:tblCellMar>
          <w:top w:w="0" w:type="dxa"/>
          <w:left w:w="0" w:type="dxa"/>
          <w:bottom w:w="0" w:type="dxa"/>
          <w:right w:w="0" w:type="dxa"/>
        </w:tblCellMar>
      </w:tblPr>
      <w:tblGrid>
        <w:gridCol w:w="1334"/>
        <w:gridCol w:w="8871"/>
      </w:tblGrid>
      <w:tr>
        <w:trPr/>
        <w:tc>
          <w:tcPr>
            <w:tcW w:w="1334" w:type="dxa"/>
            <w:tcBorders/>
            <w:vAlign w:val="center"/>
          </w:tcPr>
          <w:p>
            <w:pPr>
              <w:pStyle w:val="TableContents"/>
              <w:bidi w:val="0"/>
              <w:spacing w:before="0" w:after="283"/>
              <w:jc w:val="left"/>
              <w:rPr>
                <w:rFonts w:ascii="Arial;Helvetica;Sans-Serif" w:hAnsi="Arial;Helvetica;Sans-Serif"/>
                <w:color w:val="0062AF"/>
                <w:sz w:val="18"/>
              </w:rPr>
            </w:pPr>
            <w:r>
              <w:rPr>
                <w:rFonts w:ascii="Arial;Helvetica;Sans-Serif" w:hAnsi="Arial;Helvetica;Sans-Serif"/>
                <w:color w:val="0062AF"/>
                <w:sz w:val="18"/>
              </w:rPr>
              <w:t>Performance Alignment</w:t>
            </w:r>
          </w:p>
        </w:tc>
        <w:tc>
          <w:tcPr>
            <w:tcW w:w="8871"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Incentivizing executives appropriately to manage risks while attempting to improve our financial results, performance, and condition. Our cash and equity incentive plans set Company-specific and individual goals for executives to ensure the executives are compensated in accordance with the Company’s performance.</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10205" w:type="dxa"/>
        <w:jc w:val="left"/>
        <w:tblInd w:w="0" w:type="dxa"/>
        <w:tblLayout w:type="fixed"/>
        <w:tblCellMar>
          <w:top w:w="0" w:type="dxa"/>
          <w:left w:w="0" w:type="dxa"/>
          <w:bottom w:w="0" w:type="dxa"/>
          <w:right w:w="0" w:type="dxa"/>
        </w:tblCellMar>
      </w:tblPr>
      <w:tblGrid>
        <w:gridCol w:w="1331"/>
        <w:gridCol w:w="8874"/>
      </w:tblGrid>
      <w:tr>
        <w:trPr/>
        <w:tc>
          <w:tcPr>
            <w:tcW w:w="1331" w:type="dxa"/>
            <w:tcBorders/>
            <w:vAlign w:val="center"/>
          </w:tcPr>
          <w:p>
            <w:pPr>
              <w:pStyle w:val="TableContents"/>
              <w:bidi w:val="0"/>
              <w:spacing w:before="0" w:after="283"/>
              <w:jc w:val="left"/>
              <w:rPr>
                <w:rFonts w:ascii="Arial;Helvetica;Sans-Serif" w:hAnsi="Arial;Helvetica;Sans-Serif"/>
                <w:color w:val="0062AF"/>
                <w:sz w:val="18"/>
              </w:rPr>
            </w:pPr>
            <w:r>
              <w:rPr>
                <w:rFonts w:ascii="Arial;Helvetica;Sans-Serif" w:hAnsi="Arial;Helvetica;Sans-Serif"/>
                <w:color w:val="0062AF"/>
                <w:sz w:val="18"/>
              </w:rPr>
              <w:t>Shareholder Alignment</w:t>
            </w:r>
          </w:p>
        </w:tc>
        <w:tc>
          <w:tcPr>
            <w:tcW w:w="8874"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Aligning executive and stockholder interests. The Compensation Committee believes the use of equity compensation as a key component of executive compensation is a valuable tool for driving sustained financial value creation and aligning the interests of our NEOs with those of our stockholders.</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10205" w:type="dxa"/>
        <w:jc w:val="left"/>
        <w:tblInd w:w="0" w:type="dxa"/>
        <w:tblLayout w:type="fixed"/>
        <w:tblCellMar>
          <w:top w:w="0" w:type="dxa"/>
          <w:left w:w="0" w:type="dxa"/>
          <w:bottom w:w="0" w:type="dxa"/>
          <w:right w:w="0" w:type="dxa"/>
        </w:tblCellMar>
      </w:tblPr>
      <w:tblGrid>
        <w:gridCol w:w="1495"/>
        <w:gridCol w:w="8710"/>
      </w:tblGrid>
      <w:tr>
        <w:trPr/>
        <w:tc>
          <w:tcPr>
            <w:tcW w:w="1495" w:type="dxa"/>
            <w:tcBorders/>
            <w:vAlign w:val="center"/>
          </w:tcPr>
          <w:p>
            <w:pPr>
              <w:pStyle w:val="TableContents"/>
              <w:bidi w:val="0"/>
              <w:spacing w:before="0" w:after="283"/>
              <w:jc w:val="left"/>
              <w:rPr>
                <w:rFonts w:ascii="Arial;Helvetica;Sans-Serif" w:hAnsi="Arial;Helvetica;Sans-Serif"/>
                <w:color w:val="0062AF"/>
                <w:sz w:val="18"/>
              </w:rPr>
            </w:pPr>
            <w:r>
              <w:rPr>
                <w:rFonts w:ascii="Arial;Helvetica;Sans-Serif" w:hAnsi="Arial;Helvetica;Sans-Serif"/>
                <w:color w:val="0062AF"/>
                <w:sz w:val="18"/>
              </w:rPr>
              <w:t>Tax-Advantaged Design</w:t>
            </w:r>
          </w:p>
        </w:tc>
        <w:tc>
          <w:tcPr>
            <w:tcW w:w="871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Obtaining tax deductibility whenever appropriate. The Compensation Committee believes tax deductibility for the Company is generally a favorable feature for an executive compensation program, from the perspectives of both the Company and the stockholders. The 2022 Plan has provisions relating to tax withholding and compliance with Section 409A of the Internal Revenue Code (the “Code”) to ensure the Company and the executives are obtaining favorable tax treatment.</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283"/>
        <w:jc w:val="left"/>
        <w:rPr/>
      </w:pPr>
      <w:r>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32</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bdr w:val="single" w:sz="2" w:space="1" w:color="6ECBF3"/>
        </w:rPr>
      </w:pPr>
      <w:r>
        <w:rPr>
          <w:bdr w:val="single" w:sz="2" w:space="1" w:color="6ECBF3"/>
        </w:rPr>
        <w:t> </w:t>
      </w:r>
    </w:p>
    <w:tbl>
      <w:tblPr>
        <w:tblW w:w="10205" w:type="dxa"/>
        <w:jc w:val="left"/>
        <w:tblInd w:w="0" w:type="dxa"/>
        <w:tblLayout w:type="fixed"/>
        <w:tblCellMar>
          <w:top w:w="0" w:type="dxa"/>
          <w:left w:w="0" w:type="dxa"/>
          <w:bottom w:w="0" w:type="dxa"/>
          <w:right w:w="0" w:type="dxa"/>
        </w:tblCellMar>
      </w:tblPr>
      <w:tblGrid>
        <w:gridCol w:w="1228"/>
        <w:gridCol w:w="8977"/>
      </w:tblGrid>
      <w:tr>
        <w:trPr/>
        <w:tc>
          <w:tcPr>
            <w:tcW w:w="1228" w:type="dxa"/>
            <w:tcBorders/>
            <w:vAlign w:val="center"/>
          </w:tcPr>
          <w:p>
            <w:pPr>
              <w:pStyle w:val="TableContents"/>
              <w:bidi w:val="0"/>
              <w:spacing w:before="0" w:after="283"/>
              <w:jc w:val="left"/>
              <w:rPr>
                <w:rFonts w:ascii="Arial;Helvetica;Sans-Serif" w:hAnsi="Arial;Helvetica;Sans-Serif"/>
                <w:color w:val="0062AF"/>
                <w:sz w:val="18"/>
              </w:rPr>
            </w:pPr>
            <w:r>
              <w:rPr>
                <w:rFonts w:ascii="Arial;Helvetica;Sans-Serif" w:hAnsi="Arial;Helvetica;Sans-Serif"/>
                <w:color w:val="0062AF"/>
                <w:sz w:val="18"/>
              </w:rPr>
              <w:t>Market Standard</w:t>
            </w:r>
          </w:p>
        </w:tc>
        <w:tc>
          <w:tcPr>
            <w:tcW w:w="8977"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Instituting market best practices, including the Ownership Guidelines, the Clawback Policy, and a prohibition on hedging Company securities.</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The Compensation Committee believes that the total compensation package for each of our NEOs is competitive with the market, thereby allowing us to retain executive talent capable of leveraging the skills of our employees and our unique assets to increase stockholder value.</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80"/>
        <w:jc w:val="left"/>
        <w:rPr>
          <w:rFonts w:ascii="Arial;Helvetica;Sans-Serif" w:hAnsi="Arial;Helvetica;Sans-Serif"/>
          <w:b w:val="false"/>
          <w:i w:val="false"/>
          <w:caps w:val="false"/>
          <w:smallCaps w:val="false"/>
          <w:color w:val="0062AF"/>
          <w:sz w:val="20"/>
          <w:bdr w:val="single" w:sz="2" w:space="1" w:color="6ECBF3"/>
        </w:rPr>
      </w:pPr>
      <w:r>
        <w:rPr>
          <w:rFonts w:ascii="Arial;Helvetica;Sans-Serif" w:hAnsi="Arial;Helvetica;Sans-Serif"/>
          <w:b/>
          <w:i/>
          <w:caps w:val="false"/>
          <w:smallCaps w:val="false"/>
          <w:color w:val="0062AF"/>
          <w:sz w:val="20"/>
          <w:bdr w:val="single" w:sz="2" w:space="1" w:color="6ECBF3"/>
        </w:rPr>
        <w:t>Compensation Peer Group</w:t>
      </w:r>
      <w:r>
        <w:rPr>
          <w:rFonts w:ascii="Arial;Helvetica;Sans-Serif" w:hAnsi="Arial;Helvetica;Sans-Serif"/>
          <w:b w:val="false"/>
          <w:i w:val="false"/>
          <w:caps w:val="false"/>
          <w:smallCaps w:val="false"/>
          <w:color w:val="0062AF"/>
          <w:sz w:val="20"/>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For purposes of setting executive compensation levels for fiscal year 2025, the following compensation Peer Group was used:</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8375" w:type="dxa"/>
        <w:jc w:val="left"/>
        <w:tblInd w:w="0" w:type="dxa"/>
        <w:tblLayout w:type="fixed"/>
        <w:tblCellMar>
          <w:top w:w="100" w:type="dxa"/>
          <w:left w:w="0" w:type="dxa"/>
          <w:bottom w:w="0" w:type="dxa"/>
          <w:right w:w="100" w:type="dxa"/>
        </w:tblCellMar>
      </w:tblPr>
      <w:tblGrid>
        <w:gridCol w:w="2105"/>
        <w:gridCol w:w="1895"/>
        <w:gridCol w:w="2060"/>
        <w:gridCol w:w="2315"/>
      </w:tblGrid>
      <w:tr>
        <w:trPr/>
        <w:tc>
          <w:tcPr>
            <w:tcW w:w="2105" w:type="dxa"/>
            <w:tcBorders>
              <w:top w:val="single" w:sz="8" w:space="0" w:color="E6F5FD"/>
              <w:right w:val="single" w:sz="8" w:space="0" w:color="E6F5FD"/>
            </w:tcBorders>
            <w:shd w:fill="EEF8FD"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Alico, Inc.</w:t>
            </w:r>
          </w:p>
        </w:tc>
        <w:tc>
          <w:tcPr>
            <w:tcW w:w="1895" w:type="dxa"/>
            <w:tcBorders>
              <w:top w:val="single" w:sz="8" w:space="0" w:color="E6F5FD"/>
              <w:left w:val="single" w:sz="8" w:space="0" w:color="E5F5FD"/>
              <w:right w:val="single" w:sz="8" w:space="0" w:color="E6F5FD"/>
            </w:tcBorders>
            <w:shd w:fill="EEF8FD" w:val="clear"/>
            <w:tcMar>
              <w:left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Calavo Growers, Inc.</w:t>
            </w:r>
          </w:p>
        </w:tc>
        <w:tc>
          <w:tcPr>
            <w:tcW w:w="2060" w:type="dxa"/>
            <w:tcBorders>
              <w:top w:val="single" w:sz="8" w:space="0" w:color="E6F5FD"/>
              <w:left w:val="single" w:sz="8" w:space="0" w:color="E5F5FD"/>
              <w:right w:val="single" w:sz="8" w:space="0" w:color="E3F2E7"/>
            </w:tcBorders>
            <w:shd w:fill="EEF8FD" w:val="clear"/>
            <w:tcMar>
              <w:left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Maui Land &amp;</w:t>
            </w:r>
          </w:p>
        </w:tc>
        <w:tc>
          <w:tcPr>
            <w:tcW w:w="2315" w:type="dxa"/>
            <w:tcBorders>
              <w:top w:val="single" w:sz="8" w:space="0" w:color="E6F5FD"/>
              <w:left w:val="single" w:sz="8" w:space="0" w:color="E5F5FD"/>
            </w:tcBorders>
            <w:shd w:fill="EEF8FD" w:val="clear"/>
            <w:tcMar>
              <w:left w:w="100" w:type="dxa"/>
              <w:righ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The St. Joe Company</w:t>
            </w:r>
          </w:p>
        </w:tc>
      </w:tr>
      <w:tr>
        <w:trPr/>
        <w:tc>
          <w:tcPr>
            <w:tcW w:w="2105" w:type="dxa"/>
            <w:tcBorders>
              <w:bottom w:val="single" w:sz="8" w:space="0" w:color="E5F5FD"/>
              <w:right w:val="single" w:sz="8" w:space="0" w:color="E6F5FD"/>
            </w:tcBorders>
            <w:shd w:fill="EEF8FD" w:val="clear"/>
            <w:tcMar>
              <w:top w:w="0" w:type="dxa"/>
              <w:bottom w:w="100" w:type="dxa"/>
            </w:tcMar>
            <w:vAlign w:val="center"/>
          </w:tcPr>
          <w:p>
            <w:pPr>
              <w:pStyle w:val="TableContents"/>
              <w:bidi w:val="0"/>
              <w:spacing w:before="0" w:after="283"/>
              <w:jc w:val="left"/>
              <w:rPr/>
            </w:pPr>
            <w:r>
              <w:rPr/>
              <w:t> </w:t>
            </w:r>
          </w:p>
        </w:tc>
        <w:tc>
          <w:tcPr>
            <w:tcW w:w="1895" w:type="dxa"/>
            <w:tcBorders>
              <w:left w:val="single" w:sz="8" w:space="0" w:color="E5F5FD"/>
              <w:bottom w:val="single" w:sz="8" w:space="0" w:color="E5F5FD"/>
              <w:right w:val="single" w:sz="8" w:space="0" w:color="E6F5FD"/>
            </w:tcBorders>
            <w:shd w:fill="EEF8FD" w:val="clear"/>
            <w:tcMar>
              <w:top w:w="0" w:type="dxa"/>
              <w:left w:w="100" w:type="dxa"/>
              <w:bottom w:w="100" w:type="dxa"/>
            </w:tcMar>
            <w:vAlign w:val="center"/>
          </w:tcPr>
          <w:p>
            <w:pPr>
              <w:pStyle w:val="TableContents"/>
              <w:bidi w:val="0"/>
              <w:spacing w:before="0" w:after="283"/>
              <w:jc w:val="left"/>
              <w:rPr/>
            </w:pPr>
            <w:r>
              <w:rPr/>
              <w:t> </w:t>
            </w:r>
          </w:p>
        </w:tc>
        <w:tc>
          <w:tcPr>
            <w:tcW w:w="2060" w:type="dxa"/>
            <w:tcBorders>
              <w:left w:val="single" w:sz="8" w:space="0" w:color="E5F5FD"/>
              <w:bottom w:val="single" w:sz="8" w:space="0" w:color="E5F5FD"/>
              <w:right w:val="single" w:sz="8" w:space="0" w:color="E3F2E7"/>
            </w:tcBorders>
            <w:shd w:fill="EEF8FD" w:val="clear"/>
            <w:tcMar>
              <w:top w:w="0" w:type="dxa"/>
              <w:left w:w="100" w:type="dxa"/>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Pineapple Company, Inc.</w:t>
            </w:r>
          </w:p>
        </w:tc>
        <w:tc>
          <w:tcPr>
            <w:tcW w:w="2315" w:type="dxa"/>
            <w:tcBorders>
              <w:left w:val="single" w:sz="8" w:space="0" w:color="E5F5FD"/>
              <w:bottom w:val="single" w:sz="8" w:space="0" w:color="E5F5FD"/>
            </w:tcBorders>
            <w:shd w:fill="EEF8FD" w:val="clear"/>
            <w:tcMar>
              <w:top w:w="0" w:type="dxa"/>
              <w:left w:w="100" w:type="dxa"/>
              <w:bottom w:w="100" w:type="dxa"/>
              <w:right w:w="0" w:type="dxa"/>
            </w:tcMar>
            <w:vAlign w:val="center"/>
          </w:tcPr>
          <w:p>
            <w:pPr>
              <w:pStyle w:val="TableContents"/>
              <w:bidi w:val="0"/>
              <w:spacing w:before="0" w:after="283"/>
              <w:jc w:val="left"/>
              <w:rPr/>
            </w:pPr>
            <w:r>
              <w:rPr/>
              <w:t> </w:t>
            </w:r>
          </w:p>
        </w:tc>
      </w:tr>
      <w:tr>
        <w:trPr/>
        <w:tc>
          <w:tcPr>
            <w:tcW w:w="2105" w:type="dxa"/>
            <w:tcBorders>
              <w:right w:val="single" w:sz="8" w:space="0" w:color="E6F5FD"/>
            </w:tcBorders>
            <w:tcMar>
              <w:top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Benson Hill, Inc.</w:t>
            </w:r>
          </w:p>
        </w:tc>
        <w:tc>
          <w:tcPr>
            <w:tcW w:w="1895" w:type="dxa"/>
            <w:tcBorders>
              <w:left w:val="single" w:sz="8" w:space="0" w:color="E5F5FD"/>
              <w:right w:val="single" w:sz="8" w:space="0" w:color="E6F5FD"/>
            </w:tcBorders>
            <w:tcMar>
              <w:top w:w="0" w:type="dxa"/>
              <w:left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Farmer Bros. Co.</w:t>
            </w:r>
          </w:p>
        </w:tc>
        <w:tc>
          <w:tcPr>
            <w:tcW w:w="2060" w:type="dxa"/>
            <w:tcBorders>
              <w:left w:val="single" w:sz="8" w:space="0" w:color="E5F5FD"/>
              <w:right w:val="single" w:sz="8" w:space="0" w:color="E3F2E7"/>
            </w:tcBorders>
            <w:tcMar>
              <w:top w:w="0" w:type="dxa"/>
              <w:left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Mission Produce, Inc.</w:t>
            </w:r>
          </w:p>
        </w:tc>
        <w:tc>
          <w:tcPr>
            <w:tcW w:w="2315" w:type="dxa"/>
            <w:tcBorders>
              <w:left w:val="single" w:sz="8" w:space="0" w:color="E5F5FD"/>
            </w:tcBorders>
            <w:tcMar>
              <w:top w:w="0" w:type="dxa"/>
              <w:left w:w="100" w:type="dxa"/>
              <w:righ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Village Farms International, Inc.</w:t>
            </w:r>
          </w:p>
        </w:tc>
      </w:tr>
      <w:tr>
        <w:trPr/>
        <w:tc>
          <w:tcPr>
            <w:tcW w:w="2105" w:type="dxa"/>
            <w:tcBorders>
              <w:bottom w:val="single" w:sz="8" w:space="0" w:color="E5F5FD"/>
              <w:right w:val="single" w:sz="8" w:space="0" w:color="E6F5FD"/>
            </w:tcBorders>
            <w:shd w:fill="EEF8FD" w:val="clear"/>
            <w:tcMar>
              <w:top w:w="0" w:type="dxa"/>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Bridgford Foods Corporation</w:t>
            </w:r>
          </w:p>
        </w:tc>
        <w:tc>
          <w:tcPr>
            <w:tcW w:w="1895" w:type="dxa"/>
            <w:tcBorders>
              <w:left w:val="single" w:sz="8" w:space="0" w:color="E5F5FD"/>
              <w:bottom w:val="single" w:sz="8" w:space="0" w:color="E5F5FD"/>
              <w:right w:val="single" w:sz="8" w:space="0" w:color="E6F5FD"/>
            </w:tcBorders>
            <w:shd w:fill="EEF8FD" w:val="clear"/>
            <w:tcMar>
              <w:top w:w="0" w:type="dxa"/>
              <w:left w:w="100" w:type="dxa"/>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Five Points Holdings, LLC</w:t>
            </w:r>
          </w:p>
        </w:tc>
        <w:tc>
          <w:tcPr>
            <w:tcW w:w="2060" w:type="dxa"/>
            <w:tcBorders>
              <w:left w:val="single" w:sz="8" w:space="0" w:color="E5F5FD"/>
              <w:bottom w:val="single" w:sz="8" w:space="0" w:color="E5F5FD"/>
              <w:right w:val="single" w:sz="8" w:space="0" w:color="E3F2E7"/>
            </w:tcBorders>
            <w:shd w:fill="EEF8FD" w:val="clear"/>
            <w:tcMar>
              <w:top w:w="0" w:type="dxa"/>
              <w:left w:w="100" w:type="dxa"/>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Tejon Ranch Co.</w:t>
            </w:r>
          </w:p>
        </w:tc>
        <w:tc>
          <w:tcPr>
            <w:tcW w:w="2315" w:type="dxa"/>
            <w:tcBorders>
              <w:left w:val="single" w:sz="8" w:space="0" w:color="E5F5FD"/>
              <w:bottom w:val="single" w:sz="8" w:space="0" w:color="E5F5FD"/>
            </w:tcBorders>
            <w:shd w:fill="EEF8FD" w:val="clear"/>
            <w:tcMar>
              <w:top w:w="0" w:type="dxa"/>
              <w:left w:w="100" w:type="dxa"/>
              <w:bottom w:w="100" w:type="dxa"/>
              <w:right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Vital Farms, Inc.</w:t>
            </w:r>
          </w:p>
        </w:tc>
      </w:tr>
      <w:tr>
        <w:trPr/>
        <w:tc>
          <w:tcPr>
            <w:tcW w:w="2105" w:type="dxa"/>
            <w:tcBorders>
              <w:bottom w:val="single" w:sz="8" w:space="0" w:color="E5F5FD"/>
              <w:right w:val="single" w:sz="8" w:space="0" w:color="E6F5FD"/>
            </w:tcBorders>
            <w:tcMar>
              <w:top w:w="0" w:type="dxa"/>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Cadiz, Inc.</w:t>
            </w:r>
          </w:p>
        </w:tc>
        <w:tc>
          <w:tcPr>
            <w:tcW w:w="1895" w:type="dxa"/>
            <w:tcBorders>
              <w:left w:val="single" w:sz="8" w:space="0" w:color="E5F5FD"/>
              <w:bottom w:val="single" w:sz="8" w:space="0" w:color="E5F5FD"/>
              <w:right w:val="single" w:sz="8" w:space="0" w:color="E6F5FD"/>
            </w:tcBorders>
            <w:tcMar>
              <w:top w:w="0" w:type="dxa"/>
              <w:left w:w="100" w:type="dxa"/>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Lifeway Foods, Inc.</w:t>
            </w:r>
          </w:p>
        </w:tc>
        <w:tc>
          <w:tcPr>
            <w:tcW w:w="2060" w:type="dxa"/>
            <w:tcBorders>
              <w:left w:val="single" w:sz="8" w:space="0" w:color="E5F5FD"/>
              <w:bottom w:val="single" w:sz="8" w:space="0" w:color="E5F5FD"/>
              <w:right w:val="single" w:sz="8" w:space="0" w:color="E3F2E7"/>
            </w:tcBorders>
            <w:tcMar>
              <w:top w:w="0" w:type="dxa"/>
              <w:left w:w="100" w:type="dxa"/>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The Duckhorn Portfolio, Inc.</w:t>
            </w:r>
          </w:p>
        </w:tc>
        <w:tc>
          <w:tcPr>
            <w:tcW w:w="2315" w:type="dxa"/>
            <w:tcBorders>
              <w:left w:val="single" w:sz="8" w:space="0" w:color="E5F5FD"/>
              <w:bottom w:val="single" w:sz="8" w:space="0" w:color="E5F5FD"/>
            </w:tcBorders>
            <w:tcMar>
              <w:top w:w="0" w:type="dxa"/>
              <w:left w:w="100" w:type="dxa"/>
              <w:bottom w:w="100" w:type="dxa"/>
              <w:right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In January 2026, at the recommendation of Pearl Meyer, the Board reviewed and approved an updated peer group for use beginning in fiscal year 2026. In conducting this review, Pearl Meyer evaluated the continued relevance of the existing peer group and screened potential additions, taking into account companies that cited Limoneira as a peer and applying the following general criteria:</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5343" w:type="dxa"/>
        <w:jc w:val="left"/>
        <w:tblInd w:w="0" w:type="dxa"/>
        <w:tblLayout w:type="fixed"/>
        <w:tblCellMar>
          <w:top w:w="0" w:type="dxa"/>
          <w:left w:w="0" w:type="dxa"/>
          <w:bottom w:w="0" w:type="dxa"/>
          <w:right w:w="0" w:type="dxa"/>
        </w:tblCellMar>
      </w:tblPr>
      <w:tblGrid>
        <w:gridCol w:w="38"/>
        <w:gridCol w:w="110"/>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519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Revenue: ranging from approximately $20 million to $1.2 billion</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Industry (Primary GICS Classification): Agricultural Products, Distillers and Vintners, Packaged Foods and Meats, Real Estate Management and Development, and Water Utilities</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2268" w:type="dxa"/>
        <w:jc w:val="left"/>
        <w:tblInd w:w="0" w:type="dxa"/>
        <w:tblLayout w:type="fixed"/>
        <w:tblCellMar>
          <w:top w:w="0" w:type="dxa"/>
          <w:left w:w="0" w:type="dxa"/>
          <w:bottom w:w="0" w:type="dxa"/>
          <w:right w:w="0" w:type="dxa"/>
        </w:tblCellMar>
      </w:tblPr>
      <w:tblGrid>
        <w:gridCol w:w="38"/>
        <w:gridCol w:w="110"/>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212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ISS peer group alignment</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Upon review and analysis, Pearl Meyer proposed the following changes to the existing peer group to reflect merger and acquisition activity within the prior peer group and to maintain an appropriately sized peer group:</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Deletions: Benson Hill, Inc. (merged in September 2021 with Star Peak Corp II), and The Duckhorn Portfolio (acquired by Butterfly Equity).</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4593" w:type="dxa"/>
        <w:jc w:val="left"/>
        <w:tblInd w:w="0" w:type="dxa"/>
        <w:tblLayout w:type="fixed"/>
        <w:tblCellMar>
          <w:top w:w="0" w:type="dxa"/>
          <w:left w:w="0" w:type="dxa"/>
          <w:bottom w:w="0" w:type="dxa"/>
          <w:right w:w="0" w:type="dxa"/>
        </w:tblCellMar>
      </w:tblPr>
      <w:tblGrid>
        <w:gridCol w:w="38"/>
        <w:gridCol w:w="110"/>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Additions: Crimson Wine Group, Ltd. and SunOpta Inc.</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The compensation peer group approved for purposes of setting 2026 executive compensation levels and benchmarking director compensation is as follows:</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8210" w:type="dxa"/>
        <w:jc w:val="left"/>
        <w:tblInd w:w="0" w:type="dxa"/>
        <w:tblLayout w:type="fixed"/>
        <w:tblCellMar>
          <w:top w:w="100" w:type="dxa"/>
          <w:left w:w="0" w:type="dxa"/>
          <w:bottom w:w="0" w:type="dxa"/>
          <w:right w:w="0" w:type="dxa"/>
        </w:tblCellMar>
      </w:tblPr>
      <w:tblGrid>
        <w:gridCol w:w="2105"/>
        <w:gridCol w:w="1955"/>
        <w:gridCol w:w="1835"/>
        <w:gridCol w:w="2315"/>
      </w:tblGrid>
      <w:tr>
        <w:trPr/>
        <w:tc>
          <w:tcPr>
            <w:tcW w:w="2105" w:type="dxa"/>
            <w:tcBorders>
              <w:top w:val="single" w:sz="8" w:space="0" w:color="E5F5FD"/>
            </w:tcBorders>
            <w:shd w:fill="EEF8FD"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Alico, Inc.</w:t>
            </w:r>
          </w:p>
        </w:tc>
        <w:tc>
          <w:tcPr>
            <w:tcW w:w="1955" w:type="dxa"/>
            <w:tcBorders>
              <w:top w:val="single" w:sz="8" w:space="0" w:color="E5F5FD"/>
              <w:left w:val="single" w:sz="8" w:space="0" w:color="E5F5FD"/>
            </w:tcBorders>
            <w:shd w:fill="EEF8FD" w:val="clear"/>
            <w:tcMar>
              <w:left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Crimson Wine Group, Ltd..</w:t>
            </w:r>
          </w:p>
        </w:tc>
        <w:tc>
          <w:tcPr>
            <w:tcW w:w="1835" w:type="dxa"/>
            <w:tcBorders>
              <w:top w:val="single" w:sz="8" w:space="0" w:color="E5F5FD"/>
              <w:left w:val="single" w:sz="8" w:space="0" w:color="E5F5FD"/>
            </w:tcBorders>
            <w:shd w:fill="EEF8FD" w:val="clear"/>
            <w:tcMar>
              <w:left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Maui Land &amp;</w:t>
            </w:r>
          </w:p>
        </w:tc>
        <w:tc>
          <w:tcPr>
            <w:tcW w:w="2315" w:type="dxa"/>
            <w:tcBorders>
              <w:top w:val="single" w:sz="8" w:space="0" w:color="E5F5FD"/>
              <w:left w:val="single" w:sz="8" w:space="0" w:color="E5F5FD"/>
            </w:tcBorders>
            <w:shd w:fill="EEF8FD" w:val="clear"/>
            <w:tcMar>
              <w:left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SunOpta Inc.</w:t>
            </w:r>
          </w:p>
        </w:tc>
      </w:tr>
      <w:tr>
        <w:trPr/>
        <w:tc>
          <w:tcPr>
            <w:tcW w:w="2105" w:type="dxa"/>
            <w:tcBorders>
              <w:bottom w:val="single" w:sz="8" w:space="0" w:color="E5F5FD"/>
            </w:tcBorders>
            <w:shd w:fill="EEF8FD" w:val="clear"/>
            <w:tcMar>
              <w:top w:w="0" w:type="dxa"/>
              <w:bottom w:w="100" w:type="dxa"/>
            </w:tcMar>
            <w:vAlign w:val="center"/>
          </w:tcPr>
          <w:p>
            <w:pPr>
              <w:pStyle w:val="TableContents"/>
              <w:bidi w:val="0"/>
              <w:spacing w:before="0" w:after="283"/>
              <w:jc w:val="left"/>
              <w:rPr/>
            </w:pPr>
            <w:r>
              <w:rPr/>
              <w:t> </w:t>
            </w:r>
          </w:p>
        </w:tc>
        <w:tc>
          <w:tcPr>
            <w:tcW w:w="1955" w:type="dxa"/>
            <w:tcBorders>
              <w:left w:val="single" w:sz="8" w:space="0" w:color="E5F5FD"/>
              <w:bottom w:val="single" w:sz="8" w:space="0" w:color="E5F5FD"/>
            </w:tcBorders>
            <w:shd w:fill="EEF8FD" w:val="clear"/>
            <w:tcMar>
              <w:top w:w="0" w:type="dxa"/>
              <w:left w:w="100" w:type="dxa"/>
              <w:bottom w:w="100" w:type="dxa"/>
            </w:tcMar>
            <w:vAlign w:val="center"/>
          </w:tcPr>
          <w:p>
            <w:pPr>
              <w:pStyle w:val="TableContents"/>
              <w:bidi w:val="0"/>
              <w:spacing w:before="0" w:after="283"/>
              <w:jc w:val="left"/>
              <w:rPr/>
            </w:pPr>
            <w:r>
              <w:rPr/>
              <w:t> </w:t>
            </w:r>
          </w:p>
        </w:tc>
        <w:tc>
          <w:tcPr>
            <w:tcW w:w="1835" w:type="dxa"/>
            <w:tcBorders>
              <w:left w:val="single" w:sz="8" w:space="0" w:color="E5F5FD"/>
              <w:bottom w:val="single" w:sz="8" w:space="0" w:color="E5F5FD"/>
            </w:tcBorders>
            <w:shd w:fill="EEF8FD" w:val="clear"/>
            <w:tcMar>
              <w:top w:w="0" w:type="dxa"/>
              <w:left w:w="100" w:type="dxa"/>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Pineapple Company, Inc.</w:t>
            </w:r>
          </w:p>
        </w:tc>
        <w:tc>
          <w:tcPr>
            <w:tcW w:w="2315" w:type="dxa"/>
            <w:tcBorders>
              <w:left w:val="single" w:sz="8" w:space="0" w:color="E5F5FD"/>
              <w:bottom w:val="single" w:sz="8" w:space="0" w:color="E5F5FD"/>
            </w:tcBorders>
            <w:shd w:fill="EEF8FD" w:val="clear"/>
            <w:tcMar>
              <w:top w:w="0" w:type="dxa"/>
              <w:left w:w="100" w:type="dxa"/>
              <w:bottom w:w="100" w:type="dxa"/>
            </w:tcMar>
            <w:vAlign w:val="center"/>
          </w:tcPr>
          <w:p>
            <w:pPr>
              <w:pStyle w:val="TableContents"/>
              <w:bidi w:val="0"/>
              <w:spacing w:before="0" w:after="283"/>
              <w:jc w:val="left"/>
              <w:rPr/>
            </w:pPr>
            <w:r>
              <w:rPr/>
              <w:t> </w:t>
            </w:r>
          </w:p>
        </w:tc>
      </w:tr>
      <w:tr>
        <w:trPr/>
        <w:tc>
          <w:tcPr>
            <w:tcW w:w="2105" w:type="dxa"/>
            <w:tcBorders/>
            <w:tcMar>
              <w:top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Bridgford Foods Corporation</w:t>
            </w:r>
          </w:p>
        </w:tc>
        <w:tc>
          <w:tcPr>
            <w:tcW w:w="1955" w:type="dxa"/>
            <w:tcBorders>
              <w:left w:val="single" w:sz="8" w:space="0" w:color="E5F5FD"/>
            </w:tcBorders>
            <w:tcMar>
              <w:top w:w="0" w:type="dxa"/>
              <w:left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Farmer Bros. Co.</w:t>
            </w:r>
          </w:p>
        </w:tc>
        <w:tc>
          <w:tcPr>
            <w:tcW w:w="1835" w:type="dxa"/>
            <w:tcBorders>
              <w:left w:val="single" w:sz="8" w:space="0" w:color="E5F5FD"/>
            </w:tcBorders>
            <w:tcMar>
              <w:top w:w="0" w:type="dxa"/>
              <w:left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Mission Produce, Inc.</w:t>
            </w:r>
          </w:p>
        </w:tc>
        <w:tc>
          <w:tcPr>
            <w:tcW w:w="2315" w:type="dxa"/>
            <w:tcBorders>
              <w:left w:val="single" w:sz="8" w:space="0" w:color="E5F5FD"/>
            </w:tcBorders>
            <w:tcMar>
              <w:top w:w="0" w:type="dxa"/>
              <w:left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Village Farms International, Inc.</w:t>
            </w:r>
          </w:p>
        </w:tc>
      </w:tr>
      <w:tr>
        <w:trPr/>
        <w:tc>
          <w:tcPr>
            <w:tcW w:w="2105" w:type="dxa"/>
            <w:tcBorders>
              <w:bottom w:val="single" w:sz="8" w:space="0" w:color="E5F5FD"/>
            </w:tcBorders>
            <w:shd w:fill="EEF8FD" w:val="clear"/>
            <w:tcMar>
              <w:top w:w="0" w:type="dxa"/>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Cadiz, Inc.</w:t>
            </w:r>
          </w:p>
        </w:tc>
        <w:tc>
          <w:tcPr>
            <w:tcW w:w="1955" w:type="dxa"/>
            <w:tcBorders>
              <w:left w:val="single" w:sz="8" w:space="0" w:color="E5F5FD"/>
              <w:bottom w:val="single" w:sz="8" w:space="0" w:color="E5F5FD"/>
            </w:tcBorders>
            <w:shd w:fill="EEF8FD" w:val="clear"/>
            <w:tcMar>
              <w:top w:w="0" w:type="dxa"/>
              <w:left w:w="100" w:type="dxa"/>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Five Points Holdings, LLC</w:t>
            </w:r>
          </w:p>
        </w:tc>
        <w:tc>
          <w:tcPr>
            <w:tcW w:w="1835" w:type="dxa"/>
            <w:tcBorders>
              <w:left w:val="single" w:sz="8" w:space="0" w:color="E5F5FD"/>
              <w:bottom w:val="single" w:sz="8" w:space="0" w:color="E5F5FD"/>
            </w:tcBorders>
            <w:shd w:fill="EEF8FD" w:val="clear"/>
            <w:tcMar>
              <w:top w:w="0" w:type="dxa"/>
              <w:left w:w="100" w:type="dxa"/>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Tejon Ranch Co.</w:t>
            </w:r>
          </w:p>
        </w:tc>
        <w:tc>
          <w:tcPr>
            <w:tcW w:w="2315" w:type="dxa"/>
            <w:tcBorders>
              <w:left w:val="single" w:sz="8" w:space="0" w:color="E5F5FD"/>
              <w:bottom w:val="single" w:sz="8" w:space="0" w:color="E5F5FD"/>
            </w:tcBorders>
            <w:shd w:fill="EEF8FD" w:val="clear"/>
            <w:tcMar>
              <w:top w:w="0" w:type="dxa"/>
              <w:left w:w="100" w:type="dxa"/>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Vital Farms, Inc.</w:t>
            </w:r>
          </w:p>
        </w:tc>
      </w:tr>
      <w:tr>
        <w:trPr/>
        <w:tc>
          <w:tcPr>
            <w:tcW w:w="2105" w:type="dxa"/>
            <w:tcBorders>
              <w:bottom w:val="single" w:sz="8" w:space="0" w:color="E5F5FD"/>
            </w:tcBorders>
            <w:tcMar>
              <w:top w:w="0" w:type="dxa"/>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Calavo Growers, Inc.</w:t>
            </w:r>
          </w:p>
        </w:tc>
        <w:tc>
          <w:tcPr>
            <w:tcW w:w="1955" w:type="dxa"/>
            <w:tcBorders>
              <w:left w:val="single" w:sz="8" w:space="0" w:color="E5F5FD"/>
              <w:bottom w:val="single" w:sz="8" w:space="0" w:color="E5F5FD"/>
            </w:tcBorders>
            <w:tcMar>
              <w:top w:w="0" w:type="dxa"/>
              <w:left w:w="100" w:type="dxa"/>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Lifeway Foods, Inc.</w:t>
            </w:r>
          </w:p>
        </w:tc>
        <w:tc>
          <w:tcPr>
            <w:tcW w:w="1835" w:type="dxa"/>
            <w:tcBorders>
              <w:left w:val="single" w:sz="8" w:space="0" w:color="E5F5FD"/>
              <w:bottom w:val="single" w:sz="8" w:space="0" w:color="E5F5FD"/>
            </w:tcBorders>
            <w:tcMar>
              <w:top w:w="0" w:type="dxa"/>
              <w:left w:w="100" w:type="dxa"/>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The St. Joe Company</w:t>
            </w:r>
          </w:p>
        </w:tc>
        <w:tc>
          <w:tcPr>
            <w:tcW w:w="2315" w:type="dxa"/>
            <w:tcBorders>
              <w:left w:val="single" w:sz="8" w:space="0" w:color="E5F5FD"/>
              <w:bottom w:val="single" w:sz="8" w:space="0" w:color="E5F5FD"/>
            </w:tcBorders>
            <w:tcMar>
              <w:top w:w="0" w:type="dxa"/>
              <w:left w:w="100" w:type="dxa"/>
              <w:bottom w:w="10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color w:val="008DCF"/>
          <w:bdr w:val="single" w:sz="2" w:space="1" w:color="6ECBF3"/>
        </w:rPr>
      </w:pPr>
      <w:r>
        <w:rPr>
          <w:caps w:val="false"/>
          <w:smallCaps w:val="false"/>
          <w:color w:val="008DCF"/>
          <w:bdr w:val="single" w:sz="2" w:space="1" w:color="6ECBF3"/>
        </w:rPr>
        <w:t> </w:t>
      </w:r>
    </w:p>
    <w:p>
      <w:pPr>
        <w:pStyle w:val="TextBody"/>
        <w:bidi w:val="0"/>
        <w:spacing w:before="0" w:after="80"/>
        <w:jc w:val="left"/>
        <w:rPr>
          <w:rFonts w:ascii="Arial;Helvetica;Sans-Serif" w:hAnsi="Arial;Helvetica;Sans-Serif"/>
          <w:b w:val="false"/>
          <w:i w:val="false"/>
          <w:caps w:val="false"/>
          <w:smallCaps w:val="false"/>
          <w:color w:val="008DCF"/>
          <w:sz w:val="24"/>
          <w:bdr w:val="single" w:sz="2" w:space="1" w:color="6ECBF3"/>
        </w:rPr>
      </w:pPr>
      <w:bookmarkStart w:id="49" w:name="lmnrdef14aa045"/>
      <w:bookmarkEnd w:id="49"/>
      <w:r>
        <w:rPr>
          <w:rFonts w:ascii="Arial;Helvetica;Sans-Serif" w:hAnsi="Arial;Helvetica;Sans-Serif"/>
          <w:b/>
          <w:i w:val="false"/>
          <w:caps w:val="false"/>
          <w:smallCaps w:val="false"/>
          <w:color w:val="008DCF"/>
          <w:sz w:val="24"/>
          <w:bdr w:val="single" w:sz="2" w:space="1" w:color="6ECBF3"/>
        </w:rPr>
        <w:t>Stockholder Engagement and Key Accomplishments</w:t>
      </w:r>
      <w:r>
        <w:rPr>
          <w:rFonts w:ascii="Arial;Helvetica;Sans-Serif" w:hAnsi="Arial;Helvetica;Sans-Serif"/>
          <w:b w:val="false"/>
          <w:i w:val="false"/>
          <w:caps w:val="false"/>
          <w:smallCaps w:val="false"/>
          <w:color w:val="008DCF"/>
          <w:sz w:val="24"/>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We greatly value feedback from our stockholders and rely on such feedback to help us tailor our business policies and practices, including compensation policies and philosophies. Stockholder feedback is instrumental to our business operations and plays an essential role in the development of compensation guidelines and other business matters.</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Accordingly, we provide stockholders with several opportunities to provide feedback. In addition to soliciting feedback through proxy voting, we frequently interact with stockholders throughout the year by hosting individual meetings with</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283"/>
        <w:jc w:val="left"/>
        <w:rPr/>
      </w:pPr>
      <w:r>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33</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color w:val="FF0000"/>
          <w:bdr w:val="single" w:sz="2" w:space="1" w:color="6ECBF3"/>
        </w:rPr>
      </w:pPr>
      <w:r>
        <w:rPr>
          <w:caps w:val="false"/>
          <w:smallCaps w:val="false"/>
          <w:color w:val="FF0000"/>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stockholders that hold approximately 30% of our outstanding shares of Common Stock. On a quarterly basis, we have outreach sessions with four (4) or five (5) of our largest stockholders following our quarterly earnings conference call.</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Throughout the year, we participate in investor conferences and other presentations with current and prospective stockholders. Additionally, we appropriately engage our stockholders informally throughout the year as needed to provide transparency into emerging issues, to discuss milestones and to inform our decision-making. We engage our stockholders on a variety of governance matters, including our executive compensation practices. In fiscal year 2025, we conducted additional outreach to obtain feedback from several of our largest investors to understand key factors they consider when investing in a company and to request their opinions on our outreach efforts. We conducted an email survey to solicit input regarding the appropriateness of our stockholder engagement, stockholders’ level of access to management, the information provided during earnings calls and financial guidance and the importance of our level of attendance at investor conferences.</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During the past two (2) fiscal years, we proactively engaged and responded to stockholders by taking the following actions:</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120"/>
        <w:jc w:val="left"/>
        <w:rPr>
          <w:rFonts w:ascii="Arial;Helvetica;Sans-Serif" w:hAnsi="Arial;Helvetica;Sans-Serif"/>
          <w:b w:val="false"/>
          <w:i w:val="false"/>
          <w:caps w:val="false"/>
          <w:smallCaps w:val="false"/>
          <w:color w:val="0062AF"/>
          <w:sz w:val="20"/>
          <w:bdr w:val="single" w:sz="2" w:space="1" w:color="6ECBF3"/>
        </w:rPr>
      </w:pPr>
      <w:bookmarkStart w:id="50" w:name="lmnrdef14aa046"/>
      <w:bookmarkEnd w:id="50"/>
      <w:r>
        <w:rPr>
          <w:rFonts w:ascii="Arial;Helvetica;Sans-Serif" w:hAnsi="Arial;Helvetica;Sans-Serif"/>
          <w:b/>
          <w:i/>
          <w:caps w:val="false"/>
          <w:smallCaps w:val="false"/>
          <w:color w:val="0062AF"/>
          <w:sz w:val="20"/>
          <w:bdr w:val="single" w:sz="2" w:space="1" w:color="6ECBF3"/>
        </w:rPr>
        <w:t>Fiscal Year 2025</w:t>
      </w:r>
      <w:r>
        <w:rPr>
          <w:rFonts w:ascii="Arial;Helvetica;Sans-Serif" w:hAnsi="Arial;Helvetica;Sans-Serif"/>
          <w:b w:val="false"/>
          <w:i w:val="false"/>
          <w:caps w:val="false"/>
          <w:smallCaps w:val="false"/>
          <w:color w:val="0062AF"/>
          <w:sz w:val="20"/>
          <w:bdr w:val="single" w:sz="2" w:space="1" w:color="6ECBF3"/>
        </w:rPr>
        <w:t> </w:t>
      </w:r>
    </w:p>
    <w:tbl>
      <w:tblPr>
        <w:tblW w:w="5883" w:type="dxa"/>
        <w:jc w:val="left"/>
        <w:tblInd w:w="0" w:type="dxa"/>
        <w:tblLayout w:type="fixed"/>
        <w:tblCellMar>
          <w:top w:w="0" w:type="dxa"/>
          <w:left w:w="0" w:type="dxa"/>
          <w:bottom w:w="0" w:type="dxa"/>
          <w:right w:w="0" w:type="dxa"/>
        </w:tblCellMar>
      </w:tblPr>
      <w:tblGrid>
        <w:gridCol w:w="38"/>
        <w:gridCol w:w="110"/>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Engaged Pearl Meyer to review non-employee director compensation;</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3768" w:type="dxa"/>
        <w:jc w:val="left"/>
        <w:tblInd w:w="0" w:type="dxa"/>
        <w:tblLayout w:type="fixed"/>
        <w:tblCellMar>
          <w:top w:w="0" w:type="dxa"/>
          <w:left w:w="0" w:type="dxa"/>
          <w:bottom w:w="0" w:type="dxa"/>
          <w:right w:w="0" w:type="dxa"/>
        </w:tblCellMar>
      </w:tblPr>
      <w:tblGrid>
        <w:gridCol w:w="38"/>
        <w:gridCol w:w="110"/>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362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terminated the Strategic Alternative process;</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8493" w:type="dxa"/>
        <w:jc w:val="left"/>
        <w:tblInd w:w="0" w:type="dxa"/>
        <w:tblLayout w:type="fixed"/>
        <w:tblCellMar>
          <w:top w:w="0" w:type="dxa"/>
          <w:left w:w="0" w:type="dxa"/>
          <w:bottom w:w="0" w:type="dxa"/>
          <w:right w:w="0" w:type="dxa"/>
        </w:tblCellMar>
      </w:tblPr>
      <w:tblGrid>
        <w:gridCol w:w="38"/>
        <w:gridCol w:w="110"/>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834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reduced future expected SG&amp;A expenses with movement of sales and marketing efforts to Sunkist; and</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further streamlined company operations through a workforce reduction by eliminating twenty-six (26) full-time employment positions.</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120"/>
        <w:jc w:val="left"/>
        <w:rPr>
          <w:rFonts w:ascii="Arial;Helvetica;Sans-Serif" w:hAnsi="Arial;Helvetica;Sans-Serif"/>
          <w:b w:val="false"/>
          <w:i w:val="false"/>
          <w:caps w:val="false"/>
          <w:smallCaps w:val="false"/>
          <w:color w:val="0062AF"/>
          <w:sz w:val="20"/>
          <w:bdr w:val="single" w:sz="2" w:space="1" w:color="6ECBF3"/>
        </w:rPr>
      </w:pPr>
      <w:bookmarkStart w:id="51" w:name="lmnrdef14aa047"/>
      <w:bookmarkEnd w:id="51"/>
      <w:r>
        <w:rPr>
          <w:rFonts w:ascii="Arial;Helvetica;Sans-Serif" w:hAnsi="Arial;Helvetica;Sans-Serif"/>
          <w:b/>
          <w:i/>
          <w:caps w:val="false"/>
          <w:smallCaps w:val="false"/>
          <w:color w:val="0062AF"/>
          <w:sz w:val="20"/>
          <w:bdr w:val="single" w:sz="2" w:space="1" w:color="6ECBF3"/>
        </w:rPr>
        <w:t>Fiscal Year 2024</w:t>
      </w:r>
      <w:r>
        <w:rPr>
          <w:rFonts w:ascii="Arial;Helvetica;Sans-Serif" w:hAnsi="Arial;Helvetica;Sans-Serif"/>
          <w:b w:val="false"/>
          <w:i w:val="false"/>
          <w:caps w:val="false"/>
          <w:smallCaps w:val="false"/>
          <w:color w:val="0062AF"/>
          <w:sz w:val="20"/>
          <w:bdr w:val="single" w:sz="2" w:space="1" w:color="6ECBF3"/>
        </w:rPr>
        <w:t> </w:t>
      </w:r>
    </w:p>
    <w:tbl>
      <w:tblPr>
        <w:tblW w:w="6228" w:type="dxa"/>
        <w:jc w:val="left"/>
        <w:tblInd w:w="0" w:type="dxa"/>
        <w:tblLayout w:type="fixed"/>
        <w:tblCellMar>
          <w:top w:w="0" w:type="dxa"/>
          <w:left w:w="0" w:type="dxa"/>
          <w:bottom w:w="0" w:type="dxa"/>
          <w:right w:w="0" w:type="dxa"/>
        </w:tblCellMar>
      </w:tblPr>
      <w:tblGrid>
        <w:gridCol w:w="38"/>
        <w:gridCol w:w="110"/>
        <w:gridCol w:w="608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Implemented new director compensation program as previously disclosed;</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8898" w:type="dxa"/>
        <w:jc w:val="left"/>
        <w:tblInd w:w="0" w:type="dxa"/>
        <w:tblLayout w:type="fixed"/>
        <w:tblCellMar>
          <w:top w:w="0" w:type="dxa"/>
          <w:left w:w="0" w:type="dxa"/>
          <w:bottom w:w="0" w:type="dxa"/>
          <w:right w:w="0" w:type="dxa"/>
        </w:tblCellMar>
      </w:tblPr>
      <w:tblGrid>
        <w:gridCol w:w="38"/>
        <w:gridCol w:w="110"/>
        <w:gridCol w:w="875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restructured and streamlined company operations by eliminating fifteen (15) full-time employment positions;</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5508" w:type="dxa"/>
        <w:jc w:val="left"/>
        <w:tblInd w:w="0" w:type="dxa"/>
        <w:tblLayout w:type="fixed"/>
        <w:tblCellMar>
          <w:top w:w="0" w:type="dxa"/>
          <w:left w:w="0" w:type="dxa"/>
          <w:bottom w:w="0" w:type="dxa"/>
          <w:right w:w="0" w:type="dxa"/>
        </w:tblCellMar>
      </w:tblPr>
      <w:tblGrid>
        <w:gridCol w:w="38"/>
        <w:gridCol w:w="110"/>
        <w:gridCol w:w="536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536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initiated the Strategic Alternative Process as previously disclosed;</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9303" w:type="dxa"/>
        <w:jc w:val="left"/>
        <w:tblInd w:w="0" w:type="dxa"/>
        <w:tblLayout w:type="fixed"/>
        <w:tblCellMar>
          <w:top w:w="0" w:type="dxa"/>
          <w:left w:w="0" w:type="dxa"/>
          <w:bottom w:w="0" w:type="dxa"/>
          <w:right w:w="0" w:type="dxa"/>
        </w:tblCellMar>
      </w:tblPr>
      <w:tblGrid>
        <w:gridCol w:w="38"/>
        <w:gridCol w:w="110"/>
        <w:gridCol w:w="915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continued to refresh the Board with the retirement of one (1) director and the election of one (1) new director; and</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6618" w:type="dxa"/>
        <w:jc w:val="left"/>
        <w:tblInd w:w="0" w:type="dxa"/>
        <w:tblLayout w:type="fixed"/>
        <w:tblCellMar>
          <w:top w:w="0" w:type="dxa"/>
          <w:left w:w="0" w:type="dxa"/>
          <w:bottom w:w="0" w:type="dxa"/>
          <w:right w:w="0" w:type="dxa"/>
        </w:tblCellMar>
      </w:tblPr>
      <w:tblGrid>
        <w:gridCol w:w="38"/>
        <w:gridCol w:w="110"/>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647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implemented the revised compensation programs approved in fiscal year 2023.</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i w:val="false"/>
          <w:caps w:val="false"/>
          <w:smallCaps w:val="false"/>
          <w:color w:val="008DCF"/>
          <w:sz w:val="26"/>
          <w:bdr w:val="single" w:sz="2" w:space="1" w:color="6ECBF3"/>
        </w:rPr>
      </w:pPr>
      <w:bookmarkStart w:id="52" w:name="lmnrdef14aa048"/>
      <w:bookmarkEnd w:id="52"/>
      <w:r>
        <w:rPr>
          <w:rFonts w:ascii="Arial;Helvetica;Sans-Serif" w:hAnsi="Arial;Helvetica;Sans-Serif"/>
          <w:b/>
          <w:i w:val="false"/>
          <w:caps w:val="false"/>
          <w:smallCaps w:val="false"/>
          <w:color w:val="008DCF"/>
          <w:sz w:val="26"/>
          <w:bdr w:val="single" w:sz="2" w:space="1" w:color="6ECBF3"/>
        </w:rPr>
        <w:t>Key Compensation Program Highlights for Fiscal Year 2025</w:t>
      </w:r>
    </w:p>
    <w:p>
      <w:pPr>
        <w:pStyle w:val="TextBody"/>
        <w:bidi w:val="0"/>
        <w:spacing w:before="0" w:after="0"/>
        <w:jc w:val="left"/>
        <w:rPr>
          <w:caps w:val="false"/>
          <w:smallCaps w:val="false"/>
          <w:color w:val="008DCF"/>
          <w:bdr w:val="single" w:sz="2" w:space="1" w:color="6ECBF3"/>
        </w:rPr>
      </w:pPr>
      <w:r>
        <w:rPr>
          <w:caps w:val="false"/>
          <w:smallCaps w:val="false"/>
          <w:color w:val="008DCF"/>
          <w:bdr w:val="single" w:sz="2" w:space="1" w:color="6ECBF3"/>
        </w:rPr>
        <w:t> </w:t>
      </w:r>
    </w:p>
    <w:p>
      <w:pPr>
        <w:pStyle w:val="TextBody"/>
        <w:bidi w:val="0"/>
        <w:spacing w:before="0" w:after="120"/>
        <w:jc w:val="left"/>
        <w:rPr>
          <w:rFonts w:ascii="Arial;Helvetica;Sans-Serif" w:hAnsi="Arial;Helvetica;Sans-Serif"/>
          <w:b w:val="false"/>
          <w:i w:val="false"/>
          <w:caps w:val="false"/>
          <w:smallCaps w:val="false"/>
          <w:color w:val="0062AF"/>
          <w:sz w:val="20"/>
          <w:bdr w:val="single" w:sz="2" w:space="1" w:color="6ECBF3"/>
        </w:rPr>
      </w:pPr>
      <w:bookmarkStart w:id="53" w:name="lmnrdef14aa049"/>
      <w:bookmarkEnd w:id="53"/>
      <w:r>
        <w:rPr>
          <w:rFonts w:ascii="Arial;Helvetica;Sans-Serif" w:hAnsi="Arial;Helvetica;Sans-Serif"/>
          <w:b/>
          <w:i/>
          <w:caps w:val="false"/>
          <w:smallCaps w:val="false"/>
          <w:color w:val="0062AF"/>
          <w:sz w:val="20"/>
          <w:bdr w:val="single" w:sz="2" w:space="1" w:color="6ECBF3"/>
        </w:rPr>
        <w:t>Benchmarking</w:t>
      </w:r>
      <w:r>
        <w:rPr>
          <w:rFonts w:ascii="Arial;Helvetica;Sans-Serif" w:hAnsi="Arial;Helvetica;Sans-Serif"/>
          <w:b w:val="false"/>
          <w:i w:val="false"/>
          <w:caps w:val="false"/>
          <w:smallCaps w:val="false"/>
          <w:color w:val="0062AF"/>
          <w:sz w:val="20"/>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Our executive and non-employee director compensation was developed with the assistance of Pearl Meyer and is reviewed annually based on:</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Interviews with NEOs, members of the Board and the Compensation Committee chairperson to understand the roles, business strategy, performance measures, and projections;</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6918" w:type="dxa"/>
        <w:jc w:val="left"/>
        <w:tblInd w:w="0" w:type="dxa"/>
        <w:tblLayout w:type="fixed"/>
        <w:tblCellMar>
          <w:top w:w="0" w:type="dxa"/>
          <w:left w:w="0" w:type="dxa"/>
          <w:bottom w:w="0" w:type="dxa"/>
          <w:right w:w="0" w:type="dxa"/>
        </w:tblCellMar>
      </w:tblPr>
      <w:tblGrid>
        <w:gridCol w:w="38"/>
        <w:gridCol w:w="110"/>
        <w:gridCol w:w="677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Data collection and review of current Company compensation program documents;</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External market assessment, including competitive analysis of market compensation and establishment of a market peer group; and</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Report and recommendation based on Company and NEO performance, and analysis of peer group incentive programs and competitive pay levels including base and long-term equity incentive value.</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120"/>
        <w:jc w:val="left"/>
        <w:rPr>
          <w:rFonts w:ascii="Arial;Helvetica;Sans-Serif" w:hAnsi="Arial;Helvetica;Sans-Serif"/>
          <w:b w:val="false"/>
          <w:i w:val="false"/>
          <w:caps w:val="false"/>
          <w:smallCaps w:val="false"/>
          <w:color w:val="0062AF"/>
          <w:sz w:val="20"/>
          <w:bdr w:val="single" w:sz="2" w:space="1" w:color="6ECBF3"/>
        </w:rPr>
      </w:pPr>
      <w:bookmarkStart w:id="54" w:name="lmnrdef14aa050"/>
      <w:bookmarkEnd w:id="54"/>
      <w:r>
        <w:rPr>
          <w:rFonts w:ascii="Arial;Helvetica;Sans-Serif" w:hAnsi="Arial;Helvetica;Sans-Serif"/>
          <w:b/>
          <w:i/>
          <w:caps w:val="false"/>
          <w:smallCaps w:val="false"/>
          <w:color w:val="0062AF"/>
          <w:sz w:val="20"/>
          <w:bdr w:val="single" w:sz="2" w:space="1" w:color="6ECBF3"/>
        </w:rPr>
        <w:t>Philosophy</w:t>
      </w:r>
      <w:r>
        <w:rPr>
          <w:rFonts w:ascii="Arial;Helvetica;Sans-Serif" w:hAnsi="Arial;Helvetica;Sans-Serif"/>
          <w:b w:val="false"/>
          <w:i w:val="false"/>
          <w:caps w:val="false"/>
          <w:smallCaps w:val="false"/>
          <w:color w:val="0062AF"/>
          <w:sz w:val="20"/>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The Compensation Committee reviewed the Company’s compensation philosophy and determined that the Company’s competitive objectives and desired mix of pay elements were appropriate for fiscal year 2025.</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283"/>
        <w:jc w:val="left"/>
        <w:rPr/>
      </w:pPr>
      <w:r>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34</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color w:val="FF0000"/>
          <w:bdr w:val="single" w:sz="2" w:space="1" w:color="6ECBF3"/>
        </w:rPr>
      </w:pPr>
      <w:r>
        <w:rPr>
          <w:caps w:val="false"/>
          <w:smallCaps w:val="false"/>
          <w:color w:val="FF0000"/>
          <w:bdr w:val="single" w:sz="2" w:space="1" w:color="6ECBF3"/>
        </w:rPr>
        <w:t> </w:t>
      </w:r>
    </w:p>
    <w:p>
      <w:pPr>
        <w:pStyle w:val="TextBody"/>
        <w:bidi w:val="0"/>
        <w:spacing w:before="0" w:after="120"/>
        <w:jc w:val="left"/>
        <w:rPr>
          <w:rFonts w:ascii="Times New Roman;Times;Serif" w:hAnsi="Times New Roman;Times;Serif"/>
          <w:b w:val="false"/>
          <w:i w:val="false"/>
          <w:caps w:val="false"/>
          <w:smallCaps w:val="false"/>
          <w:sz w:val="20"/>
          <w:bdr w:val="single" w:sz="2" w:space="1" w:color="6ECBF3"/>
        </w:rPr>
      </w:pPr>
      <w:bookmarkStart w:id="55" w:name="lmnrdef14aa051"/>
      <w:bookmarkEnd w:id="55"/>
      <w:r>
        <w:rPr>
          <w:rFonts w:ascii="Arial;Helvetica;Sans-Serif" w:hAnsi="Arial;Helvetica;Sans-Serif"/>
          <w:b/>
          <w:i/>
          <w:caps w:val="false"/>
          <w:smallCaps w:val="false"/>
          <w:color w:val="0062AF"/>
          <w:sz w:val="20"/>
          <w:bdr w:val="single" w:sz="2" w:space="1" w:color="6ECBF3"/>
        </w:rPr>
        <w:t>Fiscal Year 2025 Compensation Structure</w:t>
      </w:r>
      <w:r>
        <w:rPr>
          <w:rFonts w:ascii="Times New Roman;Times;Serif" w:hAnsi="Times New Roman;Times;Serif"/>
          <w:b w:val="false"/>
          <w:i w:val="false"/>
          <w:caps w:val="false"/>
          <w:smallCaps w:val="false"/>
          <w:sz w:val="20"/>
          <w:bdr w:val="single" w:sz="2" w:space="1" w:color="6ECBF3"/>
        </w:rPr>
        <w:t> </w:t>
      </w:r>
    </w:p>
    <w:tbl>
      <w:tblPr>
        <w:tblW w:w="10205" w:type="dxa"/>
        <w:jc w:val="left"/>
        <w:tblInd w:w="0" w:type="dxa"/>
        <w:tblLayout w:type="fixed"/>
        <w:tblCellMar>
          <w:top w:w="0" w:type="dxa"/>
          <w:left w:w="0" w:type="dxa"/>
          <w:bottom w:w="0" w:type="dxa"/>
          <w:right w:w="0" w:type="dxa"/>
        </w:tblCellMar>
      </w:tblPr>
      <w:tblGrid>
        <w:gridCol w:w="696"/>
        <w:gridCol w:w="9509"/>
      </w:tblGrid>
      <w:tr>
        <w:trPr/>
        <w:tc>
          <w:tcPr>
            <w:tcW w:w="696" w:type="dxa"/>
            <w:tcBorders/>
            <w:vAlign w:val="center"/>
          </w:tcPr>
          <w:p>
            <w:pPr>
              <w:pStyle w:val="TableContents"/>
              <w:bidi w:val="0"/>
              <w:spacing w:before="0" w:after="283"/>
              <w:jc w:val="left"/>
              <w:rPr>
                <w:rFonts w:ascii="Arial;Helvetica;Sans-Serif" w:hAnsi="Arial;Helvetica;Sans-Serif"/>
                <w:color w:val="0062AF"/>
                <w:sz w:val="18"/>
              </w:rPr>
            </w:pPr>
            <w:r>
              <w:rPr>
                <w:rFonts w:ascii="Arial;Helvetica;Sans-Serif" w:hAnsi="Arial;Helvetica;Sans-Serif"/>
                <w:color w:val="0062AF"/>
                <w:sz w:val="18"/>
              </w:rPr>
              <w:t>Base Pay</w:t>
            </w:r>
          </w:p>
        </w:tc>
        <w:tc>
          <w:tcPr>
            <w:tcW w:w="9509"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Base salaries are adjusted from time to time for the NEOs (and certain other employees) to keep pace with market increases and the Company’s overall growth.</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10205" w:type="dxa"/>
        <w:jc w:val="left"/>
        <w:tblInd w:w="0" w:type="dxa"/>
        <w:tblLayout w:type="fixed"/>
        <w:tblCellMar>
          <w:top w:w="0" w:type="dxa"/>
          <w:left w:w="0" w:type="dxa"/>
          <w:bottom w:w="0" w:type="dxa"/>
          <w:right w:w="0" w:type="dxa"/>
        </w:tblCellMar>
      </w:tblPr>
      <w:tblGrid>
        <w:gridCol w:w="1182"/>
        <w:gridCol w:w="9023"/>
      </w:tblGrid>
      <w:tr>
        <w:trPr/>
        <w:tc>
          <w:tcPr>
            <w:tcW w:w="1182"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Strategic Special Project Bonus</w:t>
            </w:r>
          </w:p>
        </w:tc>
        <w:tc>
          <w:tcPr>
            <w:tcW w:w="9023" w:type="dxa"/>
            <w:tcBorders/>
            <w:vAlign w:val="center"/>
          </w:tcPr>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During fiscal year 2022, the Board approved a five-year strategic plan and roadmap to transition the Company to an “asset light” model, including monetizing specific assets and rightsizing the Company’s balance sheet. In connection with this strategic plan, the Board also established and approved a Strategic Special Project Bonus Program (the “SSP Bonus Program”) to incentivize our NEOs to successfully execute the roadmap.</w:t>
            </w:r>
          </w:p>
        </w:tc>
      </w:tr>
      <w:tr>
        <w:trPr/>
        <w:tc>
          <w:tcPr>
            <w:tcW w:w="1182" w:type="dxa"/>
            <w:tcBorders/>
            <w:vAlign w:val="center"/>
          </w:tcPr>
          <w:p>
            <w:pPr>
              <w:pStyle w:val="TableContents"/>
              <w:bidi w:val="0"/>
              <w:spacing w:before="0" w:after="283"/>
              <w:jc w:val="left"/>
              <w:rPr/>
            </w:pPr>
            <w:r>
              <w:rPr/>
              <w:t> </w:t>
            </w:r>
          </w:p>
        </w:tc>
        <w:tc>
          <w:tcPr>
            <w:tcW w:w="9023" w:type="dxa"/>
            <w:tcBorders/>
            <w:vAlign w:val="center"/>
          </w:tcPr>
          <w:p>
            <w:pPr>
              <w:pStyle w:val="TableContents"/>
              <w:bidi w:val="0"/>
              <w:spacing w:before="0" w:after="283"/>
              <w:jc w:val="left"/>
              <w:rPr>
                <w:color w:val="000000"/>
              </w:rPr>
            </w:pPr>
            <w:r>
              <w:rPr>
                <w:color w:val="000000"/>
              </w:rPr>
              <w:t> </w:t>
            </w:r>
          </w:p>
        </w:tc>
      </w:tr>
      <w:tr>
        <w:trPr/>
        <w:tc>
          <w:tcPr>
            <w:tcW w:w="1182" w:type="dxa"/>
            <w:tcBorders/>
            <w:vAlign w:val="center"/>
          </w:tcPr>
          <w:p>
            <w:pPr>
              <w:pStyle w:val="TableContents"/>
              <w:bidi w:val="0"/>
              <w:spacing w:before="0" w:after="283"/>
              <w:jc w:val="left"/>
              <w:rPr/>
            </w:pPr>
            <w:r>
              <w:rPr/>
              <w:t> </w:t>
            </w:r>
          </w:p>
        </w:tc>
        <w:tc>
          <w:tcPr>
            <w:tcW w:w="9023" w:type="dxa"/>
            <w:tcBorders/>
            <w:vAlign w:val="center"/>
          </w:tcPr>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Under the SSP Bonus Program, the Chief Executive Officer and the Chief Financial Officer were eligible to receive cash and restricted stock awards totaling five percent (5%) and three percent (3%), respectively, of gains on asset sales or development earnings received from the sale of certain land or water assets of the Company or real estate development.</w:t>
            </w:r>
          </w:p>
        </w:tc>
      </w:tr>
      <w:tr>
        <w:trPr/>
        <w:tc>
          <w:tcPr>
            <w:tcW w:w="1182" w:type="dxa"/>
            <w:tcBorders/>
            <w:vAlign w:val="center"/>
          </w:tcPr>
          <w:p>
            <w:pPr>
              <w:pStyle w:val="TableContents"/>
              <w:bidi w:val="0"/>
              <w:spacing w:before="0" w:after="283"/>
              <w:jc w:val="left"/>
              <w:rPr/>
            </w:pPr>
            <w:r>
              <w:rPr/>
              <w:t> </w:t>
            </w:r>
          </w:p>
        </w:tc>
        <w:tc>
          <w:tcPr>
            <w:tcW w:w="9023" w:type="dxa"/>
            <w:tcBorders/>
            <w:vAlign w:val="center"/>
          </w:tcPr>
          <w:p>
            <w:pPr>
              <w:pStyle w:val="TableContents"/>
              <w:bidi w:val="0"/>
              <w:spacing w:before="0" w:after="283"/>
              <w:jc w:val="left"/>
              <w:rPr>
                <w:color w:val="000000"/>
              </w:rPr>
            </w:pPr>
            <w:r>
              <w:rPr>
                <w:color w:val="000000"/>
              </w:rPr>
              <w:t> </w:t>
            </w:r>
          </w:p>
        </w:tc>
      </w:tr>
      <w:tr>
        <w:trPr/>
        <w:tc>
          <w:tcPr>
            <w:tcW w:w="1182" w:type="dxa"/>
            <w:tcBorders/>
            <w:vAlign w:val="center"/>
          </w:tcPr>
          <w:p>
            <w:pPr>
              <w:pStyle w:val="TableContents"/>
              <w:bidi w:val="0"/>
              <w:spacing w:before="0" w:after="283"/>
              <w:jc w:val="left"/>
              <w:rPr/>
            </w:pPr>
            <w:r>
              <w:rPr/>
              <w:t> </w:t>
            </w:r>
          </w:p>
        </w:tc>
        <w:tc>
          <w:tcPr>
            <w:tcW w:w="9023" w:type="dxa"/>
            <w:tcBorders/>
            <w:vAlign w:val="center"/>
          </w:tcPr>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See “Strategic Special Project Bonus” below for detailed information.</w:t>
            </w:r>
          </w:p>
        </w:tc>
      </w:tr>
    </w:tbl>
    <w:p>
      <w:pPr>
        <w:pStyle w:val="TextBody"/>
        <w:bidi w:val="0"/>
        <w:spacing w:before="0" w:after="0"/>
        <w:jc w:val="left"/>
        <w:rPr>
          <w:caps w:val="false"/>
          <w:smallCaps w:val="false"/>
          <w:color w:val="0062AF"/>
          <w:bdr w:val="single" w:sz="2" w:space="1" w:color="6ECBF3"/>
        </w:rPr>
      </w:pPr>
      <w:r>
        <w:rPr>
          <w:caps w:val="false"/>
          <w:smallCaps w:val="false"/>
          <w:color w:val="0062AF"/>
          <w:bdr w:val="single" w:sz="2" w:space="1" w:color="6ECBF3"/>
        </w:rPr>
        <w:t> </w:t>
      </w:r>
    </w:p>
    <w:tbl>
      <w:tblPr>
        <w:tblW w:w="10205" w:type="dxa"/>
        <w:jc w:val="left"/>
        <w:tblInd w:w="0" w:type="dxa"/>
        <w:tblLayout w:type="fixed"/>
        <w:tblCellMar>
          <w:top w:w="0" w:type="dxa"/>
          <w:left w:w="0" w:type="dxa"/>
          <w:bottom w:w="0" w:type="dxa"/>
          <w:right w:w="0" w:type="dxa"/>
        </w:tblCellMar>
      </w:tblPr>
      <w:tblGrid>
        <w:gridCol w:w="1732"/>
        <w:gridCol w:w="8473"/>
      </w:tblGrid>
      <w:tr>
        <w:trPr/>
        <w:tc>
          <w:tcPr>
            <w:tcW w:w="1732" w:type="dxa"/>
            <w:tcBorders/>
            <w:vAlign w:val="center"/>
          </w:tcPr>
          <w:p>
            <w:pPr>
              <w:pStyle w:val="TableContents"/>
              <w:bidi w:val="0"/>
              <w:spacing w:before="0" w:after="283"/>
              <w:jc w:val="left"/>
              <w:rPr>
                <w:rFonts w:ascii="Arial;Helvetica;Sans-Serif" w:hAnsi="Arial;Helvetica;Sans-Serif"/>
                <w:color w:val="0062AF"/>
                <w:sz w:val="18"/>
              </w:rPr>
            </w:pPr>
            <w:r>
              <w:rPr>
                <w:rFonts w:ascii="Arial;Helvetica;Sans-Serif" w:hAnsi="Arial;Helvetica;Sans-Serif"/>
                <w:color w:val="0062AF"/>
                <w:sz w:val="18"/>
              </w:rPr>
              <w:t>Short-Term Cash Incentive Compensation</w:t>
            </w:r>
          </w:p>
        </w:tc>
        <w:tc>
          <w:tcPr>
            <w:tcW w:w="8473" w:type="dxa"/>
            <w:tcBorders/>
            <w:vAlign w:val="center"/>
          </w:tcPr>
          <w:p>
            <w:pPr>
              <w:pStyle w:val="TableContents"/>
              <w:bidi w:val="0"/>
              <w:jc w:val="left"/>
              <w:rPr>
                <w:rFonts w:ascii="Arial;Helvetica;Sans-Serif" w:hAnsi="Arial;Helvetica;Sans-Serif"/>
                <w:sz w:val="18"/>
              </w:rPr>
            </w:pPr>
            <w:r>
              <w:rPr>
                <w:rFonts w:ascii="Arial;Helvetica;Sans-Serif" w:hAnsi="Arial;Helvetica;Sans-Serif"/>
                <w:sz w:val="18"/>
              </w:rPr>
              <w:t>Target cash incentive compensation is a percentage of base salary for the NEOs (and certain other employees) to align more closely with market levels.</w:t>
            </w:r>
          </w:p>
          <w:p>
            <w:pPr>
              <w:pStyle w:val="TableContents"/>
              <w:bidi w:val="0"/>
              <w:jc w:val="left"/>
              <w:rPr/>
            </w:pPr>
            <w:r>
              <w:rPr/>
              <w:t> </w:t>
            </w:r>
          </w:p>
          <w:p>
            <w:pPr>
              <w:pStyle w:val="TableContents"/>
              <w:bidi w:val="0"/>
              <w:jc w:val="left"/>
              <w:rPr>
                <w:rFonts w:ascii="Arial;Helvetica;Sans-Serif" w:hAnsi="Arial;Helvetica;Sans-Serif"/>
                <w:sz w:val="18"/>
              </w:rPr>
            </w:pPr>
            <w:r>
              <w:rPr>
                <w:rFonts w:ascii="Arial;Helvetica;Sans-Serif" w:hAnsi="Arial;Helvetica;Sans-Serif"/>
                <w:sz w:val="18"/>
              </w:rPr>
              <w:t>Cash incentive compensation has an individual strategic performance component, such that 70% of the cash incentive compensation is based on the Company’s adjusted earnings before interest, income taxes, depreciation and amortization (“EBITDA”) performance relative to goals, and 30% is based on achievement of individual strategic performance objectives (“Performance Compensation Award”).</w:t>
            </w:r>
          </w:p>
          <w:p>
            <w:pPr>
              <w:pStyle w:val="TableContents"/>
              <w:bidi w:val="0"/>
              <w:jc w:val="left"/>
              <w:rPr/>
            </w:pPr>
            <w:r>
              <w:rPr/>
              <w:t> </w:t>
            </w:r>
          </w:p>
          <w:p>
            <w:pPr>
              <w:pStyle w:val="TableContents"/>
              <w:bidi w:val="0"/>
              <w:jc w:val="left"/>
              <w:rPr>
                <w:rFonts w:ascii="Arial;Helvetica;Sans-Serif" w:hAnsi="Arial;Helvetica;Sans-Serif"/>
                <w:sz w:val="18"/>
              </w:rPr>
            </w:pPr>
            <w:r>
              <w:rPr>
                <w:rFonts w:ascii="Arial;Helvetica;Sans-Serif" w:hAnsi="Arial;Helvetica;Sans-Serif"/>
                <w:sz w:val="18"/>
              </w:rPr>
              <w:t>The threshold and maximum cash incentive compensation potential is structured as 75% and 125% of target, respectively, for the NEOs and all applicable employees.</w:t>
            </w:r>
          </w:p>
          <w:p>
            <w:pPr>
              <w:pStyle w:val="TableContents"/>
              <w:bidi w:val="0"/>
              <w:jc w:val="left"/>
              <w:rPr/>
            </w:pPr>
            <w:r>
              <w:rPr/>
              <w:t> </w:t>
            </w:r>
          </w:p>
          <w:p>
            <w:pPr>
              <w:pStyle w:val="TableContents"/>
              <w:bidi w:val="0"/>
              <w:spacing w:before="0" w:after="283"/>
              <w:jc w:val="left"/>
              <w:rPr>
                <w:rFonts w:ascii="Arial;Helvetica;Sans-Serif" w:hAnsi="Arial;Helvetica;Sans-Serif"/>
                <w:sz w:val="18"/>
              </w:rPr>
            </w:pPr>
            <w:r>
              <w:rPr>
                <w:rFonts w:ascii="Arial;Helvetica;Sans-Serif" w:hAnsi="Arial;Helvetica;Sans-Serif"/>
                <w:sz w:val="18"/>
              </w:rPr>
              <w:t>See “Annual Performance Compensation Award” below for detailed information.</w:t>
            </w:r>
          </w:p>
        </w:tc>
      </w:tr>
    </w:tbl>
    <w:p>
      <w:pPr>
        <w:pStyle w:val="TextBody"/>
        <w:bidi w:val="0"/>
        <w:spacing w:before="0" w:after="0"/>
        <w:jc w:val="left"/>
        <w:rPr>
          <w:caps w:val="false"/>
          <w:smallCaps w:val="false"/>
          <w:color w:val="0062AF"/>
          <w:bdr w:val="single" w:sz="2" w:space="1" w:color="6ECBF3"/>
        </w:rPr>
      </w:pPr>
      <w:r>
        <w:rPr>
          <w:caps w:val="false"/>
          <w:smallCaps w:val="false"/>
          <w:color w:val="0062AF"/>
          <w:bdr w:val="single" w:sz="2" w:space="1" w:color="6ECBF3"/>
        </w:rPr>
        <w:t> </w:t>
      </w:r>
    </w:p>
    <w:tbl>
      <w:tblPr>
        <w:tblW w:w="10205" w:type="dxa"/>
        <w:jc w:val="left"/>
        <w:tblInd w:w="0" w:type="dxa"/>
        <w:tblLayout w:type="fixed"/>
        <w:tblCellMar>
          <w:top w:w="0" w:type="dxa"/>
          <w:left w:w="0" w:type="dxa"/>
          <w:bottom w:w="0" w:type="dxa"/>
          <w:right w:w="0" w:type="dxa"/>
        </w:tblCellMar>
      </w:tblPr>
      <w:tblGrid>
        <w:gridCol w:w="1596"/>
        <w:gridCol w:w="8609"/>
      </w:tblGrid>
      <w:tr>
        <w:trPr/>
        <w:tc>
          <w:tcPr>
            <w:tcW w:w="1596" w:type="dxa"/>
            <w:tcBorders/>
            <w:vAlign w:val="center"/>
          </w:tcPr>
          <w:p>
            <w:pPr>
              <w:pStyle w:val="TableContents"/>
              <w:bidi w:val="0"/>
              <w:spacing w:before="0" w:after="283"/>
              <w:jc w:val="left"/>
              <w:rPr>
                <w:rFonts w:ascii="Arial;Helvetica;Sans-Serif" w:hAnsi="Arial;Helvetica;Sans-Serif"/>
                <w:color w:val="0062AF"/>
                <w:sz w:val="18"/>
              </w:rPr>
            </w:pPr>
            <w:r>
              <w:rPr>
                <w:rFonts w:ascii="Arial;Helvetica;Sans-Serif" w:hAnsi="Arial;Helvetica;Sans-Serif"/>
                <w:color w:val="0062AF"/>
                <w:sz w:val="18"/>
              </w:rPr>
              <w:t>Long-Term Equity Incentive Compensation</w:t>
            </w:r>
          </w:p>
        </w:tc>
        <w:tc>
          <w:tcPr>
            <w:tcW w:w="8609" w:type="dxa"/>
            <w:tcBorders/>
            <w:vAlign w:val="center"/>
          </w:tcPr>
          <w:p>
            <w:pPr>
              <w:pStyle w:val="TableContents"/>
              <w:bidi w:val="0"/>
              <w:jc w:val="left"/>
              <w:rPr>
                <w:rFonts w:ascii="Arial;Helvetica;Sans-Serif" w:hAnsi="Arial;Helvetica;Sans-Serif"/>
                <w:sz w:val="18"/>
              </w:rPr>
            </w:pPr>
            <w:r>
              <w:rPr>
                <w:rFonts w:ascii="Arial;Helvetica;Sans-Serif" w:hAnsi="Arial;Helvetica;Sans-Serif"/>
                <w:sz w:val="18"/>
              </w:rPr>
              <w:t>Long-term equity incentive compensation is a prospective (upfront) value-based approach to making equity grants, which includes total grant values aligned with market levels and equity grants being made at the beginning of the fiscal year.</w:t>
            </w:r>
          </w:p>
          <w:p>
            <w:pPr>
              <w:pStyle w:val="TableContents"/>
              <w:bidi w:val="0"/>
              <w:jc w:val="left"/>
              <w:rPr/>
            </w:pPr>
            <w:r>
              <w:rPr/>
              <w:t> </w:t>
            </w:r>
          </w:p>
          <w:p>
            <w:pPr>
              <w:pStyle w:val="TableContents"/>
              <w:bidi w:val="0"/>
              <w:jc w:val="left"/>
              <w:rPr>
                <w:rFonts w:ascii="Arial;Helvetica;Sans-Serif" w:hAnsi="Arial;Helvetica;Sans-Serif"/>
                <w:sz w:val="18"/>
              </w:rPr>
            </w:pPr>
            <w:r>
              <w:rPr>
                <w:rFonts w:ascii="Arial;Helvetica;Sans-Serif" w:hAnsi="Arial;Helvetica;Sans-Serif"/>
                <w:sz w:val="18"/>
              </w:rPr>
              <w:t>Annual long-term incentive compensation is a mix of 50% performance-based equity grants (“Performance Share-Based Award”) and 50% service-based restricted equity grants (“Restricted Share Award”). Performance Share-Based Awards have a longer, three-year performance period, with payouts based on achieving targeted three-year compound annual growth rates (“CAGR”) in revenues over the measurement period (“Performance Period”). The longer Performance Period is intended to motivate sustained performance for stockholders over a number of years.</w:t>
            </w:r>
          </w:p>
          <w:p>
            <w:pPr>
              <w:pStyle w:val="TableContents"/>
              <w:bidi w:val="0"/>
              <w:jc w:val="left"/>
              <w:rPr/>
            </w:pPr>
            <w:r>
              <w:rPr/>
              <w:t> </w:t>
            </w:r>
          </w:p>
          <w:p>
            <w:pPr>
              <w:pStyle w:val="TableContents"/>
              <w:bidi w:val="0"/>
              <w:spacing w:before="0" w:after="283"/>
              <w:jc w:val="left"/>
              <w:rPr>
                <w:rFonts w:ascii="Arial;Helvetica;Sans-Serif" w:hAnsi="Arial;Helvetica;Sans-Serif"/>
                <w:sz w:val="18"/>
              </w:rPr>
            </w:pPr>
            <w:r>
              <w:rPr>
                <w:rFonts w:ascii="Arial;Helvetica;Sans-Serif" w:hAnsi="Arial;Helvetica;Sans-Serif"/>
                <w:sz w:val="18"/>
              </w:rPr>
              <w:t>See “Annual Equity Incentives” below for detailed information.</w:t>
            </w:r>
          </w:p>
        </w:tc>
      </w:tr>
    </w:tbl>
    <w:p>
      <w:pPr>
        <w:pStyle w:val="TextBody"/>
        <w:bidi w:val="0"/>
        <w:spacing w:before="0" w:after="0"/>
        <w:jc w:val="left"/>
        <w:rPr>
          <w:caps w:val="false"/>
          <w:smallCaps w:val="false"/>
          <w:color w:val="0062AF"/>
          <w:bdr w:val="single" w:sz="2" w:space="1" w:color="6ECBF3"/>
        </w:rPr>
      </w:pPr>
      <w:r>
        <w:rPr>
          <w:caps w:val="false"/>
          <w:smallCaps w:val="false"/>
          <w:color w:val="0062AF"/>
          <w:bdr w:val="single" w:sz="2" w:space="1" w:color="6ECBF3"/>
        </w:rPr>
        <w:t> </w:t>
      </w:r>
    </w:p>
    <w:tbl>
      <w:tblPr>
        <w:tblW w:w="10205" w:type="dxa"/>
        <w:jc w:val="left"/>
        <w:tblInd w:w="0" w:type="dxa"/>
        <w:tblLayout w:type="fixed"/>
        <w:tblCellMar>
          <w:top w:w="0" w:type="dxa"/>
          <w:left w:w="0" w:type="dxa"/>
          <w:bottom w:w="0" w:type="dxa"/>
          <w:right w:w="0" w:type="dxa"/>
        </w:tblCellMar>
      </w:tblPr>
      <w:tblGrid>
        <w:gridCol w:w="1727"/>
        <w:gridCol w:w="8478"/>
      </w:tblGrid>
      <w:tr>
        <w:trPr/>
        <w:tc>
          <w:tcPr>
            <w:tcW w:w="1727" w:type="dxa"/>
            <w:tcBorders/>
            <w:vAlign w:val="center"/>
          </w:tcPr>
          <w:p>
            <w:pPr>
              <w:pStyle w:val="TableContents"/>
              <w:bidi w:val="0"/>
              <w:spacing w:before="0" w:after="283"/>
              <w:jc w:val="left"/>
              <w:rPr>
                <w:rFonts w:ascii="Arial;Helvetica;Sans-Serif" w:hAnsi="Arial;Helvetica;Sans-Serif"/>
                <w:color w:val="0062AF"/>
                <w:sz w:val="18"/>
              </w:rPr>
            </w:pPr>
            <w:r>
              <w:rPr>
                <w:rFonts w:ascii="Arial;Helvetica;Sans-Serif" w:hAnsi="Arial;Helvetica;Sans-Serif"/>
                <w:color w:val="0062AF"/>
                <w:sz w:val="18"/>
              </w:rPr>
              <w:t>Change-in-Control Compensation</w:t>
            </w:r>
          </w:p>
        </w:tc>
        <w:tc>
          <w:tcPr>
            <w:tcW w:w="8478" w:type="dxa"/>
            <w:tcBorders/>
            <w:vAlign w:val="center"/>
          </w:tcPr>
          <w:p>
            <w:pPr>
              <w:pStyle w:val="TableContents"/>
              <w:bidi w:val="0"/>
              <w:jc w:val="left"/>
              <w:rPr>
                <w:rFonts w:ascii="Arial;Helvetica;Sans-Serif" w:hAnsi="Arial;Helvetica;Sans-Serif"/>
                <w:sz w:val="18"/>
              </w:rPr>
            </w:pPr>
            <w:r>
              <w:rPr>
                <w:rFonts w:ascii="Arial;Helvetica;Sans-Serif" w:hAnsi="Arial;Helvetica;Sans-Serif"/>
                <w:sz w:val="18"/>
              </w:rPr>
              <w:t>The Company maintains a Change in Control retention program (the “Change in Control Retention Program”) for the NEOs and certain members of management. The Change in Control Retention Program is designed to retain NEOs and key employees in the event of a Change in Control. The related Change in Control Agreements, described below, are “double-trigger,” providing that if an NEO is terminated without cause or resigns for good reason within the defined change-in-control period, they will receive a lump-sum payment equal to 200% of base salary and up to 24 months of COBRA coverage if they sign a release.</w:t>
            </w:r>
          </w:p>
          <w:p>
            <w:pPr>
              <w:pStyle w:val="TableContents"/>
              <w:bidi w:val="0"/>
              <w:jc w:val="left"/>
              <w:rPr/>
            </w:pPr>
            <w:r>
              <w:rPr/>
              <w:t>  </w:t>
            </w:r>
          </w:p>
          <w:p>
            <w:pPr>
              <w:pStyle w:val="TableContents"/>
              <w:bidi w:val="0"/>
              <w:spacing w:before="0" w:after="283"/>
              <w:jc w:val="left"/>
              <w:rPr>
                <w:rFonts w:ascii="Arial;Helvetica;Sans-Serif" w:hAnsi="Arial;Helvetica;Sans-Serif"/>
                <w:sz w:val="18"/>
              </w:rPr>
            </w:pPr>
            <w:r>
              <w:rPr>
                <w:rFonts w:ascii="Arial;Helvetica;Sans-Serif" w:hAnsi="Arial;Helvetica;Sans-Serif"/>
                <w:sz w:val="18"/>
              </w:rPr>
              <w:t>See “Change in Control, Separation or Severance Benefits” below for detailed information.</w:t>
            </w:r>
          </w:p>
        </w:tc>
      </w:tr>
    </w:tbl>
    <w:p>
      <w:pPr>
        <w:pStyle w:val="TextBody"/>
        <w:bidi w:val="0"/>
        <w:spacing w:before="0" w:after="0"/>
        <w:jc w:val="left"/>
        <w:rPr>
          <w:caps w:val="false"/>
          <w:smallCaps w:val="false"/>
          <w:color w:val="0062AF"/>
          <w:bdr w:val="single" w:sz="2" w:space="1" w:color="6ECBF3"/>
        </w:rPr>
      </w:pPr>
      <w:r>
        <w:rPr>
          <w:caps w:val="false"/>
          <w:smallCaps w:val="false"/>
          <w:color w:val="0062AF"/>
          <w:bdr w:val="single" w:sz="2" w:space="1" w:color="6ECBF3"/>
        </w:rPr>
        <w:t> </w:t>
      </w:r>
    </w:p>
    <w:p>
      <w:pPr>
        <w:pStyle w:val="TextBody"/>
        <w:bidi w:val="0"/>
        <w:spacing w:before="0" w:after="283"/>
        <w:jc w:val="left"/>
        <w:rPr/>
      </w:pPr>
      <w:r>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35</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color w:val="0062AF"/>
          <w:bdr w:val="single" w:sz="2" w:space="1" w:color="6ECBF3"/>
        </w:rPr>
      </w:pPr>
      <w:r>
        <w:rPr>
          <w:caps w:val="false"/>
          <w:smallCaps w:val="false"/>
          <w:color w:val="0062AF"/>
          <w:bdr w:val="single" w:sz="2" w:space="1" w:color="6ECBF3"/>
        </w:rPr>
        <w:t> </w:t>
      </w:r>
    </w:p>
    <w:tbl>
      <w:tblPr>
        <w:tblW w:w="10205" w:type="dxa"/>
        <w:jc w:val="left"/>
        <w:tblInd w:w="0" w:type="dxa"/>
        <w:tblLayout w:type="fixed"/>
        <w:tblCellMar>
          <w:top w:w="0" w:type="dxa"/>
          <w:left w:w="0" w:type="dxa"/>
          <w:bottom w:w="0" w:type="dxa"/>
          <w:right w:w="0" w:type="dxa"/>
        </w:tblCellMar>
      </w:tblPr>
      <w:tblGrid>
        <w:gridCol w:w="1519"/>
        <w:gridCol w:w="8686"/>
      </w:tblGrid>
      <w:tr>
        <w:trPr/>
        <w:tc>
          <w:tcPr>
            <w:tcW w:w="1519" w:type="dxa"/>
            <w:tcBorders/>
            <w:vAlign w:val="center"/>
          </w:tcPr>
          <w:p>
            <w:pPr>
              <w:pStyle w:val="TableContents"/>
              <w:bidi w:val="0"/>
              <w:spacing w:before="0" w:after="283"/>
              <w:jc w:val="left"/>
              <w:rPr>
                <w:rFonts w:ascii="Arial;Helvetica;Sans-Serif" w:hAnsi="Arial;Helvetica;Sans-Serif"/>
                <w:color w:val="0062AF"/>
                <w:sz w:val="18"/>
              </w:rPr>
            </w:pPr>
            <w:r>
              <w:rPr>
                <w:rFonts w:ascii="Arial;Helvetica;Sans-Serif" w:hAnsi="Arial;Helvetica;Sans-Serif"/>
                <w:color w:val="0062AF"/>
                <w:sz w:val="18"/>
              </w:rPr>
              <w:t>Transaction Bonus Compensation</w:t>
            </w:r>
          </w:p>
        </w:tc>
        <w:tc>
          <w:tcPr>
            <w:tcW w:w="8686" w:type="dxa"/>
            <w:tcBorders/>
            <w:vAlign w:val="center"/>
          </w:tcPr>
          <w:p>
            <w:pPr>
              <w:pStyle w:val="TableContents"/>
              <w:bidi w:val="0"/>
              <w:jc w:val="left"/>
              <w:rPr>
                <w:rFonts w:ascii="Arial;Helvetica;Sans-Serif" w:hAnsi="Arial;Helvetica;Sans-Serif"/>
                <w:sz w:val="18"/>
              </w:rPr>
            </w:pPr>
            <w:r>
              <w:rPr>
                <w:rFonts w:ascii="Arial;Helvetica;Sans-Serif" w:hAnsi="Arial;Helvetica;Sans-Serif"/>
                <w:sz w:val="18"/>
              </w:rPr>
              <w:t>The Company maintains a Transaction Bonus Program (the “Transaction Bonus Program”) under which NEOs can receive a bonus (“Transaction Bonus”) to incentivize the NEOs to achieve a transaction value for the Company starting at $28 per share with further incentives up to $40 per share or more. The Company also adopted a similar program for Company Vice Presidents with a pool base of $1.0 million to incentivize those individuals whose contribution is critical to securing a beneficial transaction.</w:t>
            </w:r>
          </w:p>
          <w:p>
            <w:pPr>
              <w:pStyle w:val="TableContents"/>
              <w:bidi w:val="0"/>
              <w:jc w:val="left"/>
              <w:rPr/>
            </w:pPr>
            <w:r>
              <w:rPr/>
              <w:t> </w:t>
            </w:r>
          </w:p>
          <w:p>
            <w:pPr>
              <w:pStyle w:val="TableContents"/>
              <w:bidi w:val="0"/>
              <w:spacing w:before="0" w:after="283"/>
              <w:jc w:val="left"/>
              <w:rPr>
                <w:rFonts w:ascii="Arial;Helvetica;Sans-Serif" w:hAnsi="Arial;Helvetica;Sans-Serif"/>
                <w:sz w:val="18"/>
              </w:rPr>
            </w:pPr>
            <w:r>
              <w:rPr>
                <w:rFonts w:ascii="Arial;Helvetica;Sans-Serif" w:hAnsi="Arial;Helvetica;Sans-Serif"/>
                <w:sz w:val="18"/>
              </w:rPr>
              <w:t>See “Transaction Bonus Program” below for detailed information.</w:t>
            </w:r>
          </w:p>
        </w:tc>
      </w:tr>
    </w:tbl>
    <w:p>
      <w:pPr>
        <w:pStyle w:val="TextBody"/>
        <w:bidi w:val="0"/>
        <w:spacing w:before="0" w:after="0"/>
        <w:jc w:val="left"/>
        <w:rPr>
          <w:caps w:val="false"/>
          <w:smallCaps w:val="false"/>
          <w:color w:val="0062AF"/>
          <w:bdr w:val="single" w:sz="2" w:space="1" w:color="6ECBF3"/>
        </w:rPr>
      </w:pPr>
      <w:r>
        <w:rPr>
          <w:caps w:val="false"/>
          <w:smallCaps w:val="false"/>
          <w:color w:val="0062AF"/>
          <w:bdr w:val="single" w:sz="2" w:space="1" w:color="6ECBF3"/>
        </w:rPr>
        <w:t>  </w:t>
      </w:r>
    </w:p>
    <w:p>
      <w:pPr>
        <w:pStyle w:val="TextBody"/>
        <w:bidi w:val="0"/>
        <w:spacing w:before="0" w:after="120"/>
        <w:jc w:val="left"/>
        <w:rPr>
          <w:rFonts w:ascii="Arial;Helvetica;Sans-Serif" w:hAnsi="Arial;Helvetica;Sans-Serif"/>
          <w:b w:val="false"/>
          <w:i w:val="false"/>
          <w:caps w:val="false"/>
          <w:smallCaps w:val="false"/>
          <w:color w:val="0062AF"/>
          <w:sz w:val="20"/>
          <w:bdr w:val="single" w:sz="2" w:space="1" w:color="6ECBF3"/>
        </w:rPr>
      </w:pPr>
      <w:bookmarkStart w:id="56" w:name="lmnrdef14aa052"/>
      <w:bookmarkEnd w:id="56"/>
      <w:r>
        <w:rPr>
          <w:rFonts w:ascii="Arial;Helvetica;Sans-Serif" w:hAnsi="Arial;Helvetica;Sans-Serif"/>
          <w:b/>
          <w:i/>
          <w:caps w:val="false"/>
          <w:smallCaps w:val="false"/>
          <w:color w:val="0062AF"/>
          <w:sz w:val="20"/>
          <w:bdr w:val="single" w:sz="2" w:space="1" w:color="6ECBF3"/>
        </w:rPr>
        <w:t>Changes for Fiscal Year 2026 Compensation Structure</w:t>
      </w:r>
      <w:r>
        <w:rPr>
          <w:rFonts w:ascii="Arial;Helvetica;Sans-Serif" w:hAnsi="Arial;Helvetica;Sans-Serif"/>
          <w:b w:val="false"/>
          <w:i w:val="false"/>
          <w:caps w:val="false"/>
          <w:smallCaps w:val="false"/>
          <w:color w:val="0062AF"/>
          <w:sz w:val="20"/>
          <w:bdr w:val="single" w:sz="2" w:space="1" w:color="6ECBF3"/>
        </w:rPr>
        <w:t> </w:t>
      </w:r>
    </w:p>
    <w:tbl>
      <w:tblPr>
        <w:tblW w:w="10205" w:type="dxa"/>
        <w:jc w:val="left"/>
        <w:tblInd w:w="0" w:type="dxa"/>
        <w:tblLayout w:type="fixed"/>
        <w:tblCellMar>
          <w:top w:w="0" w:type="dxa"/>
          <w:left w:w="0" w:type="dxa"/>
          <w:bottom w:w="0" w:type="dxa"/>
          <w:right w:w="0" w:type="dxa"/>
        </w:tblCellMar>
      </w:tblPr>
      <w:tblGrid>
        <w:gridCol w:w="1130"/>
        <w:gridCol w:w="9075"/>
      </w:tblGrid>
      <w:tr>
        <w:trPr/>
        <w:tc>
          <w:tcPr>
            <w:tcW w:w="1130" w:type="dxa"/>
            <w:tcBorders/>
            <w:vAlign w:val="center"/>
          </w:tcPr>
          <w:p>
            <w:pPr>
              <w:pStyle w:val="TableContents"/>
              <w:bidi w:val="0"/>
              <w:spacing w:before="0" w:after="283"/>
              <w:jc w:val="left"/>
              <w:rPr/>
            </w:pPr>
            <w:r>
              <w:rPr>
                <w:rFonts w:ascii="Arial;Helvetica;Sans-Serif" w:hAnsi="Arial;Helvetica;Sans-Serif"/>
                <w:color w:val="0062AF"/>
                <w:sz w:val="18"/>
              </w:rPr>
              <w:t xml:space="preserve">Profit Participation </w:t>
            </w:r>
            <w:r>
              <w:rPr>
                <w:sz w:val="18"/>
              </w:rPr>
              <w:br/>
            </w:r>
            <w:r>
              <w:rPr>
                <w:rFonts w:ascii="Arial;Helvetica;Sans-Serif" w:hAnsi="Arial;Helvetica;Sans-Serif"/>
                <w:color w:val="0062AF"/>
                <w:sz w:val="18"/>
              </w:rPr>
              <w:t>Project Bonus</w:t>
            </w:r>
          </w:p>
        </w:tc>
        <w:tc>
          <w:tcPr>
            <w:tcW w:w="9075" w:type="dxa"/>
            <w:tcBorders/>
            <w:vAlign w:val="center"/>
          </w:tcPr>
          <w:p>
            <w:pPr>
              <w:pStyle w:val="TableContents"/>
              <w:bidi w:val="0"/>
              <w:jc w:val="left"/>
              <w:rPr>
                <w:rFonts w:ascii="Arial;Helvetica;Sans-Serif" w:hAnsi="Arial;Helvetica;Sans-Serif"/>
                <w:sz w:val="18"/>
              </w:rPr>
            </w:pPr>
            <w:r>
              <w:rPr>
                <w:rFonts w:ascii="Arial;Helvetica;Sans-Serif" w:hAnsi="Arial;Helvetica;Sans-Serif"/>
                <w:sz w:val="18"/>
              </w:rPr>
              <w:t>On January 27, 2026, the Board determined to terminate the SSP Bonus Program and replace it with the Profit Participation Project Bonus Program (the “PPP Bonus Program”), effective February 1, 2026. The PPP Bonus Program, like the SSP Bonus Program, is designed to encourage NEOs to transition the Company to an asset-light model by enabling our NEOs to receive cash and restricted stock awards for asset sales or development earnings. However, the PPP Bonus is based on the profits generated from the sales and development, as opposed to the gains.</w:t>
            </w:r>
          </w:p>
          <w:p>
            <w:pPr>
              <w:pStyle w:val="TableContents"/>
              <w:bidi w:val="0"/>
              <w:jc w:val="left"/>
              <w:rPr/>
            </w:pPr>
            <w:r>
              <w:rPr/>
              <w:t> </w:t>
            </w:r>
          </w:p>
          <w:p>
            <w:pPr>
              <w:pStyle w:val="TableContents"/>
              <w:bidi w:val="0"/>
              <w:spacing w:before="0" w:after="283"/>
              <w:jc w:val="left"/>
              <w:rPr>
                <w:rFonts w:ascii="Arial;Helvetica;Sans-Serif" w:hAnsi="Arial;Helvetica;Sans-Serif"/>
                <w:sz w:val="18"/>
              </w:rPr>
            </w:pPr>
            <w:r>
              <w:rPr>
                <w:rFonts w:ascii="Arial;Helvetica;Sans-Serif" w:hAnsi="Arial;Helvetica;Sans-Serif"/>
                <w:sz w:val="18"/>
              </w:rPr>
              <w:t>See “Profit Participation Project Bonus” below for detailed information.</w:t>
            </w:r>
          </w:p>
        </w:tc>
      </w:tr>
    </w:tbl>
    <w:p>
      <w:pPr>
        <w:pStyle w:val="TextBody"/>
        <w:bidi w:val="0"/>
        <w:spacing w:before="0" w:after="0"/>
        <w:jc w:val="left"/>
        <w:rPr>
          <w:caps w:val="false"/>
          <w:smallCaps w:val="false"/>
          <w:color w:val="0062AF"/>
          <w:bdr w:val="single" w:sz="2" w:space="1" w:color="6ECBF3"/>
        </w:rPr>
      </w:pPr>
      <w:r>
        <w:rPr>
          <w:caps w:val="false"/>
          <w:smallCaps w:val="false"/>
          <w:color w:val="0062AF"/>
          <w:bdr w:val="single" w:sz="2" w:space="1" w:color="6ECBF3"/>
        </w:rPr>
        <w:t> </w:t>
      </w:r>
    </w:p>
    <w:tbl>
      <w:tblPr>
        <w:tblW w:w="10205" w:type="dxa"/>
        <w:jc w:val="left"/>
        <w:tblInd w:w="0" w:type="dxa"/>
        <w:tblLayout w:type="fixed"/>
        <w:tblCellMar>
          <w:top w:w="0" w:type="dxa"/>
          <w:left w:w="0" w:type="dxa"/>
          <w:bottom w:w="0" w:type="dxa"/>
          <w:right w:w="0" w:type="dxa"/>
        </w:tblCellMar>
      </w:tblPr>
      <w:tblGrid>
        <w:gridCol w:w="1397"/>
        <w:gridCol w:w="8808"/>
      </w:tblGrid>
      <w:tr>
        <w:trPr/>
        <w:tc>
          <w:tcPr>
            <w:tcW w:w="1397" w:type="dxa"/>
            <w:tcBorders/>
            <w:vAlign w:val="center"/>
          </w:tcPr>
          <w:p>
            <w:pPr>
              <w:pStyle w:val="TableContents"/>
              <w:bidi w:val="0"/>
              <w:spacing w:before="0" w:after="283"/>
              <w:jc w:val="left"/>
              <w:rPr/>
            </w:pPr>
            <w:r>
              <w:rPr>
                <w:rFonts w:ascii="Arial;Helvetica;Sans-Serif" w:hAnsi="Arial;Helvetica;Sans-Serif"/>
                <w:color w:val="0062AF"/>
                <w:sz w:val="18"/>
              </w:rPr>
              <w:t xml:space="preserve">Long-Term Equity </w:t>
            </w:r>
            <w:r>
              <w:rPr>
                <w:sz w:val="18"/>
              </w:rPr>
              <w:br/>
            </w:r>
            <w:r>
              <w:rPr>
                <w:rFonts w:ascii="Arial;Helvetica;Sans-Serif" w:hAnsi="Arial;Helvetica;Sans-Serif"/>
                <w:color w:val="0062AF"/>
                <w:sz w:val="18"/>
              </w:rPr>
              <w:t>Incentive Compensation</w:t>
            </w:r>
          </w:p>
        </w:tc>
        <w:tc>
          <w:tcPr>
            <w:tcW w:w="8808" w:type="dxa"/>
            <w:tcBorders/>
            <w:vAlign w:val="center"/>
          </w:tcPr>
          <w:p>
            <w:pPr>
              <w:pStyle w:val="TableContents"/>
              <w:bidi w:val="0"/>
              <w:jc w:val="left"/>
              <w:rPr>
                <w:rFonts w:ascii="Arial;Helvetica;Sans-Serif" w:hAnsi="Arial;Helvetica;Sans-Serif"/>
                <w:sz w:val="18"/>
              </w:rPr>
            </w:pPr>
            <w:r>
              <w:rPr>
                <w:rFonts w:ascii="Arial;Helvetica;Sans-Serif" w:hAnsi="Arial;Helvetica;Sans-Serif"/>
                <w:sz w:val="18"/>
              </w:rPr>
              <w:t>In November 2025, the Compensation Committee approved changes to the long-term equity incentive compensation for fiscal year 2026. Beginning in fiscal year 2026, Performance Share-Based Awards will include a double-trigger component. First, the annual net income budget must be achieved. Then, if achieved, the specific award levels would be determined based on revenue growth above the net income budget levels.</w:t>
            </w:r>
          </w:p>
          <w:p>
            <w:pPr>
              <w:pStyle w:val="TableContents"/>
              <w:bidi w:val="0"/>
              <w:jc w:val="left"/>
              <w:rPr/>
            </w:pPr>
            <w:r>
              <w:rPr/>
              <w:t> </w:t>
            </w:r>
          </w:p>
          <w:p>
            <w:pPr>
              <w:pStyle w:val="TableContents"/>
              <w:bidi w:val="0"/>
              <w:spacing w:before="0" w:after="283"/>
              <w:jc w:val="left"/>
              <w:rPr>
                <w:rFonts w:ascii="Arial;Helvetica;Sans-Serif" w:hAnsi="Arial;Helvetica;Sans-Serif"/>
                <w:sz w:val="18"/>
              </w:rPr>
            </w:pPr>
            <w:r>
              <w:rPr>
                <w:rFonts w:ascii="Arial;Helvetica;Sans-Serif" w:hAnsi="Arial;Helvetica;Sans-Serif"/>
                <w:sz w:val="18"/>
              </w:rPr>
              <w:t>See “Changes for Fiscal Year 2026 Compensation Structure - Performance Share- Based Awards” below for detailed information.</w:t>
            </w:r>
          </w:p>
        </w:tc>
      </w:tr>
    </w:tbl>
    <w:p>
      <w:pPr>
        <w:pStyle w:val="TextBody"/>
        <w:bidi w:val="0"/>
        <w:spacing w:before="0" w:after="0"/>
        <w:jc w:val="left"/>
        <w:rPr>
          <w:caps w:val="false"/>
          <w:smallCaps w:val="false"/>
          <w:color w:val="0062AF"/>
          <w:bdr w:val="single" w:sz="2" w:space="1" w:color="6ECBF3"/>
        </w:rPr>
      </w:pPr>
      <w:r>
        <w:rPr>
          <w:caps w:val="false"/>
          <w:smallCaps w:val="false"/>
          <w:color w:val="0062AF"/>
          <w:bdr w:val="single" w:sz="2" w:space="1" w:color="6ECBF3"/>
        </w:rPr>
        <w:t>  </w:t>
      </w:r>
    </w:p>
    <w:p>
      <w:pPr>
        <w:pStyle w:val="TextBody"/>
        <w:bidi w:val="0"/>
        <w:spacing w:before="0" w:after="0"/>
        <w:jc w:val="left"/>
        <w:rPr>
          <w:rFonts w:ascii="Arial;Helvetica;Sans-Serif" w:hAnsi="Arial;Helvetica;Sans-Serif"/>
          <w:b/>
          <w:i w:val="false"/>
          <w:caps w:val="false"/>
          <w:smallCaps w:val="false"/>
          <w:color w:val="008DCF"/>
          <w:sz w:val="26"/>
          <w:bdr w:val="single" w:sz="2" w:space="1" w:color="6ECBF3"/>
        </w:rPr>
      </w:pPr>
      <w:bookmarkStart w:id="57" w:name="lmnrdef14aa053"/>
      <w:bookmarkEnd w:id="57"/>
      <w:r>
        <w:rPr>
          <w:rFonts w:ascii="Arial;Helvetica;Sans-Serif" w:hAnsi="Arial;Helvetica;Sans-Serif"/>
          <w:b/>
          <w:i w:val="false"/>
          <w:caps w:val="false"/>
          <w:smallCaps w:val="false"/>
          <w:color w:val="008DCF"/>
          <w:sz w:val="26"/>
          <w:bdr w:val="single" w:sz="2" w:space="1" w:color="6ECBF3"/>
        </w:rPr>
        <w:t>Oversight of Executive Compensation</w:t>
      </w:r>
    </w:p>
    <w:p>
      <w:pPr>
        <w:pStyle w:val="TextBody"/>
        <w:bidi w:val="0"/>
        <w:spacing w:before="0" w:after="0"/>
        <w:jc w:val="left"/>
        <w:rPr>
          <w:caps w:val="false"/>
          <w:smallCaps w:val="false"/>
          <w:color w:val="008DCF"/>
          <w:bdr w:val="single" w:sz="2" w:space="1" w:color="6ECBF3"/>
        </w:rPr>
      </w:pPr>
      <w:r>
        <w:rPr>
          <w:caps w:val="false"/>
          <w:smallCaps w:val="false"/>
          <w:color w:val="008DCF"/>
          <w:bdr w:val="single" w:sz="2" w:space="1" w:color="6ECBF3"/>
        </w:rPr>
        <w:t> </w:t>
      </w:r>
    </w:p>
    <w:p>
      <w:pPr>
        <w:pStyle w:val="TextBody"/>
        <w:bidi w:val="0"/>
        <w:spacing w:before="0" w:after="120"/>
        <w:jc w:val="left"/>
        <w:rPr>
          <w:rFonts w:ascii="Arial;Helvetica;Sans-Serif" w:hAnsi="Arial;Helvetica;Sans-Serif"/>
          <w:b w:val="false"/>
          <w:i w:val="false"/>
          <w:caps w:val="false"/>
          <w:smallCaps w:val="false"/>
          <w:color w:val="0062AF"/>
          <w:sz w:val="20"/>
          <w:bdr w:val="single" w:sz="2" w:space="1" w:color="6ECBF3"/>
        </w:rPr>
      </w:pPr>
      <w:bookmarkStart w:id="58" w:name="lmnrdef14aa054"/>
      <w:bookmarkEnd w:id="58"/>
      <w:r>
        <w:rPr>
          <w:rFonts w:ascii="Arial;Helvetica;Sans-Serif" w:hAnsi="Arial;Helvetica;Sans-Serif"/>
          <w:b/>
          <w:i/>
          <w:caps w:val="false"/>
          <w:smallCaps w:val="false"/>
          <w:color w:val="0062AF"/>
          <w:sz w:val="20"/>
          <w:bdr w:val="single" w:sz="2" w:space="1" w:color="6ECBF3"/>
        </w:rPr>
        <w:t>The Role of the Compensation Committee in Setting Compensation</w:t>
      </w:r>
      <w:r>
        <w:rPr>
          <w:rFonts w:ascii="Arial;Helvetica;Sans-Serif" w:hAnsi="Arial;Helvetica;Sans-Serif"/>
          <w:b w:val="false"/>
          <w:i w:val="false"/>
          <w:caps w:val="false"/>
          <w:smallCaps w:val="false"/>
          <w:color w:val="0062AF"/>
          <w:sz w:val="20"/>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Our Compensation Committee determines our compensation philosophy and the compensation for our executive officers, considering individual and corporate achievements. During the first quarter of each fiscal year, the Compensation Committee establishes performance goals for cash and equity incentive compensation for each NEO and, following the end of that fiscal year, determines the level of attainment of those established goals.</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The Compensation Committee believes it is important to be informed as to the current practices of other companies in our industry and/or similar in size or other attributes to the Company and to set compensation levels for our NEOs that are competitive with such peer companies. As a result, in determining compensation levels for our NEOs and for purposes of determining any potential payments to our NEOs under our annual cash and equity incentive programs, the Compensation Committee periodically reviews and compares available salary and incentive information of other companies. As set forth above, the Compensation Committee retains an independent compensation consultant approximately every two (2) years to assist with reviewing the compensation structure for executive officers. As a part of such review, the Compensation Committee compares each component of the Company’s compensation program to the compensation paid to equivalent executive officers at peer companies, with a goal of setting competitive compensation levels for each of our NEOs. Between formal engagements or market reviews, the Committee may also adjust compensation levels for our NEOs based on information regarding broader market trends and practices. The results of any such benchmarking activities are utilized in designing our compensation program described in “Elements of Compensation.”</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120"/>
        <w:jc w:val="left"/>
        <w:rPr>
          <w:rFonts w:ascii="Arial;Helvetica;Sans-Serif" w:hAnsi="Arial;Helvetica;Sans-Serif"/>
          <w:b w:val="false"/>
          <w:i w:val="false"/>
          <w:caps w:val="false"/>
          <w:smallCaps w:val="false"/>
          <w:color w:val="0062AF"/>
          <w:sz w:val="20"/>
          <w:bdr w:val="single" w:sz="2" w:space="1" w:color="6ECBF3"/>
        </w:rPr>
      </w:pPr>
      <w:bookmarkStart w:id="59" w:name="lmnrdef14aa055"/>
      <w:bookmarkEnd w:id="59"/>
      <w:r>
        <w:rPr>
          <w:rFonts w:ascii="Arial;Helvetica;Sans-Serif" w:hAnsi="Arial;Helvetica;Sans-Serif"/>
          <w:b/>
          <w:i/>
          <w:caps w:val="false"/>
          <w:smallCaps w:val="false"/>
          <w:color w:val="0062AF"/>
          <w:sz w:val="20"/>
          <w:bdr w:val="single" w:sz="2" w:space="1" w:color="6ECBF3"/>
        </w:rPr>
        <w:t>The Role of Executives in Setting Compensation</w:t>
      </w:r>
      <w:r>
        <w:rPr>
          <w:rFonts w:ascii="Arial;Helvetica;Sans-Serif" w:hAnsi="Arial;Helvetica;Sans-Serif"/>
          <w:b w:val="false"/>
          <w:i w:val="false"/>
          <w:caps w:val="false"/>
          <w:smallCaps w:val="false"/>
          <w:color w:val="0062AF"/>
          <w:sz w:val="20"/>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Each NEO participates in an annual performance review with the Compensation Committee. Other senior management team members participate in an annual performance review with our President and Chief Executive Officer or other NEO, depending on their reporting structure, to provide input about his or her contributions to our success for the period being assessed.</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283"/>
        <w:jc w:val="left"/>
        <w:rPr/>
      </w:pPr>
      <w:r>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36</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i w:val="false"/>
          <w:caps w:val="false"/>
          <w:smallCaps w:val="false"/>
          <w:color w:val="008DCF"/>
          <w:sz w:val="20"/>
          <w:bdr w:val="single" w:sz="2" w:space="1" w:color="6ECBF3"/>
        </w:rPr>
      </w:pPr>
      <w:bookmarkStart w:id="60" w:name="lmnrdef14aa056"/>
      <w:bookmarkEnd w:id="60"/>
      <w:r>
        <w:rPr>
          <w:rFonts w:ascii="Arial;Helvetica;Sans-Serif" w:hAnsi="Arial;Helvetica;Sans-Serif"/>
          <w:b/>
          <w:i w:val="false"/>
          <w:caps w:val="false"/>
          <w:smallCaps w:val="false"/>
          <w:color w:val="008DCF"/>
          <w:sz w:val="20"/>
          <w:bdr w:val="single" w:sz="2" w:space="1" w:color="6ECBF3"/>
        </w:rPr>
        <w:t>Risk Assessment</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In formulating and evaluating material elements of compensation, the Compensation Committee considers whether any such programs may encourage excessive risk-taking behavior. Based on such review, the Compensation Committee concluded that the risks arising from our compensation policies and practices are not reasonably likely to have a material adverse effect on the Company. In making such determination, the Compensation Committee considered the many design features that mitigate the likelihood of inducing excessive risk-taking behavior. In particular, the Compensation Committee believes that our use of Performance Share-Based Awards and Restricted Share Awards, as the primary equity feature in the compensation program, minimizes the risk that a NEOs’ short-term interests may not align with longer-term interests of stockholders.</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Our Ethics Code is applicable to directors, officers, employees, and temporary agency staff members of the Company (collectively, “Covered Persons”). The Company’s policy is to promote high standards of integrity by conducting its affairs honestly and ethically. Each Covered Person must act with integrity and observe the highest ethical standards of business conduct in his or her dealings with the Company’s customers, suppliers, partners, service providers, competitors, employees, and anyone else with whom he or she has contact in the course of performing his or her job. The Company and the Covered Persons, without exception must act in compliance with the laws, rules, and regulations (including insider trading laws) applicable to the Company in the country, state, and city in which they operate. These laws include compliance with the Foreign Corrupt Practices Act, competition laws and money laundering laws.</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i w:val="false"/>
          <w:caps w:val="false"/>
          <w:smallCaps w:val="false"/>
          <w:color w:val="008DCF"/>
          <w:sz w:val="26"/>
          <w:bdr w:val="single" w:sz="2" w:space="1" w:color="6ECBF3"/>
        </w:rPr>
      </w:pPr>
      <w:bookmarkStart w:id="61" w:name="lmnrdef14aa057"/>
      <w:bookmarkEnd w:id="61"/>
      <w:r>
        <w:rPr>
          <w:rFonts w:ascii="Arial;Helvetica;Sans-Serif" w:hAnsi="Arial;Helvetica;Sans-Serif"/>
          <w:b/>
          <w:i w:val="false"/>
          <w:caps w:val="false"/>
          <w:smallCaps w:val="false"/>
          <w:color w:val="008DCF"/>
          <w:sz w:val="26"/>
          <w:bdr w:val="single" w:sz="2" w:space="1" w:color="6ECBF3"/>
        </w:rPr>
        <w:t>Elements of Compensation</w:t>
      </w:r>
    </w:p>
    <w:p>
      <w:pPr>
        <w:pStyle w:val="TextBody"/>
        <w:bidi w:val="0"/>
        <w:spacing w:before="0" w:after="0"/>
        <w:jc w:val="left"/>
        <w:rPr>
          <w:caps w:val="false"/>
          <w:smallCaps w:val="false"/>
          <w:color w:val="008DCF"/>
          <w:bdr w:val="single" w:sz="2" w:space="1" w:color="6ECBF3"/>
        </w:rPr>
      </w:pPr>
      <w:r>
        <w:rPr>
          <w:caps w:val="false"/>
          <w:smallCaps w:val="false"/>
          <w:color w:val="008DCF"/>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Prior to the end of each fiscal year, the Compensation Committee reviews the proposed total compensation package for the next fiscal year for the NEOs and Vice Presidents (the “Compensation Schedules”). The Compensation Schedules are developed using the financial targets from the proposed budget for the relevant performance year. The Compensation Schedules are prepared by the Executive Vice President and Chief Financial Officer, in conjunction with the recommendations of the President and Chief Executive Officer. After review, the Compensation Committee makes its recommendation with respect to the Compensation Schedules to the Board for approval.</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120"/>
        <w:jc w:val="left"/>
        <w:rPr>
          <w:rFonts w:ascii="Arial;Helvetica;Sans-Serif" w:hAnsi="Arial;Helvetica;Sans-Serif"/>
          <w:b w:val="false"/>
          <w:i w:val="false"/>
          <w:caps w:val="false"/>
          <w:smallCaps w:val="false"/>
          <w:color w:val="0062AF"/>
          <w:sz w:val="20"/>
          <w:bdr w:val="single" w:sz="2" w:space="1" w:color="6ECBF3"/>
        </w:rPr>
      </w:pPr>
      <w:bookmarkStart w:id="62" w:name="lmnrdef14aa058"/>
      <w:bookmarkEnd w:id="62"/>
      <w:r>
        <w:rPr>
          <w:rFonts w:ascii="Arial;Helvetica;Sans-Serif" w:hAnsi="Arial;Helvetica;Sans-Serif"/>
          <w:b/>
          <w:i/>
          <w:caps w:val="false"/>
          <w:smallCaps w:val="false"/>
          <w:color w:val="0062AF"/>
          <w:sz w:val="20"/>
          <w:bdr w:val="single" w:sz="2" w:space="1" w:color="6ECBF3"/>
        </w:rPr>
        <w:t>Base Salaries</w:t>
      </w:r>
      <w:r>
        <w:rPr>
          <w:rFonts w:ascii="Arial;Helvetica;Sans-Serif" w:hAnsi="Arial;Helvetica;Sans-Serif"/>
          <w:b w:val="false"/>
          <w:i w:val="false"/>
          <w:caps w:val="false"/>
          <w:smallCaps w:val="false"/>
          <w:color w:val="0062AF"/>
          <w:sz w:val="20"/>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We provide our NEOs with a base salary to compensate them for services rendered during the fiscal year and for sustained performance. The purpose of the base salary is to reflect job responsibilities, value to the Company and competitiveness of the market. The Compensation Committee determines base salaries for our NEOs based on the following factors: nature and responsibility of the position and, to the extent available, salary norms for comparable positions; the information and advice provided by the Company’s independent compensation consultant, Pearl Meyer; the expertise of the individual executive; the competitiveness of the market for the executive’s services; and the recommendations of our President and Chief Executive Officer. The Compensation Committee believes that the base salary of each of the NEOs, particularly considering each of their total compensation packages, is competitive with the market.</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For fiscal year 2025, our NEOs did not receive an increase in base salary.</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120"/>
        <w:jc w:val="left"/>
        <w:rPr>
          <w:rFonts w:ascii="Arial;Helvetica;Sans-Serif" w:hAnsi="Arial;Helvetica;Sans-Serif"/>
          <w:b w:val="false"/>
          <w:i w:val="false"/>
          <w:caps w:val="false"/>
          <w:smallCaps w:val="false"/>
          <w:color w:val="0062AF"/>
          <w:sz w:val="20"/>
          <w:bdr w:val="single" w:sz="2" w:space="1" w:color="6ECBF3"/>
        </w:rPr>
      </w:pPr>
      <w:bookmarkStart w:id="63" w:name="lmnrdef14aa059"/>
      <w:bookmarkEnd w:id="63"/>
      <w:r>
        <w:rPr>
          <w:rFonts w:ascii="Arial;Helvetica;Sans-Serif" w:hAnsi="Arial;Helvetica;Sans-Serif"/>
          <w:b/>
          <w:i/>
          <w:caps w:val="false"/>
          <w:smallCaps w:val="false"/>
          <w:color w:val="0062AF"/>
          <w:sz w:val="20"/>
          <w:bdr w:val="single" w:sz="2" w:space="1" w:color="6ECBF3"/>
        </w:rPr>
        <w:t>Annual Performance Compensation Award</w:t>
      </w:r>
      <w:r>
        <w:rPr>
          <w:rFonts w:ascii="Arial;Helvetica;Sans-Serif" w:hAnsi="Arial;Helvetica;Sans-Serif"/>
          <w:b w:val="false"/>
          <w:i w:val="false"/>
          <w:caps w:val="false"/>
          <w:smallCaps w:val="false"/>
          <w:color w:val="0062AF"/>
          <w:sz w:val="20"/>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We offer annual cash incentive compensation with an individual strategic performance component, such that 70% of the cash incentive compensation is based on the Company’s adjusted EBITDA performance relative to goals, and 30% is based on achievement of individual strategic performance objectives, subject to the negative discretion of our Compensation Committee. Any bonuses earned under the program in respect of a fiscal year are paid in a cash lump sum on or after October 31 of the performance year but on or before January 31 of the year following the performance year. The amount of the annual performance compensation award is set with a threshold equal to 75%, target equal to 100% and maximum equal to 125% of adjusted EBITDA as set forth in the budget approved by the Board.</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both"/>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For fiscal year 2025, our NEOs were eligible to receive cash incentive compensation in an amount equal to 37.5% for Mr. Edwards and 30% for Mr. Palamountain of their respective base salaries if the Company achieved adjusted EBITDA of at least $12.1 million. The amount of potential cash incentives our NEOs were eligible to receive increased incrementally up to a maximum of 150% for Mr. Edwards and 120% for Mr. Palamountain of their respective base salaries if the Company achieved adjusted EBITDA of at least $20.3 million. Due to significant depreciable assets associated with the nature of</w:t>
      </w:r>
    </w:p>
    <w:p>
      <w:pPr>
        <w:pStyle w:val="TextBody"/>
        <w:bidi w:val="0"/>
        <w:spacing w:before="0" w:after="0"/>
        <w:jc w:val="both"/>
        <w:rPr>
          <w:caps w:val="false"/>
          <w:smallCaps w:val="false"/>
          <w:bdr w:val="single" w:sz="2" w:space="1" w:color="6ECBF3"/>
        </w:rPr>
      </w:pPr>
      <w:r>
        <w:rPr>
          <w:caps w:val="false"/>
          <w:smallCaps w:val="false"/>
          <w:bdr w:val="single" w:sz="2" w:space="1" w:color="6ECBF3"/>
        </w:rPr>
        <w:t>  </w:t>
      </w:r>
    </w:p>
    <w:p>
      <w:pPr>
        <w:pStyle w:val="TextBody"/>
        <w:bidi w:val="0"/>
        <w:spacing w:before="0" w:after="283"/>
        <w:jc w:val="left"/>
        <w:rPr/>
      </w:pPr>
      <w:r>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37</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color w:val="FF0000"/>
          <w:bdr w:val="single" w:sz="2" w:space="1" w:color="6ECBF3"/>
        </w:rPr>
      </w:pPr>
      <w:r>
        <w:rPr>
          <w:caps w:val="false"/>
          <w:smallCaps w:val="false"/>
          <w:color w:val="FF0000"/>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our operations and interest costs associated with our capital structure, management believes that EBITDA and adjusted EBITDA, which excludes stock-based compensation, pension settlement cost, impairment of intangible assets, loss (gain) on disposal of assets, net, cash bonus related to sale of assets, gain on legal settlement, cash severance benefits, contract termination fee and gain on remeasurement of previously held equity method investment, are important measures to evaluate our results of operations between periods on a more comparable basis.</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For fiscal year 2025, the Compensation Committee did not approve payment of any cash incentive compensation as the minimum adjusted EBITDA threshold was not met. EBITDA and adjusted EBITDA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w:t>
      </w:r>
    </w:p>
    <w:p>
      <w:pPr>
        <w:pStyle w:val="TextBody"/>
        <w:bidi w:val="0"/>
        <w:spacing w:before="0" w:after="0"/>
        <w:jc w:val="both"/>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There were no performance compensation awards earned for fiscal year 2025.</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EBITDA and adjusted EBITDA are summarized and reconciled to net (loss) income attributable to Limoneira Company which management considers to be the most directly comparable financial measure calculated and presented in accordance with GAAP, as follows (in thousands):</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7434" w:type="dxa"/>
        <w:jc w:val="left"/>
        <w:tblInd w:w="0" w:type="dxa"/>
        <w:tblLayout w:type="fixed"/>
        <w:tblCellMar>
          <w:top w:w="0" w:type="dxa"/>
          <w:left w:w="0" w:type="dxa"/>
          <w:bottom w:w="0" w:type="dxa"/>
          <w:right w:w="28" w:type="dxa"/>
        </w:tblCellMar>
      </w:tblPr>
      <w:tblGrid>
        <w:gridCol w:w="5030"/>
        <w:gridCol w:w="848"/>
        <w:gridCol w:w="688"/>
        <w:gridCol w:w="868"/>
      </w:tblGrid>
      <w:tr>
        <w:trPr/>
        <w:tc>
          <w:tcPr>
            <w:tcW w:w="5030" w:type="dxa"/>
            <w:tcBorders>
              <w:right w:val="single" w:sz="8" w:space="0" w:color="FFFFFF"/>
            </w:tcBorders>
            <w:shd w:fill="D2D6E4" w:val="clear"/>
            <w:vAlign w:val="center"/>
          </w:tcPr>
          <w:p>
            <w:pPr>
              <w:pStyle w:val="TableContents"/>
              <w:bidi w:val="0"/>
              <w:spacing w:before="0" w:after="283"/>
              <w:jc w:val="center"/>
              <w:rPr/>
            </w:pPr>
            <w:r>
              <w:rPr/>
              <w:t> </w:t>
            </w:r>
          </w:p>
        </w:tc>
        <w:tc>
          <w:tcPr>
            <w:tcW w:w="2404" w:type="dxa"/>
            <w:gridSpan w:val="3"/>
            <w:tcBorders>
              <w:bottom w:val="single" w:sz="8" w:space="0" w:color="FFFFFF"/>
            </w:tcBorders>
            <w:shd w:fill="D2D6E4" w:val="clear"/>
            <w:tcMar>
              <w:bottom w:w="28" w:type="dxa"/>
              <w:right w:w="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Fiscal Year Ended October 31,</w:t>
            </w:r>
          </w:p>
        </w:tc>
      </w:tr>
      <w:tr>
        <w:trPr/>
        <w:tc>
          <w:tcPr>
            <w:tcW w:w="5030" w:type="dxa"/>
            <w:tcBorders>
              <w:right w:val="single" w:sz="8" w:space="0" w:color="FFFFFF"/>
            </w:tcBorders>
            <w:shd w:fill="D2D6E4" w:val="clear"/>
            <w:vAlign w:val="center"/>
          </w:tcPr>
          <w:p>
            <w:pPr>
              <w:pStyle w:val="TableContents"/>
              <w:bidi w:val="0"/>
              <w:spacing w:before="0" w:after="283"/>
              <w:jc w:val="center"/>
              <w:rPr/>
            </w:pPr>
            <w:r>
              <w:rPr/>
              <w:t> </w:t>
            </w:r>
          </w:p>
        </w:tc>
        <w:tc>
          <w:tcPr>
            <w:tcW w:w="848" w:type="dxa"/>
            <w:tcBorders>
              <w:right w:val="single" w:sz="8" w:space="0" w:color="FFFFFF"/>
            </w:tcBorders>
            <w:shd w:fill="D2D6E4" w:val="clear"/>
            <w:tcMar>
              <w:right w:w="108"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2025</w:t>
            </w:r>
          </w:p>
        </w:tc>
        <w:tc>
          <w:tcPr>
            <w:tcW w:w="688" w:type="dxa"/>
            <w:tcBorders>
              <w:right w:val="single" w:sz="8" w:space="0" w:color="FFFFFF"/>
            </w:tcBorders>
            <w:shd w:fill="D2D6E4" w:val="clear"/>
            <w:tcMar>
              <w:right w:w="108"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2024</w:t>
            </w:r>
          </w:p>
        </w:tc>
        <w:tc>
          <w:tcPr>
            <w:tcW w:w="868" w:type="dxa"/>
            <w:tcBorders/>
            <w:shd w:fill="D2D6E4" w:val="clear"/>
            <w:tcMar>
              <w:right w:w="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2023</w:t>
            </w:r>
          </w:p>
        </w:tc>
      </w:tr>
      <w:tr>
        <w:trPr/>
        <w:tc>
          <w:tcPr>
            <w:tcW w:w="5030" w:type="dxa"/>
            <w:tcBorders>
              <w:right w:val="single" w:sz="8" w:space="0" w:color="FFFFFF"/>
            </w:tcBorders>
            <w:shd w:fill="D2D6E4" w:val="clear"/>
            <w:vAlign w:val="center"/>
          </w:tcPr>
          <w:p>
            <w:pPr>
              <w:pStyle w:val="TableContents"/>
              <w:bidi w:val="0"/>
              <w:spacing w:before="0" w:after="283"/>
              <w:jc w:val="center"/>
              <w:rPr/>
            </w:pPr>
            <w:r>
              <w:rPr/>
              <w:t> </w:t>
            </w:r>
          </w:p>
        </w:tc>
        <w:tc>
          <w:tcPr>
            <w:tcW w:w="848" w:type="dxa"/>
            <w:tcBorders>
              <w:right w:val="single" w:sz="8" w:space="0" w:color="FFFFFF"/>
            </w:tcBorders>
            <w:shd w:fill="D2D6E4" w:val="clear"/>
            <w:tcMar>
              <w:right w:w="108"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w:t>
            </w:r>
          </w:p>
        </w:tc>
        <w:tc>
          <w:tcPr>
            <w:tcW w:w="688" w:type="dxa"/>
            <w:tcBorders>
              <w:right w:val="single" w:sz="8" w:space="0" w:color="FFFFFF"/>
            </w:tcBorders>
            <w:shd w:fill="D2D6E4" w:val="clear"/>
            <w:tcMar>
              <w:right w:w="108"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w:t>
            </w:r>
          </w:p>
        </w:tc>
        <w:tc>
          <w:tcPr>
            <w:tcW w:w="868" w:type="dxa"/>
            <w:tcBorders/>
            <w:shd w:fill="D2D6E4" w:val="clear"/>
            <w:tcMar>
              <w:right w:w="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w:t>
            </w:r>
          </w:p>
        </w:tc>
      </w:tr>
      <w:tr>
        <w:trPr/>
        <w:tc>
          <w:tcPr>
            <w:tcW w:w="5030" w:type="dxa"/>
            <w:tcBorders>
              <w:bottom w:val="single" w:sz="8" w:space="0" w:color="E5F5FD"/>
              <w:right w:val="single" w:sz="8" w:space="0" w:color="E5F5FD"/>
            </w:tcBorders>
            <w:tcMar>
              <w:bottom w:w="5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Net (loss) income attributable to Limoneira Company</w:t>
            </w:r>
          </w:p>
        </w:tc>
        <w:tc>
          <w:tcPr>
            <w:tcW w:w="848" w:type="dxa"/>
            <w:tcBorders>
              <w:bottom w:val="single" w:sz="8" w:space="0" w:color="E5F5FD"/>
              <w:right w:val="single" w:sz="8" w:space="0" w:color="E5F5FD"/>
            </w:tcBorders>
            <w:tcMar>
              <w:bottom w:w="50" w:type="dxa"/>
              <w:right w:w="108"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(15,981)</w:t>
            </w:r>
          </w:p>
        </w:tc>
        <w:tc>
          <w:tcPr>
            <w:tcW w:w="688" w:type="dxa"/>
            <w:tcBorders>
              <w:bottom w:val="single" w:sz="8" w:space="0" w:color="E5F5FD"/>
              <w:right w:val="single" w:sz="8" w:space="0" w:color="E5F5FD"/>
            </w:tcBorders>
            <w:tcMar>
              <w:bottom w:w="50" w:type="dxa"/>
              <w:right w:w="108"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7,716</w:t>
            </w:r>
          </w:p>
        </w:tc>
        <w:tc>
          <w:tcPr>
            <w:tcW w:w="868" w:type="dxa"/>
            <w:tcBorders>
              <w:bottom w:val="single" w:sz="8" w:space="0" w:color="E5F5FD"/>
            </w:tcBorders>
            <w:tcMar>
              <w:bottom w:w="50" w:type="dxa"/>
              <w:right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9,400</w:t>
            </w:r>
          </w:p>
        </w:tc>
      </w:tr>
      <w:tr>
        <w:trPr/>
        <w:tc>
          <w:tcPr>
            <w:tcW w:w="5030" w:type="dxa"/>
            <w:tcBorders>
              <w:bottom w:val="single" w:sz="8" w:space="0" w:color="E5F5FD"/>
              <w:right w:val="single" w:sz="8" w:space="0" w:color="E5F5FD"/>
            </w:tcBorders>
            <w:shd w:fill="EEF8FD" w:val="clear"/>
            <w:tcMar>
              <w:bottom w:w="5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Interest income</w:t>
            </w:r>
          </w:p>
        </w:tc>
        <w:tc>
          <w:tcPr>
            <w:tcW w:w="848" w:type="dxa"/>
            <w:tcBorders>
              <w:bottom w:val="single" w:sz="8" w:space="0" w:color="E5F5FD"/>
              <w:right w:val="single" w:sz="8" w:space="0" w:color="E5F5FD"/>
            </w:tcBorders>
            <w:shd w:fill="EEF8FD" w:val="clear"/>
            <w:tcMar>
              <w:bottom w:w="50" w:type="dxa"/>
              <w:right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(62)</w:t>
            </w:r>
          </w:p>
        </w:tc>
        <w:tc>
          <w:tcPr>
            <w:tcW w:w="688" w:type="dxa"/>
            <w:tcBorders>
              <w:bottom w:val="single" w:sz="8" w:space="0" w:color="E5F5FD"/>
              <w:right w:val="single" w:sz="8" w:space="0" w:color="E5F5FD"/>
            </w:tcBorders>
            <w:shd w:fill="EEF8FD" w:val="clear"/>
            <w:tcMar>
              <w:bottom w:w="50" w:type="dxa"/>
              <w:right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(118)</w:t>
            </w:r>
          </w:p>
        </w:tc>
        <w:tc>
          <w:tcPr>
            <w:tcW w:w="868" w:type="dxa"/>
            <w:tcBorders>
              <w:bottom w:val="single" w:sz="8" w:space="0" w:color="E5F5FD"/>
            </w:tcBorders>
            <w:shd w:fill="EEF8FD" w:val="clear"/>
            <w:tcMar>
              <w:bottom w:w="50"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(364)</w:t>
            </w:r>
          </w:p>
        </w:tc>
      </w:tr>
      <w:tr>
        <w:trPr/>
        <w:tc>
          <w:tcPr>
            <w:tcW w:w="5030" w:type="dxa"/>
            <w:tcBorders>
              <w:bottom w:val="single" w:sz="8" w:space="0" w:color="E5F5FD"/>
              <w:right w:val="single" w:sz="8" w:space="0" w:color="E5F5FD"/>
            </w:tcBorders>
            <w:tcMar>
              <w:bottom w:w="5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Interest expense, net of patronage dividends</w:t>
            </w:r>
          </w:p>
        </w:tc>
        <w:tc>
          <w:tcPr>
            <w:tcW w:w="848" w:type="dxa"/>
            <w:tcBorders>
              <w:bottom w:val="single" w:sz="8" w:space="0" w:color="E5F5FD"/>
              <w:right w:val="single" w:sz="8" w:space="0" w:color="E5F5FD"/>
            </w:tcBorders>
            <w:tcMar>
              <w:bottom w:w="50" w:type="dxa"/>
              <w:right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1,553</w:t>
            </w:r>
          </w:p>
        </w:tc>
        <w:tc>
          <w:tcPr>
            <w:tcW w:w="688" w:type="dxa"/>
            <w:tcBorders>
              <w:bottom w:val="single" w:sz="8" w:space="0" w:color="E5F5FD"/>
              <w:right w:val="single" w:sz="8" w:space="0" w:color="E5F5FD"/>
            </w:tcBorders>
            <w:tcMar>
              <w:bottom w:w="50" w:type="dxa"/>
              <w:right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961</w:t>
            </w:r>
          </w:p>
        </w:tc>
        <w:tc>
          <w:tcPr>
            <w:tcW w:w="868" w:type="dxa"/>
            <w:tcBorders>
              <w:bottom w:val="single" w:sz="8" w:space="0" w:color="E5F5FD"/>
            </w:tcBorders>
            <w:tcMar>
              <w:bottom w:w="50"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494</w:t>
            </w:r>
          </w:p>
        </w:tc>
      </w:tr>
      <w:tr>
        <w:trPr/>
        <w:tc>
          <w:tcPr>
            <w:tcW w:w="5030" w:type="dxa"/>
            <w:tcBorders>
              <w:bottom w:val="single" w:sz="8" w:space="0" w:color="E5F5FD"/>
              <w:right w:val="single" w:sz="8" w:space="0" w:color="E5F5FD"/>
            </w:tcBorders>
            <w:shd w:fill="EEF8FD" w:val="clear"/>
            <w:tcMar>
              <w:bottom w:w="5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Income tax (benefit) provision</w:t>
            </w:r>
          </w:p>
        </w:tc>
        <w:tc>
          <w:tcPr>
            <w:tcW w:w="848" w:type="dxa"/>
            <w:tcBorders>
              <w:bottom w:val="single" w:sz="8" w:space="0" w:color="E5F5FD"/>
              <w:right w:val="single" w:sz="8" w:space="0" w:color="E5F5FD"/>
            </w:tcBorders>
            <w:shd w:fill="EEF8FD" w:val="clear"/>
            <w:tcMar>
              <w:bottom w:w="50" w:type="dxa"/>
              <w:right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(4,649)</w:t>
            </w:r>
          </w:p>
        </w:tc>
        <w:tc>
          <w:tcPr>
            <w:tcW w:w="688" w:type="dxa"/>
            <w:tcBorders>
              <w:bottom w:val="single" w:sz="8" w:space="0" w:color="E5F5FD"/>
              <w:right w:val="single" w:sz="8" w:space="0" w:color="E5F5FD"/>
            </w:tcBorders>
            <w:shd w:fill="EEF8FD" w:val="clear"/>
            <w:tcMar>
              <w:bottom w:w="50" w:type="dxa"/>
              <w:right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4,373</w:t>
            </w:r>
          </w:p>
        </w:tc>
        <w:tc>
          <w:tcPr>
            <w:tcW w:w="868" w:type="dxa"/>
            <w:tcBorders>
              <w:bottom w:val="single" w:sz="8" w:space="0" w:color="E5F5FD"/>
            </w:tcBorders>
            <w:shd w:fill="EEF8FD" w:val="clear"/>
            <w:tcMar>
              <w:bottom w:w="50"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4,247</w:t>
            </w:r>
          </w:p>
        </w:tc>
      </w:tr>
      <w:tr>
        <w:trPr/>
        <w:tc>
          <w:tcPr>
            <w:tcW w:w="5030" w:type="dxa"/>
            <w:tcBorders>
              <w:bottom w:val="single" w:sz="8" w:space="0" w:color="E5F5FD"/>
              <w:right w:val="single" w:sz="8" w:space="0" w:color="E5F5FD"/>
            </w:tcBorders>
            <w:tcMar>
              <w:bottom w:w="5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Depreciation and amortization</w:t>
            </w:r>
          </w:p>
        </w:tc>
        <w:tc>
          <w:tcPr>
            <w:tcW w:w="848" w:type="dxa"/>
            <w:tcBorders>
              <w:bottom w:val="single" w:sz="8" w:space="0" w:color="E5F5FD"/>
              <w:right w:val="single" w:sz="8" w:space="0" w:color="E5F5FD"/>
            </w:tcBorders>
            <w:tcMar>
              <w:bottom w:w="50" w:type="dxa"/>
              <w:right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9,209</w:t>
            </w:r>
          </w:p>
        </w:tc>
        <w:tc>
          <w:tcPr>
            <w:tcW w:w="688" w:type="dxa"/>
            <w:tcBorders>
              <w:bottom w:val="single" w:sz="8" w:space="0" w:color="E5F5FD"/>
              <w:right w:val="single" w:sz="8" w:space="0" w:color="E5F5FD"/>
            </w:tcBorders>
            <w:tcMar>
              <w:bottom w:w="50" w:type="dxa"/>
              <w:right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8,374</w:t>
            </w:r>
          </w:p>
        </w:tc>
        <w:tc>
          <w:tcPr>
            <w:tcW w:w="868" w:type="dxa"/>
            <w:tcBorders>
              <w:bottom w:val="single" w:sz="8" w:space="0" w:color="E5F5FD"/>
            </w:tcBorders>
            <w:tcMar>
              <w:bottom w:w="50"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8,576</w:t>
            </w:r>
          </w:p>
        </w:tc>
      </w:tr>
      <w:tr>
        <w:trPr/>
        <w:tc>
          <w:tcPr>
            <w:tcW w:w="5030" w:type="dxa"/>
            <w:tcBorders>
              <w:bottom w:val="single" w:sz="8" w:space="0" w:color="E5F5FD"/>
              <w:right w:val="single" w:sz="8" w:space="0" w:color="E5F5FD"/>
            </w:tcBorders>
            <w:shd w:fill="EEF8FD" w:val="clear"/>
            <w:tcMar>
              <w:bottom w:w="5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EBITDA</w:t>
            </w:r>
          </w:p>
        </w:tc>
        <w:tc>
          <w:tcPr>
            <w:tcW w:w="848" w:type="dxa"/>
            <w:tcBorders>
              <w:bottom w:val="single" w:sz="8" w:space="0" w:color="E5F5FD"/>
              <w:right w:val="single" w:sz="8" w:space="0" w:color="E5F5FD"/>
            </w:tcBorders>
            <w:shd w:fill="EEF8FD" w:val="clear"/>
            <w:tcMar>
              <w:bottom w:w="50" w:type="dxa"/>
              <w:right w:w="108"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(9,930)</w:t>
            </w:r>
          </w:p>
        </w:tc>
        <w:tc>
          <w:tcPr>
            <w:tcW w:w="688" w:type="dxa"/>
            <w:tcBorders>
              <w:bottom w:val="single" w:sz="8" w:space="0" w:color="E5F5FD"/>
              <w:right w:val="single" w:sz="8" w:space="0" w:color="E5F5FD"/>
            </w:tcBorders>
            <w:shd w:fill="EEF8FD" w:val="clear"/>
            <w:tcMar>
              <w:bottom w:w="50" w:type="dxa"/>
              <w:right w:w="108"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21,306</w:t>
            </w:r>
          </w:p>
        </w:tc>
        <w:tc>
          <w:tcPr>
            <w:tcW w:w="868" w:type="dxa"/>
            <w:tcBorders>
              <w:bottom w:val="single" w:sz="8" w:space="0" w:color="E5F5FD"/>
            </w:tcBorders>
            <w:shd w:fill="EEF8FD" w:val="clear"/>
            <w:tcMar>
              <w:bottom w:w="50" w:type="dxa"/>
              <w:right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22,353</w:t>
            </w:r>
          </w:p>
        </w:tc>
      </w:tr>
      <w:tr>
        <w:trPr/>
        <w:tc>
          <w:tcPr>
            <w:tcW w:w="5030" w:type="dxa"/>
            <w:tcBorders>
              <w:bottom w:val="single" w:sz="8" w:space="0" w:color="E5F5FD"/>
              <w:right w:val="single" w:sz="8" w:space="0" w:color="E5F5FD"/>
            </w:tcBorders>
            <w:tcMar>
              <w:bottom w:w="5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Stock-based compensation</w:t>
            </w:r>
          </w:p>
        </w:tc>
        <w:tc>
          <w:tcPr>
            <w:tcW w:w="848" w:type="dxa"/>
            <w:tcBorders>
              <w:bottom w:val="single" w:sz="8" w:space="0" w:color="E5F5FD"/>
              <w:right w:val="single" w:sz="8" w:space="0" w:color="E5F5FD"/>
            </w:tcBorders>
            <w:tcMar>
              <w:bottom w:w="50" w:type="dxa"/>
              <w:right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3,077</w:t>
            </w:r>
          </w:p>
        </w:tc>
        <w:tc>
          <w:tcPr>
            <w:tcW w:w="688" w:type="dxa"/>
            <w:tcBorders>
              <w:bottom w:val="single" w:sz="8" w:space="0" w:color="E5F5FD"/>
              <w:right w:val="single" w:sz="8" w:space="0" w:color="E5F5FD"/>
            </w:tcBorders>
            <w:tcMar>
              <w:bottom w:w="50" w:type="dxa"/>
              <w:right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4,116</w:t>
            </w:r>
          </w:p>
        </w:tc>
        <w:tc>
          <w:tcPr>
            <w:tcW w:w="868" w:type="dxa"/>
            <w:tcBorders>
              <w:bottom w:val="single" w:sz="8" w:space="0" w:color="E5F5FD"/>
            </w:tcBorders>
            <w:tcMar>
              <w:bottom w:w="50"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3,841</w:t>
            </w:r>
          </w:p>
        </w:tc>
      </w:tr>
      <w:tr>
        <w:trPr/>
        <w:tc>
          <w:tcPr>
            <w:tcW w:w="5030" w:type="dxa"/>
            <w:tcBorders>
              <w:bottom w:val="single" w:sz="8" w:space="0" w:color="E5F5FD"/>
              <w:right w:val="single" w:sz="8" w:space="0" w:color="E5F5FD"/>
            </w:tcBorders>
            <w:shd w:fill="EEF8FD" w:val="clear"/>
            <w:tcMar>
              <w:bottom w:w="5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Pension settlement cost</w:t>
            </w:r>
          </w:p>
        </w:tc>
        <w:tc>
          <w:tcPr>
            <w:tcW w:w="848" w:type="dxa"/>
            <w:tcBorders>
              <w:bottom w:val="single" w:sz="8" w:space="0" w:color="E5F5FD"/>
              <w:right w:val="single" w:sz="8" w:space="0" w:color="E5F5FD"/>
            </w:tcBorders>
            <w:shd w:fill="EEF8FD" w:val="clear"/>
            <w:tcMar>
              <w:bottom w:w="50" w:type="dxa"/>
              <w:right w:w="108" w:type="dxa"/>
            </w:tcMar>
            <w:vAlign w:val="center"/>
          </w:tcPr>
          <w:p>
            <w:pPr>
              <w:pStyle w:val="TableContents"/>
              <w:bidi w:val="0"/>
              <w:spacing w:before="0" w:after="283"/>
              <w:jc w:val="right"/>
              <w:rPr/>
            </w:pPr>
            <w:r>
              <w:rPr/>
              <w:t>—</w:t>
            </w:r>
          </w:p>
        </w:tc>
        <w:tc>
          <w:tcPr>
            <w:tcW w:w="688" w:type="dxa"/>
            <w:tcBorders>
              <w:bottom w:val="single" w:sz="8" w:space="0" w:color="E5F5FD"/>
              <w:right w:val="single" w:sz="8" w:space="0" w:color="E5F5FD"/>
            </w:tcBorders>
            <w:shd w:fill="EEF8FD" w:val="clear"/>
            <w:tcMar>
              <w:bottom w:w="50" w:type="dxa"/>
              <w:right w:w="108" w:type="dxa"/>
            </w:tcMar>
            <w:vAlign w:val="center"/>
          </w:tcPr>
          <w:p>
            <w:pPr>
              <w:pStyle w:val="TableContents"/>
              <w:bidi w:val="0"/>
              <w:spacing w:before="0" w:after="283"/>
              <w:jc w:val="right"/>
              <w:rPr/>
            </w:pPr>
            <w:r>
              <w:rPr/>
              <w:t>—</w:t>
            </w:r>
          </w:p>
        </w:tc>
        <w:tc>
          <w:tcPr>
            <w:tcW w:w="868" w:type="dxa"/>
            <w:tcBorders>
              <w:bottom w:val="single" w:sz="8" w:space="0" w:color="E5F5FD"/>
            </w:tcBorders>
            <w:shd w:fill="EEF8FD" w:val="clear"/>
            <w:tcMar>
              <w:bottom w:w="50"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2,700</w:t>
            </w:r>
          </w:p>
        </w:tc>
      </w:tr>
      <w:tr>
        <w:trPr/>
        <w:tc>
          <w:tcPr>
            <w:tcW w:w="5030" w:type="dxa"/>
            <w:tcBorders>
              <w:bottom w:val="single" w:sz="8" w:space="0" w:color="E5F5FD"/>
              <w:right w:val="single" w:sz="8" w:space="0" w:color="E5F5FD"/>
            </w:tcBorders>
            <w:tcMar>
              <w:bottom w:w="5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Impairment of intangible asset</w:t>
            </w:r>
          </w:p>
        </w:tc>
        <w:tc>
          <w:tcPr>
            <w:tcW w:w="848" w:type="dxa"/>
            <w:tcBorders>
              <w:bottom w:val="single" w:sz="8" w:space="0" w:color="E5F5FD"/>
              <w:right w:val="single" w:sz="8" w:space="0" w:color="E5F5FD"/>
            </w:tcBorders>
            <w:tcMar>
              <w:bottom w:w="50" w:type="dxa"/>
              <w:right w:w="108" w:type="dxa"/>
            </w:tcMar>
            <w:vAlign w:val="center"/>
          </w:tcPr>
          <w:p>
            <w:pPr>
              <w:pStyle w:val="TableContents"/>
              <w:bidi w:val="0"/>
              <w:spacing w:before="0" w:after="283"/>
              <w:jc w:val="right"/>
              <w:rPr/>
            </w:pPr>
            <w:r>
              <w:rPr/>
              <w:t>—</w:t>
            </w:r>
          </w:p>
        </w:tc>
        <w:tc>
          <w:tcPr>
            <w:tcW w:w="688" w:type="dxa"/>
            <w:tcBorders>
              <w:bottom w:val="single" w:sz="8" w:space="0" w:color="E5F5FD"/>
              <w:right w:val="single" w:sz="8" w:space="0" w:color="E5F5FD"/>
            </w:tcBorders>
            <w:tcMar>
              <w:bottom w:w="50" w:type="dxa"/>
              <w:right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643</w:t>
            </w:r>
          </w:p>
        </w:tc>
        <w:tc>
          <w:tcPr>
            <w:tcW w:w="868" w:type="dxa"/>
            <w:tcBorders>
              <w:bottom w:val="single" w:sz="8" w:space="0" w:color="E5F5FD"/>
            </w:tcBorders>
            <w:tcMar>
              <w:bottom w:w="50" w:type="dxa"/>
              <w:right w:w="0" w:type="dxa"/>
            </w:tcMar>
            <w:vAlign w:val="center"/>
          </w:tcPr>
          <w:p>
            <w:pPr>
              <w:pStyle w:val="TableContents"/>
              <w:bidi w:val="0"/>
              <w:spacing w:before="0" w:after="283"/>
              <w:jc w:val="right"/>
              <w:rPr/>
            </w:pPr>
            <w:r>
              <w:rPr/>
              <w:t>—</w:t>
            </w:r>
          </w:p>
        </w:tc>
      </w:tr>
      <w:tr>
        <w:trPr/>
        <w:tc>
          <w:tcPr>
            <w:tcW w:w="5030" w:type="dxa"/>
            <w:tcBorders>
              <w:bottom w:val="single" w:sz="8" w:space="0" w:color="E5F5FD"/>
              <w:right w:val="single" w:sz="8" w:space="0" w:color="E5F5FD"/>
            </w:tcBorders>
            <w:shd w:fill="EEF8FD" w:val="clear"/>
            <w:tcMar>
              <w:bottom w:w="5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Loss (gain) on disposal of assets, net</w:t>
            </w:r>
          </w:p>
        </w:tc>
        <w:tc>
          <w:tcPr>
            <w:tcW w:w="848" w:type="dxa"/>
            <w:tcBorders>
              <w:bottom w:val="single" w:sz="8" w:space="0" w:color="E5F5FD"/>
              <w:right w:val="single" w:sz="8" w:space="0" w:color="E5F5FD"/>
            </w:tcBorders>
            <w:shd w:fill="EEF8FD" w:val="clear"/>
            <w:tcMar>
              <w:bottom w:w="50" w:type="dxa"/>
              <w:right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706</w:t>
            </w:r>
          </w:p>
        </w:tc>
        <w:tc>
          <w:tcPr>
            <w:tcW w:w="688" w:type="dxa"/>
            <w:tcBorders>
              <w:bottom w:val="single" w:sz="8" w:space="0" w:color="E5F5FD"/>
              <w:right w:val="single" w:sz="8" w:space="0" w:color="E5F5FD"/>
            </w:tcBorders>
            <w:shd w:fill="EEF8FD" w:val="clear"/>
            <w:tcMar>
              <w:bottom w:w="50" w:type="dxa"/>
              <w:right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(507)</w:t>
            </w:r>
          </w:p>
        </w:tc>
        <w:tc>
          <w:tcPr>
            <w:tcW w:w="868" w:type="dxa"/>
            <w:tcBorders>
              <w:bottom w:val="single" w:sz="8" w:space="0" w:color="E5F5FD"/>
            </w:tcBorders>
            <w:shd w:fill="EEF8FD" w:val="clear"/>
            <w:tcMar>
              <w:bottom w:w="50"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(28,849)</w:t>
            </w:r>
          </w:p>
        </w:tc>
      </w:tr>
      <w:tr>
        <w:trPr/>
        <w:tc>
          <w:tcPr>
            <w:tcW w:w="5030" w:type="dxa"/>
            <w:tcBorders>
              <w:bottom w:val="single" w:sz="8" w:space="0" w:color="E5F5FD"/>
              <w:right w:val="single" w:sz="8" w:space="0" w:color="E5F5FD"/>
            </w:tcBorders>
            <w:tcMar>
              <w:bottom w:w="5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Cash bonus related to sale of assets</w:t>
            </w:r>
          </w:p>
        </w:tc>
        <w:tc>
          <w:tcPr>
            <w:tcW w:w="848" w:type="dxa"/>
            <w:tcBorders>
              <w:bottom w:val="single" w:sz="8" w:space="0" w:color="E5F5FD"/>
              <w:right w:val="single" w:sz="8" w:space="0" w:color="E5F5FD"/>
            </w:tcBorders>
            <w:tcMar>
              <w:bottom w:w="50" w:type="dxa"/>
              <w:right w:w="108" w:type="dxa"/>
            </w:tcMar>
            <w:vAlign w:val="center"/>
          </w:tcPr>
          <w:p>
            <w:pPr>
              <w:pStyle w:val="TableContents"/>
              <w:bidi w:val="0"/>
              <w:spacing w:before="0" w:after="283"/>
              <w:jc w:val="right"/>
              <w:rPr/>
            </w:pPr>
            <w:r>
              <w:rPr/>
              <w:t>—</w:t>
            </w:r>
          </w:p>
        </w:tc>
        <w:tc>
          <w:tcPr>
            <w:tcW w:w="688" w:type="dxa"/>
            <w:tcBorders>
              <w:bottom w:val="single" w:sz="8" w:space="0" w:color="E5F5FD"/>
              <w:right w:val="single" w:sz="8" w:space="0" w:color="E5F5FD"/>
            </w:tcBorders>
            <w:tcMar>
              <w:bottom w:w="50" w:type="dxa"/>
              <w:right w:w="108" w:type="dxa"/>
            </w:tcMar>
            <w:vAlign w:val="center"/>
          </w:tcPr>
          <w:p>
            <w:pPr>
              <w:pStyle w:val="TableContents"/>
              <w:bidi w:val="0"/>
              <w:spacing w:before="0" w:after="283"/>
              <w:jc w:val="right"/>
              <w:rPr/>
            </w:pPr>
            <w:r>
              <w:rPr/>
              <w:t>—</w:t>
            </w:r>
          </w:p>
        </w:tc>
        <w:tc>
          <w:tcPr>
            <w:tcW w:w="868" w:type="dxa"/>
            <w:tcBorders>
              <w:bottom w:val="single" w:sz="8" w:space="0" w:color="E5F5FD"/>
            </w:tcBorders>
            <w:tcMar>
              <w:bottom w:w="50"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2,000</w:t>
            </w:r>
          </w:p>
        </w:tc>
      </w:tr>
      <w:tr>
        <w:trPr/>
        <w:tc>
          <w:tcPr>
            <w:tcW w:w="5030" w:type="dxa"/>
            <w:tcBorders>
              <w:bottom w:val="single" w:sz="8" w:space="0" w:color="E5F5FD"/>
              <w:right w:val="single" w:sz="8" w:space="0" w:color="E5F5FD"/>
            </w:tcBorders>
            <w:shd w:fill="EEF8FD" w:val="clear"/>
            <w:tcMar>
              <w:bottom w:w="5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Gain on legal settlement</w:t>
            </w:r>
          </w:p>
        </w:tc>
        <w:tc>
          <w:tcPr>
            <w:tcW w:w="848" w:type="dxa"/>
            <w:tcBorders>
              <w:bottom w:val="single" w:sz="8" w:space="0" w:color="E5F5FD"/>
              <w:right w:val="single" w:sz="8" w:space="0" w:color="E5F5FD"/>
            </w:tcBorders>
            <w:shd w:fill="EEF8FD" w:val="clear"/>
            <w:tcMar>
              <w:bottom w:w="50" w:type="dxa"/>
              <w:right w:w="108" w:type="dxa"/>
            </w:tcMar>
            <w:vAlign w:val="center"/>
          </w:tcPr>
          <w:p>
            <w:pPr>
              <w:pStyle w:val="TableContents"/>
              <w:bidi w:val="0"/>
              <w:spacing w:before="0" w:after="283"/>
              <w:jc w:val="right"/>
              <w:rPr/>
            </w:pPr>
            <w:r>
              <w:rPr/>
              <w:t>—</w:t>
            </w:r>
          </w:p>
        </w:tc>
        <w:tc>
          <w:tcPr>
            <w:tcW w:w="688" w:type="dxa"/>
            <w:tcBorders>
              <w:bottom w:val="single" w:sz="8" w:space="0" w:color="E5F5FD"/>
              <w:right w:val="single" w:sz="8" w:space="0" w:color="E5F5FD"/>
            </w:tcBorders>
            <w:shd w:fill="EEF8FD" w:val="clear"/>
            <w:tcMar>
              <w:bottom w:w="50" w:type="dxa"/>
              <w:right w:w="108" w:type="dxa"/>
            </w:tcMar>
            <w:vAlign w:val="center"/>
          </w:tcPr>
          <w:p>
            <w:pPr>
              <w:pStyle w:val="TableContents"/>
              <w:bidi w:val="0"/>
              <w:spacing w:before="0" w:after="283"/>
              <w:jc w:val="right"/>
              <w:rPr/>
            </w:pPr>
            <w:r>
              <w:rPr/>
              <w:t>—</w:t>
            </w:r>
          </w:p>
        </w:tc>
        <w:tc>
          <w:tcPr>
            <w:tcW w:w="868" w:type="dxa"/>
            <w:tcBorders>
              <w:bottom w:val="single" w:sz="8" w:space="0" w:color="E5F5FD"/>
            </w:tcBorders>
            <w:shd w:fill="EEF8FD" w:val="clear"/>
            <w:tcMar>
              <w:bottom w:w="50"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(2,269)</w:t>
            </w:r>
          </w:p>
        </w:tc>
      </w:tr>
      <w:tr>
        <w:trPr/>
        <w:tc>
          <w:tcPr>
            <w:tcW w:w="5030" w:type="dxa"/>
            <w:tcBorders>
              <w:bottom w:val="single" w:sz="8" w:space="0" w:color="E5F5FD"/>
              <w:right w:val="single" w:sz="8" w:space="0" w:color="E5F5FD"/>
            </w:tcBorders>
            <w:tcMar>
              <w:bottom w:w="5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Cash severance benefits</w:t>
            </w:r>
          </w:p>
        </w:tc>
        <w:tc>
          <w:tcPr>
            <w:tcW w:w="848" w:type="dxa"/>
            <w:tcBorders>
              <w:bottom w:val="single" w:sz="8" w:space="0" w:color="E5F5FD"/>
              <w:right w:val="single" w:sz="8" w:space="0" w:color="E5F5FD"/>
            </w:tcBorders>
            <w:tcMar>
              <w:bottom w:w="50" w:type="dxa"/>
              <w:right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447</w:t>
            </w:r>
          </w:p>
        </w:tc>
        <w:tc>
          <w:tcPr>
            <w:tcW w:w="688" w:type="dxa"/>
            <w:tcBorders>
              <w:bottom w:val="single" w:sz="8" w:space="0" w:color="E5F5FD"/>
              <w:right w:val="single" w:sz="8" w:space="0" w:color="E5F5FD"/>
            </w:tcBorders>
            <w:tcMar>
              <w:bottom w:w="50" w:type="dxa"/>
              <w:right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1,160</w:t>
            </w:r>
          </w:p>
        </w:tc>
        <w:tc>
          <w:tcPr>
            <w:tcW w:w="868" w:type="dxa"/>
            <w:tcBorders>
              <w:bottom w:val="single" w:sz="8" w:space="0" w:color="E5F5FD"/>
            </w:tcBorders>
            <w:tcMar>
              <w:bottom w:w="50" w:type="dxa"/>
              <w:right w:w="0" w:type="dxa"/>
            </w:tcMar>
            <w:vAlign w:val="center"/>
          </w:tcPr>
          <w:p>
            <w:pPr>
              <w:pStyle w:val="TableContents"/>
              <w:bidi w:val="0"/>
              <w:spacing w:before="0" w:after="283"/>
              <w:jc w:val="right"/>
              <w:rPr/>
            </w:pPr>
            <w:r>
              <w:rPr/>
              <w:t>—</w:t>
            </w:r>
          </w:p>
        </w:tc>
      </w:tr>
      <w:tr>
        <w:trPr/>
        <w:tc>
          <w:tcPr>
            <w:tcW w:w="5030" w:type="dxa"/>
            <w:tcBorders>
              <w:bottom w:val="single" w:sz="8" w:space="0" w:color="E5F5FD"/>
              <w:right w:val="single" w:sz="8" w:space="0" w:color="E5F5FD"/>
            </w:tcBorders>
            <w:shd w:fill="EEF8FD" w:val="clear"/>
            <w:tcMar>
              <w:bottom w:w="5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Contract termination fee</w:t>
            </w:r>
          </w:p>
        </w:tc>
        <w:tc>
          <w:tcPr>
            <w:tcW w:w="848" w:type="dxa"/>
            <w:tcBorders>
              <w:bottom w:val="single" w:sz="8" w:space="0" w:color="E5F5FD"/>
              <w:right w:val="single" w:sz="8" w:space="0" w:color="E5F5FD"/>
            </w:tcBorders>
            <w:shd w:fill="EEF8FD" w:val="clear"/>
            <w:tcMar>
              <w:bottom w:w="50" w:type="dxa"/>
              <w:right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2,100</w:t>
            </w:r>
          </w:p>
        </w:tc>
        <w:tc>
          <w:tcPr>
            <w:tcW w:w="688" w:type="dxa"/>
            <w:tcBorders>
              <w:bottom w:val="single" w:sz="8" w:space="0" w:color="E5F5FD"/>
              <w:right w:val="single" w:sz="8" w:space="0" w:color="E5F5FD"/>
            </w:tcBorders>
            <w:shd w:fill="EEF8FD" w:val="clear"/>
            <w:tcMar>
              <w:bottom w:w="50" w:type="dxa"/>
              <w:right w:w="108" w:type="dxa"/>
            </w:tcMar>
            <w:vAlign w:val="center"/>
          </w:tcPr>
          <w:p>
            <w:pPr>
              <w:pStyle w:val="TableContents"/>
              <w:bidi w:val="0"/>
              <w:spacing w:before="0" w:after="283"/>
              <w:jc w:val="right"/>
              <w:rPr/>
            </w:pPr>
            <w:r>
              <w:rPr/>
              <w:t>—</w:t>
            </w:r>
          </w:p>
        </w:tc>
        <w:tc>
          <w:tcPr>
            <w:tcW w:w="868" w:type="dxa"/>
            <w:tcBorders>
              <w:bottom w:val="single" w:sz="8" w:space="0" w:color="E5F5FD"/>
            </w:tcBorders>
            <w:shd w:fill="EEF8FD" w:val="clear"/>
            <w:tcMar>
              <w:bottom w:w="50" w:type="dxa"/>
              <w:right w:w="0" w:type="dxa"/>
            </w:tcMar>
            <w:vAlign w:val="center"/>
          </w:tcPr>
          <w:p>
            <w:pPr>
              <w:pStyle w:val="TableContents"/>
              <w:bidi w:val="0"/>
              <w:spacing w:before="0" w:after="283"/>
              <w:jc w:val="right"/>
              <w:rPr/>
            </w:pPr>
            <w:r>
              <w:rPr/>
              <w:t>—</w:t>
            </w:r>
          </w:p>
        </w:tc>
      </w:tr>
      <w:tr>
        <w:trPr/>
        <w:tc>
          <w:tcPr>
            <w:tcW w:w="5030" w:type="dxa"/>
            <w:tcBorders>
              <w:bottom w:val="single" w:sz="8" w:space="0" w:color="E5F5FD"/>
              <w:right w:val="single" w:sz="8" w:space="0" w:color="E5F5FD"/>
            </w:tcBorders>
            <w:tcMar>
              <w:bottom w:w="5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Gain on remeasurement of previously held equity method investment</w:t>
            </w:r>
          </w:p>
        </w:tc>
        <w:tc>
          <w:tcPr>
            <w:tcW w:w="848" w:type="dxa"/>
            <w:tcBorders>
              <w:bottom w:val="single" w:sz="8" w:space="0" w:color="E5F5FD"/>
              <w:right w:val="single" w:sz="8" w:space="0" w:color="E5F5FD"/>
            </w:tcBorders>
            <w:tcMar>
              <w:bottom w:w="50" w:type="dxa"/>
              <w:right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(2,852)</w:t>
            </w:r>
          </w:p>
        </w:tc>
        <w:tc>
          <w:tcPr>
            <w:tcW w:w="688" w:type="dxa"/>
            <w:tcBorders>
              <w:bottom w:val="single" w:sz="8" w:space="0" w:color="E5F5FD"/>
              <w:right w:val="single" w:sz="8" w:space="0" w:color="E5F5FD"/>
            </w:tcBorders>
            <w:tcMar>
              <w:bottom w:w="50" w:type="dxa"/>
              <w:right w:w="108" w:type="dxa"/>
            </w:tcMar>
            <w:vAlign w:val="center"/>
          </w:tcPr>
          <w:p>
            <w:pPr>
              <w:pStyle w:val="TableContents"/>
              <w:bidi w:val="0"/>
              <w:spacing w:before="0" w:after="283"/>
              <w:jc w:val="right"/>
              <w:rPr/>
            </w:pPr>
            <w:r>
              <w:rPr/>
              <w:t>—</w:t>
            </w:r>
          </w:p>
        </w:tc>
        <w:tc>
          <w:tcPr>
            <w:tcW w:w="868" w:type="dxa"/>
            <w:tcBorders>
              <w:bottom w:val="single" w:sz="8" w:space="0" w:color="E5F5FD"/>
            </w:tcBorders>
            <w:tcMar>
              <w:bottom w:w="50" w:type="dxa"/>
              <w:right w:w="0" w:type="dxa"/>
            </w:tcMar>
            <w:vAlign w:val="center"/>
          </w:tcPr>
          <w:p>
            <w:pPr>
              <w:pStyle w:val="TableContents"/>
              <w:bidi w:val="0"/>
              <w:spacing w:before="0" w:after="283"/>
              <w:jc w:val="right"/>
              <w:rPr/>
            </w:pPr>
            <w:r>
              <w:rPr/>
              <w:t>—</w:t>
            </w:r>
          </w:p>
        </w:tc>
      </w:tr>
      <w:tr>
        <w:trPr/>
        <w:tc>
          <w:tcPr>
            <w:tcW w:w="5030" w:type="dxa"/>
            <w:tcBorders>
              <w:bottom w:val="single" w:sz="8" w:space="0" w:color="E5F5FD"/>
              <w:right w:val="single" w:sz="8" w:space="0" w:color="E5F5FD"/>
            </w:tcBorders>
            <w:shd w:fill="EEF8FD" w:val="clear"/>
            <w:tcMar>
              <w:bottom w:w="5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Adjusted EBITDA</w:t>
            </w:r>
          </w:p>
        </w:tc>
        <w:tc>
          <w:tcPr>
            <w:tcW w:w="848" w:type="dxa"/>
            <w:tcBorders>
              <w:bottom w:val="single" w:sz="8" w:space="0" w:color="E5F5FD"/>
              <w:right w:val="single" w:sz="8" w:space="0" w:color="E5F5FD"/>
            </w:tcBorders>
            <w:shd w:fill="EEF8FD" w:val="clear"/>
            <w:tcMar>
              <w:bottom w:w="50" w:type="dxa"/>
              <w:right w:w="108"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(6,452)</w:t>
            </w:r>
          </w:p>
        </w:tc>
        <w:tc>
          <w:tcPr>
            <w:tcW w:w="688" w:type="dxa"/>
            <w:tcBorders>
              <w:bottom w:val="single" w:sz="8" w:space="0" w:color="E5F5FD"/>
              <w:right w:val="single" w:sz="8" w:space="0" w:color="E5F5FD"/>
            </w:tcBorders>
            <w:shd w:fill="EEF8FD" w:val="clear"/>
            <w:tcMar>
              <w:bottom w:w="50" w:type="dxa"/>
              <w:right w:w="108"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26,718</w:t>
            </w:r>
          </w:p>
        </w:tc>
        <w:tc>
          <w:tcPr>
            <w:tcW w:w="868" w:type="dxa"/>
            <w:tcBorders>
              <w:bottom w:val="single" w:sz="8" w:space="0" w:color="E5F5FD"/>
            </w:tcBorders>
            <w:shd w:fill="EEF8FD" w:val="clear"/>
            <w:tcMar>
              <w:bottom w:w="50" w:type="dxa"/>
              <w:right w:w="0"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(224)</w:t>
            </w:r>
          </w:p>
        </w:tc>
      </w:tr>
    </w:tbl>
    <w:p>
      <w:pPr>
        <w:pStyle w:val="TextBody"/>
        <w:bidi w:val="0"/>
        <w:spacing w:before="0" w:after="0"/>
        <w:jc w:val="left"/>
        <w:rPr>
          <w:caps w:val="false"/>
          <w:smallCaps w:val="false"/>
          <w:color w:val="0062AF"/>
          <w:bdr w:val="single" w:sz="2" w:space="1" w:color="6ECBF3"/>
        </w:rPr>
      </w:pPr>
      <w:r>
        <w:rPr>
          <w:caps w:val="false"/>
          <w:smallCaps w:val="false"/>
          <w:color w:val="0062AF"/>
          <w:bdr w:val="single" w:sz="2" w:space="1" w:color="6ECBF3"/>
        </w:rPr>
        <w:t> </w:t>
      </w:r>
    </w:p>
    <w:p>
      <w:pPr>
        <w:pStyle w:val="TextBody"/>
        <w:bidi w:val="0"/>
        <w:spacing w:before="0" w:after="120"/>
        <w:jc w:val="left"/>
        <w:rPr>
          <w:rFonts w:ascii="Arial;Helvetica;Sans-Serif" w:hAnsi="Arial;Helvetica;Sans-Serif"/>
          <w:b w:val="false"/>
          <w:i w:val="false"/>
          <w:caps w:val="false"/>
          <w:smallCaps w:val="false"/>
          <w:color w:val="0062AF"/>
          <w:sz w:val="20"/>
          <w:bdr w:val="single" w:sz="2" w:space="1" w:color="6ECBF3"/>
        </w:rPr>
      </w:pPr>
      <w:bookmarkStart w:id="64" w:name="lmnrdef14aa060"/>
      <w:bookmarkEnd w:id="64"/>
      <w:r>
        <w:rPr>
          <w:rFonts w:ascii="Arial;Helvetica;Sans-Serif" w:hAnsi="Arial;Helvetica;Sans-Serif"/>
          <w:b/>
          <w:i/>
          <w:caps w:val="false"/>
          <w:smallCaps w:val="false"/>
          <w:color w:val="0062AF"/>
          <w:sz w:val="20"/>
          <w:bdr w:val="single" w:sz="2" w:space="1" w:color="6ECBF3"/>
        </w:rPr>
        <w:t>Annual Equity Incentive Awards</w:t>
      </w:r>
      <w:r>
        <w:rPr>
          <w:rFonts w:ascii="Arial;Helvetica;Sans-Serif" w:hAnsi="Arial;Helvetica;Sans-Serif"/>
          <w:b w:val="false"/>
          <w:i w:val="false"/>
          <w:caps w:val="false"/>
          <w:smallCaps w:val="false"/>
          <w:color w:val="0062AF"/>
          <w:sz w:val="20"/>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It is our objective to have a substantial portion of each NEO’s compensation contingent upon overall corporate performance. Our Compensation Committee believes that annual equity incentive awards for the achievement of defined objectives create value for the Company and align the NEO’s compensation with the interests of our stockholders. Our equity incentive awards are granted to NEOs in the form of restricted stock with vesting based upon performance or time as described below.</w:t>
      </w:r>
    </w:p>
    <w:p>
      <w:pPr>
        <w:pStyle w:val="TextBody"/>
        <w:bidi w:val="0"/>
        <w:spacing w:before="0" w:after="0"/>
        <w:jc w:val="both"/>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In fiscal year 2025, we did not grant any stock options or stock appreciation rights to our NEOs, nor do our NEOs hold any stock options or stock appreciation rights.</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283"/>
        <w:jc w:val="left"/>
        <w:rPr/>
      </w:pPr>
      <w:r>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38</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For fiscal year 2025, the Company continued using a prospective (upfront) value-based approach to granting annual equity incentive awards that was adopted in 2024, with total annual equity incentive award values aligned with market levels, and grants made at the beginning of the fiscal year. These annual grants are a mix of 50% Performance Share-Based Awards and 50% Restricted Share Awards. The strategy was designed to create a range around the 50</w:t>
      </w:r>
      <w:r>
        <w:rPr>
          <w:rFonts w:ascii="Arial;Helvetica;Sans-Serif" w:hAnsi="Arial;Helvetica;Sans-Serif"/>
          <w:b w:val="false"/>
          <w:i w:val="false"/>
          <w:caps w:val="false"/>
          <w:smallCaps w:val="false"/>
          <w:position w:val="6"/>
          <w:sz w:val="14"/>
          <w:sz w:val="18"/>
          <w:bdr w:val="single" w:sz="2" w:space="1" w:color="6ECBF3"/>
        </w:rPr>
        <w:t>th</w:t>
      </w:r>
      <w:r>
        <w:rPr>
          <w:rFonts w:ascii="Arial;Helvetica;Sans-Serif" w:hAnsi="Arial;Helvetica;Sans-Serif"/>
          <w:b w:val="false"/>
          <w:i w:val="false"/>
          <w:caps w:val="false"/>
          <w:smallCaps w:val="false"/>
          <w:sz w:val="18"/>
          <w:bdr w:val="single" w:sz="2" w:space="1" w:color="6ECBF3"/>
        </w:rPr>
        <w:t xml:space="preserve"> percentile of market peer group and survey data prepared and analyzed by Pearl Meyer. The amount of any equity incentive award is equal to the award level as set forth in the Compensation Schedule with the number of shares to be granted calculated based on the closing market share price on November 1 of the applicable year.</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120"/>
        <w:jc w:val="left"/>
        <w:rPr>
          <w:rFonts w:ascii="Arial;Helvetica;Sans-Serif" w:hAnsi="Arial;Helvetica;Sans-Serif"/>
          <w:b w:val="false"/>
          <w:i w:val="false"/>
          <w:caps w:val="false"/>
          <w:smallCaps w:val="false"/>
          <w:color w:val="0062AF"/>
          <w:sz w:val="20"/>
          <w:bdr w:val="single" w:sz="2" w:space="1" w:color="6ECBF3"/>
        </w:rPr>
      </w:pPr>
      <w:bookmarkStart w:id="65" w:name="lmnrdef14aa061"/>
      <w:bookmarkEnd w:id="65"/>
      <w:r>
        <w:rPr>
          <w:rFonts w:ascii="Arial;Helvetica;Sans-Serif" w:hAnsi="Arial;Helvetica;Sans-Serif"/>
          <w:b/>
          <w:i/>
          <w:caps w:val="false"/>
          <w:smallCaps w:val="false"/>
          <w:color w:val="0062AF"/>
          <w:sz w:val="20"/>
          <w:bdr w:val="single" w:sz="2" w:space="1" w:color="6ECBF3"/>
        </w:rPr>
        <w:t>Performance Share-Based Awards</w:t>
      </w:r>
      <w:r>
        <w:rPr>
          <w:rFonts w:ascii="Arial;Helvetica;Sans-Serif" w:hAnsi="Arial;Helvetica;Sans-Serif"/>
          <w:b w:val="false"/>
          <w:i w:val="false"/>
          <w:caps w:val="false"/>
          <w:smallCaps w:val="false"/>
          <w:color w:val="0062AF"/>
          <w:sz w:val="20"/>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Performance Share-Based Awards are subject to the Company’s achievement of certain performance goals, namely, a three-fiscal year CAGR pursuant to which the CAGR of the Company is increased by at least 2% in revenues over the period (“Performance Goal”). The Performance Share-Based Awards are granted to the NEO at the beginning of the Performance Period but are not issued until the Performance Period (as defined below) has been completed and only if the Performance Goal has been met. The actual Performance Share-Based Award, if any, earned by a participant, not in excess of the maximum Performance Share-Based Award, is determined by the Compensation Committee during the ninety (90) days immediately following the end of the Performance Period. Performance Share-Based Awards are subject to the negative discretion of the Compensation Committee even if the Performance Goal is met.</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For fiscal year 2025, the Performance Period for Performance Share-Based Awards is November 1, 2024, through October 31, 2027. To achieve such Performance Share-Based Awards, the Performance Goal is two percent (2%) CAGR for the threshold level of achievement, five percent (5%) CAGR for the target level of achievement, and eight percent (8%) CAGR for the maximum level of achievement, with linear interpolation between each such level of achievement. The target level of achievement is reflected in the Plan Based Awards table below but not included as compensation until the Performance Equity Award is earned.</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6430" w:type="dxa"/>
        <w:jc w:val="left"/>
        <w:tblInd w:w="0" w:type="dxa"/>
        <w:tblLayout w:type="fixed"/>
        <w:tblCellMar>
          <w:top w:w="0" w:type="dxa"/>
          <w:left w:w="0" w:type="dxa"/>
          <w:bottom w:w="0" w:type="dxa"/>
          <w:right w:w="100" w:type="dxa"/>
        </w:tblCellMar>
      </w:tblPr>
      <w:tblGrid>
        <w:gridCol w:w="1790"/>
        <w:gridCol w:w="920"/>
        <w:gridCol w:w="1310"/>
        <w:gridCol w:w="1280"/>
        <w:gridCol w:w="1130"/>
      </w:tblGrid>
      <w:tr>
        <w:trPr/>
        <w:tc>
          <w:tcPr>
            <w:tcW w:w="1790" w:type="dxa"/>
            <w:tcBorders>
              <w:right w:val="single" w:sz="8" w:space="0" w:color="FFFFFF"/>
            </w:tcBorders>
            <w:shd w:fill="D2D6E4" w:val="clear"/>
            <w:vAlign w:val="center"/>
          </w:tcPr>
          <w:p>
            <w:pPr>
              <w:pStyle w:val="TableContents"/>
              <w:bidi w:val="0"/>
              <w:spacing w:before="0" w:after="283"/>
              <w:jc w:val="left"/>
              <w:rPr/>
            </w:pPr>
            <w:r>
              <w:rPr/>
              <w:t> </w:t>
            </w:r>
          </w:p>
        </w:tc>
        <w:tc>
          <w:tcPr>
            <w:tcW w:w="920" w:type="dxa"/>
            <w:tcBorders>
              <w:right w:val="single" w:sz="8" w:space="0" w:color="FFFFFF"/>
            </w:tcBorders>
            <w:shd w:fill="D2D6E4" w:val="clear"/>
            <w:vAlign w:val="center"/>
          </w:tcPr>
          <w:p>
            <w:pPr>
              <w:pStyle w:val="TableContents"/>
              <w:bidi w:val="0"/>
              <w:spacing w:before="0" w:after="283"/>
              <w:jc w:val="left"/>
              <w:rPr/>
            </w:pPr>
            <w:r>
              <w:rPr/>
              <w:t> </w:t>
            </w:r>
          </w:p>
        </w:tc>
        <w:tc>
          <w:tcPr>
            <w:tcW w:w="1310" w:type="dxa"/>
            <w:tcBorders>
              <w:right w:val="single" w:sz="8" w:space="0" w:color="FFFFFF"/>
            </w:tcBorders>
            <w:shd w:fill="D2D6E4" w:val="clear"/>
            <w:vAlign w:val="center"/>
          </w:tcPr>
          <w:p>
            <w:pPr>
              <w:pStyle w:val="TableContents"/>
              <w:bidi w:val="0"/>
              <w:spacing w:before="0" w:after="283"/>
              <w:jc w:val="left"/>
              <w:rPr/>
            </w:pPr>
            <w:r>
              <w:rPr/>
              <w:t> </w:t>
            </w:r>
          </w:p>
        </w:tc>
        <w:tc>
          <w:tcPr>
            <w:tcW w:w="1280" w:type="dxa"/>
            <w:tcBorders>
              <w:right w:val="single" w:sz="8" w:space="0" w:color="FFFFFF"/>
            </w:tcBorders>
            <w:shd w:fill="D2D6E4" w:val="clear"/>
            <w:vAlign w:val="center"/>
          </w:tcPr>
          <w:p>
            <w:pPr>
              <w:pStyle w:val="TableContents"/>
              <w:bidi w:val="0"/>
              <w:spacing w:before="0" w:after="283"/>
              <w:jc w:val="left"/>
              <w:rPr/>
            </w:pPr>
            <w:r>
              <w:rPr/>
              <w:t> </w:t>
            </w:r>
          </w:p>
        </w:tc>
        <w:tc>
          <w:tcPr>
            <w:tcW w:w="1130" w:type="dxa"/>
            <w:tcBorders/>
            <w:shd w:fill="D2D6E4" w:val="clear"/>
            <w:tcMar>
              <w:right w:w="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Mark</w:t>
            </w:r>
          </w:p>
        </w:tc>
      </w:tr>
      <w:tr>
        <w:trPr/>
        <w:tc>
          <w:tcPr>
            <w:tcW w:w="1790" w:type="dxa"/>
            <w:tcBorders>
              <w:right w:val="single" w:sz="8" w:space="0" w:color="FFFFFF"/>
            </w:tcBorders>
            <w:shd w:fill="D2D6E4" w:val="clear"/>
            <w:vAlign w:val="center"/>
          </w:tcPr>
          <w:p>
            <w:pPr>
              <w:pStyle w:val="TableContents"/>
              <w:bidi w:val="0"/>
              <w:spacing w:before="0" w:after="283"/>
              <w:jc w:val="left"/>
              <w:rPr/>
            </w:pPr>
            <w:r>
              <w:rPr/>
              <w:t> </w:t>
            </w:r>
          </w:p>
        </w:tc>
        <w:tc>
          <w:tcPr>
            <w:tcW w:w="920" w:type="dxa"/>
            <w:tcBorders>
              <w:right w:val="single" w:sz="8" w:space="0" w:color="FFFFFF"/>
            </w:tcBorders>
            <w:shd w:fill="D2D6E4" w:val="cle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CAGR</w:t>
            </w:r>
          </w:p>
        </w:tc>
        <w:tc>
          <w:tcPr>
            <w:tcW w:w="1310" w:type="dxa"/>
            <w:tcBorders>
              <w:right w:val="single" w:sz="8" w:space="0" w:color="FFFFFF"/>
            </w:tcBorders>
            <w:shd w:fill="D2D6E4" w:val="cle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Vesting (as % of</w:t>
            </w:r>
          </w:p>
        </w:tc>
        <w:tc>
          <w:tcPr>
            <w:tcW w:w="1280" w:type="dxa"/>
            <w:tcBorders>
              <w:right w:val="single" w:sz="8" w:space="0" w:color="FFFFFF"/>
            </w:tcBorders>
            <w:shd w:fill="D2D6E4" w:val="cle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Harold Edwards</w:t>
            </w:r>
          </w:p>
        </w:tc>
        <w:tc>
          <w:tcPr>
            <w:tcW w:w="1130" w:type="dxa"/>
            <w:tcBorders/>
            <w:shd w:fill="D2D6E4" w:val="clear"/>
            <w:tcMar>
              <w:right w:w="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Palamountain</w:t>
            </w:r>
          </w:p>
        </w:tc>
      </w:tr>
      <w:tr>
        <w:trPr/>
        <w:tc>
          <w:tcPr>
            <w:tcW w:w="1790" w:type="dxa"/>
            <w:tcBorders>
              <w:right w:val="single" w:sz="8" w:space="0" w:color="FFFFFF"/>
            </w:tcBorders>
            <w:shd w:fill="D2D6E4"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CAGR (as % of target)</w:t>
            </w:r>
          </w:p>
        </w:tc>
        <w:tc>
          <w:tcPr>
            <w:tcW w:w="920" w:type="dxa"/>
            <w:tcBorders>
              <w:right w:val="single" w:sz="8" w:space="0" w:color="FFFFFF"/>
            </w:tcBorders>
            <w:shd w:fill="D2D6E4" w:val="cle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w:t>
            </w:r>
          </w:p>
        </w:tc>
        <w:tc>
          <w:tcPr>
            <w:tcW w:w="1310" w:type="dxa"/>
            <w:tcBorders>
              <w:right w:val="single" w:sz="8" w:space="0" w:color="FFFFFF"/>
            </w:tcBorders>
            <w:shd w:fill="D2D6E4" w:val="cle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target)</w:t>
            </w:r>
          </w:p>
        </w:tc>
        <w:tc>
          <w:tcPr>
            <w:tcW w:w="1280" w:type="dxa"/>
            <w:tcBorders>
              <w:right w:val="single" w:sz="8" w:space="0" w:color="FFFFFF"/>
            </w:tcBorders>
            <w:shd w:fill="D2D6E4" w:val="cle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w:t>
            </w:r>
          </w:p>
        </w:tc>
        <w:tc>
          <w:tcPr>
            <w:tcW w:w="1130" w:type="dxa"/>
            <w:tcBorders/>
            <w:shd w:fill="D2D6E4" w:val="clear"/>
            <w:tcMar>
              <w:right w:w="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w:t>
            </w:r>
          </w:p>
        </w:tc>
      </w:tr>
      <w:tr>
        <w:trPr/>
        <w:tc>
          <w:tcPr>
            <w:tcW w:w="1790" w:type="dxa"/>
            <w:tcBorders>
              <w:right w:val="single" w:sz="8" w:space="0" w:color="E5F5FD"/>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Maximum - 8%</w:t>
            </w:r>
          </w:p>
        </w:tc>
        <w:tc>
          <w:tcPr>
            <w:tcW w:w="920" w:type="dxa"/>
            <w:tcBorders>
              <w:right w:val="single" w:sz="8" w:space="0" w:color="E5F5FD"/>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157,733,011</w:t>
            </w:r>
          </w:p>
        </w:tc>
        <w:tc>
          <w:tcPr>
            <w:tcW w:w="1310" w:type="dxa"/>
            <w:tcBorders>
              <w:right w:val="single" w:sz="8" w:space="0" w:color="E5F5FD"/>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200%</w:t>
            </w:r>
          </w:p>
        </w:tc>
        <w:tc>
          <w:tcPr>
            <w:tcW w:w="1280" w:type="dxa"/>
            <w:tcBorders>
              <w:right w:val="single" w:sz="8" w:space="0" w:color="E5F5FD"/>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39,156</w:t>
            </w:r>
          </w:p>
        </w:tc>
        <w:tc>
          <w:tcPr>
            <w:tcW w:w="1130" w:type="dxa"/>
            <w:tcBorders/>
            <w:tcMar>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19,577</w:t>
            </w:r>
          </w:p>
        </w:tc>
      </w:tr>
      <w:tr>
        <w:trPr/>
        <w:tc>
          <w:tcPr>
            <w:tcW w:w="1790" w:type="dxa"/>
            <w:tcBorders>
              <w:right w:val="single" w:sz="8" w:space="0" w:color="E5F5FD"/>
            </w:tcBorders>
            <w:shd w:fill="EEF8FD"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Target - 5%</w:t>
            </w:r>
          </w:p>
        </w:tc>
        <w:tc>
          <w:tcPr>
            <w:tcW w:w="920" w:type="dxa"/>
            <w:tcBorders>
              <w:right w:val="single" w:sz="8" w:space="0" w:color="E5F5FD"/>
            </w:tcBorders>
            <w:shd w:fill="EEF8FD" w:val="cle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144,950,336</w:t>
            </w:r>
          </w:p>
        </w:tc>
        <w:tc>
          <w:tcPr>
            <w:tcW w:w="1310" w:type="dxa"/>
            <w:tcBorders>
              <w:right w:val="single" w:sz="8" w:space="0" w:color="E5F5FD"/>
            </w:tcBorders>
            <w:shd w:fill="EEF8FD" w:val="cle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100%</w:t>
            </w:r>
          </w:p>
        </w:tc>
        <w:tc>
          <w:tcPr>
            <w:tcW w:w="1280" w:type="dxa"/>
            <w:tcBorders>
              <w:right w:val="single" w:sz="8" w:space="0" w:color="E5F5FD"/>
            </w:tcBorders>
            <w:shd w:fill="EEF8FD" w:val="cle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19,578</w:t>
            </w:r>
          </w:p>
        </w:tc>
        <w:tc>
          <w:tcPr>
            <w:tcW w:w="1130" w:type="dxa"/>
            <w:tcBorders/>
            <w:shd w:fill="EEF8FD" w:val="clear"/>
            <w:tcMar>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9,789</w:t>
            </w:r>
          </w:p>
        </w:tc>
      </w:tr>
      <w:tr>
        <w:trPr/>
        <w:tc>
          <w:tcPr>
            <w:tcW w:w="1790" w:type="dxa"/>
            <w:tcBorders>
              <w:bottom w:val="single" w:sz="8" w:space="0" w:color="E5F5FD"/>
              <w:right w:val="single" w:sz="8" w:space="0" w:color="E5F5FD"/>
            </w:tcBorders>
            <w:tcMar>
              <w:bottom w:w="5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Threshold - 2%</w:t>
            </w:r>
          </w:p>
        </w:tc>
        <w:tc>
          <w:tcPr>
            <w:tcW w:w="920" w:type="dxa"/>
            <w:tcBorders>
              <w:bottom w:val="single" w:sz="8" w:space="0" w:color="E5F5FD"/>
              <w:right w:val="single" w:sz="8" w:space="0" w:color="E5F5FD"/>
            </w:tcBorders>
            <w:tcMar>
              <w:bottom w:w="5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132,877,621</w:t>
            </w:r>
          </w:p>
        </w:tc>
        <w:tc>
          <w:tcPr>
            <w:tcW w:w="1310" w:type="dxa"/>
            <w:tcBorders>
              <w:bottom w:val="single" w:sz="8" w:space="0" w:color="E5F5FD"/>
              <w:right w:val="single" w:sz="8" w:space="0" w:color="E5F5FD"/>
            </w:tcBorders>
            <w:tcMar>
              <w:bottom w:w="5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50%</w:t>
            </w:r>
          </w:p>
        </w:tc>
        <w:tc>
          <w:tcPr>
            <w:tcW w:w="1280" w:type="dxa"/>
            <w:tcBorders>
              <w:bottom w:val="single" w:sz="8" w:space="0" w:color="E5F5FD"/>
              <w:right w:val="single" w:sz="8" w:space="0" w:color="E5F5FD"/>
            </w:tcBorders>
            <w:tcMar>
              <w:bottom w:w="5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9,789</w:t>
            </w:r>
          </w:p>
        </w:tc>
        <w:tc>
          <w:tcPr>
            <w:tcW w:w="1130" w:type="dxa"/>
            <w:tcBorders>
              <w:bottom w:val="single" w:sz="8" w:space="0" w:color="E5F5FD"/>
            </w:tcBorders>
            <w:tcMar>
              <w:bottom w:w="50"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4,895</w:t>
            </w:r>
          </w:p>
        </w:tc>
      </w:tr>
    </w:tbl>
    <w:p>
      <w:pPr>
        <w:pStyle w:val="TextBody"/>
        <w:bidi w:val="0"/>
        <w:spacing w:before="0" w:after="0"/>
        <w:jc w:val="left"/>
        <w:rPr>
          <w:caps w:val="false"/>
          <w:smallCaps w:val="false"/>
          <w:color w:val="0062AF"/>
          <w:bdr w:val="single" w:sz="2" w:space="1" w:color="6ECBF3"/>
        </w:rPr>
      </w:pPr>
      <w:r>
        <w:rPr>
          <w:caps w:val="false"/>
          <w:smallCaps w:val="false"/>
          <w:color w:val="0062AF"/>
          <w:bdr w:val="single" w:sz="2" w:space="1" w:color="6ECBF3"/>
        </w:rPr>
        <w:t> </w:t>
      </w:r>
    </w:p>
    <w:p>
      <w:pPr>
        <w:pStyle w:val="TextBody"/>
        <w:bidi w:val="0"/>
        <w:spacing w:before="0" w:after="120"/>
        <w:jc w:val="left"/>
        <w:rPr>
          <w:rFonts w:ascii="Arial;Helvetica;Sans-Serif" w:hAnsi="Arial;Helvetica;Sans-Serif"/>
          <w:b w:val="false"/>
          <w:i w:val="false"/>
          <w:caps w:val="false"/>
          <w:smallCaps w:val="false"/>
          <w:color w:val="0062AF"/>
          <w:sz w:val="20"/>
          <w:bdr w:val="single" w:sz="2" w:space="1" w:color="6ECBF3"/>
        </w:rPr>
      </w:pPr>
      <w:bookmarkStart w:id="66" w:name="lmnrdef14aa062"/>
      <w:bookmarkEnd w:id="66"/>
      <w:r>
        <w:rPr>
          <w:rFonts w:ascii="Arial;Helvetica;Sans-Serif" w:hAnsi="Arial;Helvetica;Sans-Serif"/>
          <w:b/>
          <w:i/>
          <w:caps w:val="false"/>
          <w:smallCaps w:val="false"/>
          <w:color w:val="0062AF"/>
          <w:sz w:val="20"/>
          <w:bdr w:val="single" w:sz="2" w:space="1" w:color="6ECBF3"/>
        </w:rPr>
        <w:t>Restricted Share Awards</w:t>
      </w:r>
      <w:r>
        <w:rPr>
          <w:rFonts w:ascii="Arial;Helvetica;Sans-Serif" w:hAnsi="Arial;Helvetica;Sans-Serif"/>
          <w:b w:val="false"/>
          <w:i w:val="false"/>
          <w:caps w:val="false"/>
          <w:smallCaps w:val="false"/>
          <w:color w:val="0062AF"/>
          <w:sz w:val="20"/>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Restricted Share Awards are up-front annual time-based restricted share awards granted during the first quarter of the fiscal year. The dollar value is generally based on market data and incorporates a two to three (2-3) year glide path to move NEOs and Company Vice Presidents toward the 50</w:t>
      </w:r>
      <w:r>
        <w:rPr>
          <w:rFonts w:ascii="Arial;Helvetica;Sans-Serif" w:hAnsi="Arial;Helvetica;Sans-Serif"/>
          <w:b w:val="false"/>
          <w:i w:val="false"/>
          <w:caps w:val="false"/>
          <w:smallCaps w:val="false"/>
          <w:position w:val="6"/>
          <w:sz w:val="14"/>
          <w:sz w:val="18"/>
          <w:bdr w:val="single" w:sz="2" w:space="1" w:color="6ECBF3"/>
        </w:rPr>
        <w:t>th</w:t>
      </w:r>
      <w:r>
        <w:rPr>
          <w:rFonts w:ascii="Arial;Helvetica;Sans-Serif" w:hAnsi="Arial;Helvetica;Sans-Serif"/>
          <w:b w:val="false"/>
          <w:i w:val="false"/>
          <w:caps w:val="false"/>
          <w:smallCaps w:val="false"/>
          <w:sz w:val="18"/>
          <w:bdr w:val="single" w:sz="2" w:space="1" w:color="6ECBF3"/>
        </w:rPr>
        <w:t xml:space="preserve"> percentile. The Compensation Committee reviews and approves the dollar value after analyzing the Company’s financial performance, budget, and strategic plan. The Compensation Committee believes that Restricted Share Awards are an effective retention tool for our NEOs and create long-term alignment of interests between NEOs and stockholders. The target number of restricted shares is based on the Company’s closing stock price on the first day of the fiscal year. Granted restricted shares vest in three (3) equal tranches on the anniversary of the grant date of the Restricted Share Award.</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For fiscal year 2025, Mr. Edwards received the equivalent of $500,000 or 19,577 restricted shares. Mr. Palamountain received the equivalent of $250,000 or 9,789 restricted shares. The number of restricted shares granted was calculated using the market closing price of $25.54 on November 1, 2024. See “Grants of Plan Based Awards” for additional details.</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120"/>
        <w:jc w:val="left"/>
        <w:rPr>
          <w:rFonts w:ascii="Arial;Helvetica;Sans-Serif" w:hAnsi="Arial;Helvetica;Sans-Serif"/>
          <w:b w:val="false"/>
          <w:i w:val="false"/>
          <w:caps w:val="false"/>
          <w:smallCaps w:val="false"/>
          <w:color w:val="0062AF"/>
          <w:sz w:val="20"/>
          <w:bdr w:val="single" w:sz="2" w:space="1" w:color="6ECBF3"/>
        </w:rPr>
      </w:pPr>
      <w:bookmarkStart w:id="67" w:name="lmnrdef14aa063"/>
      <w:bookmarkEnd w:id="67"/>
      <w:r>
        <w:rPr>
          <w:rFonts w:ascii="Arial;Helvetica;Sans-Serif" w:hAnsi="Arial;Helvetica;Sans-Serif"/>
          <w:b/>
          <w:i/>
          <w:caps w:val="false"/>
          <w:smallCaps w:val="false"/>
          <w:color w:val="0062AF"/>
          <w:sz w:val="20"/>
          <w:bdr w:val="single" w:sz="2" w:space="1" w:color="6ECBF3"/>
        </w:rPr>
        <w:t>Strategic Special Project Bonus</w:t>
      </w:r>
      <w:r>
        <w:rPr>
          <w:rFonts w:ascii="Arial;Helvetica;Sans-Serif" w:hAnsi="Arial;Helvetica;Sans-Serif"/>
          <w:b w:val="false"/>
          <w:i w:val="false"/>
          <w:caps w:val="false"/>
          <w:smallCaps w:val="false"/>
          <w:color w:val="0062AF"/>
          <w:sz w:val="20"/>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In February 2022, the Board approved a strategic plan and roadmap for the next five (5) years with the goal of transitioning the Company to an “asset light” model by monetizing specific assets and rightsizing the Company’s balance sheet. The Compensation Committee in consultation with Pearl Meyer developed the SSP Bonus Program, an incentive program designed to align with the asset-light strategic plan, and related Retention Bonus Agreements (the “Retention Bonus Agreements”) for Messrs. Edwards and Palamountain. Pursuant to the Retention Bonus Agreements, Messrs. Edwards and Palamountain were eligible to receive cash and restricted stock awards totaling five percent (5%) and three percent (3%),</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283"/>
        <w:jc w:val="left"/>
        <w:rPr/>
      </w:pPr>
      <w:r>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39</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color w:val="FF0000"/>
          <w:bdr w:val="single" w:sz="2" w:space="1" w:color="6ECBF3"/>
        </w:rPr>
      </w:pPr>
      <w:r>
        <w:rPr>
          <w:caps w:val="false"/>
          <w:smallCaps w:val="false"/>
          <w:color w:val="FF0000"/>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respectively, of gains on asset sales or development earnings received from the sale of certain land or water assets of the Company or real estate development after the date of the Retention Bonus Agreement through December 31, 2027 (each a ”SSP Bonus” and collectively, the “SSP Bonuses”). The Retention Bonus Agreements did not allow for “double-counting” of the gain on asset sales and development earnings subject to the SSP Bonus Program, and any earnings that were eligible for a SSP Bonus were deducted from the EBITDA calculation that was the subject of such awards. The SSP Bonuses payable to Messrs. Edwards and Palamountain were capped at $3.0 million and $2.1 million annually, and $7.5 million and $4.5 million in total, respectively.</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There were no SSP Bonuses earned for fiscal year 2025.</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120"/>
        <w:jc w:val="left"/>
        <w:rPr>
          <w:rFonts w:ascii="Arial;Helvetica;Sans-Serif" w:hAnsi="Arial;Helvetica;Sans-Serif"/>
          <w:b w:val="false"/>
          <w:i w:val="false"/>
          <w:caps w:val="false"/>
          <w:smallCaps w:val="false"/>
          <w:color w:val="0062AF"/>
          <w:sz w:val="20"/>
          <w:bdr w:val="single" w:sz="2" w:space="1" w:color="6ECBF3"/>
        </w:rPr>
      </w:pPr>
      <w:bookmarkStart w:id="68" w:name="lmnrdef14aa064"/>
      <w:bookmarkEnd w:id="68"/>
      <w:r>
        <w:rPr>
          <w:rFonts w:ascii="Arial;Helvetica;Sans-Serif" w:hAnsi="Arial;Helvetica;Sans-Serif"/>
          <w:b/>
          <w:i/>
          <w:caps w:val="false"/>
          <w:smallCaps w:val="false"/>
          <w:color w:val="0062AF"/>
          <w:sz w:val="20"/>
          <w:bdr w:val="single" w:sz="2" w:space="1" w:color="6ECBF3"/>
        </w:rPr>
        <w:t>Change in Control, Separation or Severance Benefits</w:t>
      </w:r>
      <w:r>
        <w:rPr>
          <w:rFonts w:ascii="Arial;Helvetica;Sans-Serif" w:hAnsi="Arial;Helvetica;Sans-Serif"/>
          <w:b w:val="false"/>
          <w:i w:val="false"/>
          <w:caps w:val="false"/>
          <w:smallCaps w:val="false"/>
          <w:color w:val="0062AF"/>
          <w:sz w:val="20"/>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On July 23, 2024, the Board approved a Change in Control Retention Program and related change in control agreements (the “Change in Control Agreements”) to be entered into with each of the Company’s NEOs, as well as certain other members of management who are not NEOs.</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The Change in Control Agreements are “double-trigger” change in control agreements, which provide that if the NEO is terminated without cause or resigns for good reason during the period (a) commencing upon the earlier of (i) the execution by the Company of a definitive agreement, the consummation of which would constitute a change in control of the Company or (ii) ninety (90) days prior to a change in control of the Company, and (b) ending twelve (12) months after a change in control of the Company, and subject to the NEO’s execution of a release in favor of the Company, the NEO will receive: (x) a payment equal to 200% of the NEO’s base salary at the time of the change in control of the Company, to be paid in a single cash payment, and (y) COBRA continuation coverage for up to twenty-four (24) months following the separation.</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Other than any award in connection with the Change in Control Agreements or Transaction Bonus Agreements, as described below, none of our NEOs are entitled to receive payments or other benefits upon termination of employment except equity acceleration for certain outstanding equity awards pursuant to the 2022 Plan. The 2022 Plan contains provisions that provide for the vesting of options and stock appreciation rights awarded thereunder, if any, as well as the lapse of restrictions on and vesting of all incentive awards issued thereunder upon a change in control or certain termination events.</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120"/>
        <w:jc w:val="left"/>
        <w:rPr>
          <w:rFonts w:ascii="Arial;Helvetica;Sans-Serif" w:hAnsi="Arial;Helvetica;Sans-Serif"/>
          <w:b w:val="false"/>
          <w:i w:val="false"/>
          <w:caps w:val="false"/>
          <w:smallCaps w:val="false"/>
          <w:color w:val="0062AF"/>
          <w:sz w:val="20"/>
          <w:bdr w:val="single" w:sz="2" w:space="1" w:color="6ECBF3"/>
        </w:rPr>
      </w:pPr>
      <w:bookmarkStart w:id="69" w:name="lmnrdef14aa065"/>
      <w:bookmarkEnd w:id="69"/>
      <w:r>
        <w:rPr>
          <w:rFonts w:ascii="Arial;Helvetica;Sans-Serif" w:hAnsi="Arial;Helvetica;Sans-Serif"/>
          <w:b/>
          <w:i/>
          <w:caps w:val="false"/>
          <w:smallCaps w:val="false"/>
          <w:color w:val="0062AF"/>
          <w:sz w:val="20"/>
          <w:bdr w:val="single" w:sz="2" w:space="1" w:color="6ECBF3"/>
        </w:rPr>
        <w:t>Transaction Bonus Program</w:t>
      </w:r>
      <w:r>
        <w:rPr>
          <w:rFonts w:ascii="Arial;Helvetica;Sans-Serif" w:hAnsi="Arial;Helvetica;Sans-Serif"/>
          <w:b w:val="false"/>
          <w:i w:val="false"/>
          <w:caps w:val="false"/>
          <w:smallCaps w:val="false"/>
          <w:color w:val="0062AF"/>
          <w:sz w:val="20"/>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On August 22, 2024, the Board approved, and the Company entered into transaction bonus agreements (“the Transaction Bonus Agreements”) with its NEOs.</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The Transaction Bonus Agreements provide that each NEO will receive a Transaction Bonus, payable in one lump sum, if the NEO is employed on the closing date of a transaction (a “Transaction”) resulting in (i) the sale, lease, transfer, conveyance or other disposition, in one or a series of related transactions, of 80% or more of the assets of the Company to any “person” or related “group” of “persons” (as such terms are used in Sections 13(d) and 14(d)(2) of the Exchange Act); (ii) any person or group becoming the beneficial owner of more than 50% of the total voting power or the Company; or (iii) a change in the majority of the Board in office during any period of two (2) consecutive years during the term of the Transaction Bonus Agreements. The Transaction Bonus Agreements further provide that if the NEO is terminated without cause (as defined in the Transaction Bonus Agreements) within 180 days of the closing of a transaction, the NEO will remain eligible to receive the Transaction Bonus. If the NEOs are terminated (i) by the Company for cause, (ii) by the Company without cause and the closing date of the Transaction occurs after 180 days following separation from service, or (iii) by the NEO for any reason prior to the closing date, the NEO’s eligibility to receive the Transaction Bonus will be cancelled and forfeited in all respects.</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The Transaction Bonus Agreement for Mr. Edwards provides for a base amount of $3,750,000 provided that the price per share of Company Common Stock received in any Transaction is at least $28.00 per share (the “Base Share Price”). Mr. Edwards will receive a greater Transaction Bonus for any increase in share price above the Base Share Price in $0.25 increments up to, but not including $40.00 per share (the “Target Share Price”). If the price per share is equal to the Target Share Price, Mr. Edwards will receive a Transaction Bonus of $5,250,000 (the “Edwards Target Transaction Bonus Amount”). For every $1.00 increase above the Target Share Price, the Edwards Target Transaction Bonus Amount will be increased by $62,500.</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283"/>
        <w:jc w:val="left"/>
        <w:rPr/>
      </w:pPr>
      <w:r>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40</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color w:val="FF0000"/>
          <w:bdr w:val="single" w:sz="2" w:space="1" w:color="6ECBF3"/>
        </w:rPr>
      </w:pPr>
      <w:r>
        <w:rPr>
          <w:caps w:val="false"/>
          <w:smallCaps w:val="false"/>
          <w:color w:val="FF0000"/>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The Transaction Bonus Agreement between the Company and Mr. Palamountain provided for a base amount of $2,225,000, contingent upon the price per share of Common Stock received in any Transaction being at least equal to the Base Share Price. Mr. Palamountain was eligible to receive a greater Transaction Bonus for any increase in share price above the Base Share Price in $0.25 increments up to, but not including, the Target Share Price. If the price per share was equal to the Target Share Price, Mr. Palamountain would have received a Transaction Bonus of $3,150,000 (the “Palamountain Target Transaction Amount”). For every $1.00 increase above the Target Share Price, the Palamountain Target Transaction Bonus Amount would have been increased by $37,500.</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If any Transaction Bonuses would have become payable, the NEOs would have lost their eligibility to receive any SSP Bonuses pursuant to the Retention Bonus Agreements, dated October 26, 2022, between the NEOs and the Company. If any SSP Bonuses were paid during the term of the Transaction Bonus Agreements, any Transaction Bonuses that would have become payable to the NEOs would have been reduced by the amount of such SSP Bonuses.</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120"/>
        <w:jc w:val="left"/>
        <w:rPr>
          <w:rFonts w:ascii="Arial;Helvetica;Sans-Serif" w:hAnsi="Arial;Helvetica;Sans-Serif"/>
          <w:b w:val="false"/>
          <w:i w:val="false"/>
          <w:caps w:val="false"/>
          <w:smallCaps w:val="false"/>
          <w:color w:val="0062AF"/>
          <w:sz w:val="20"/>
          <w:bdr w:val="single" w:sz="2" w:space="1" w:color="6ECBF3"/>
        </w:rPr>
      </w:pPr>
      <w:bookmarkStart w:id="70" w:name="lmnrdef14aa066"/>
      <w:bookmarkEnd w:id="70"/>
      <w:r>
        <w:rPr>
          <w:rFonts w:ascii="Arial;Helvetica;Sans-Serif" w:hAnsi="Arial;Helvetica;Sans-Serif"/>
          <w:b/>
          <w:i/>
          <w:caps w:val="false"/>
          <w:smallCaps w:val="false"/>
          <w:color w:val="0062AF"/>
          <w:sz w:val="20"/>
          <w:bdr w:val="single" w:sz="2" w:space="1" w:color="6ECBF3"/>
        </w:rPr>
        <w:t>Retirement Plans</w:t>
      </w:r>
      <w:r>
        <w:rPr>
          <w:rFonts w:ascii="Arial;Helvetica;Sans-Serif" w:hAnsi="Arial;Helvetica;Sans-Serif"/>
          <w:b w:val="false"/>
          <w:i w:val="false"/>
          <w:caps w:val="false"/>
          <w:smallCaps w:val="false"/>
          <w:color w:val="0062AF"/>
          <w:sz w:val="20"/>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The Compensation Committee believes that retirement programs are important to the Company as they contribute to the Company’s ability to be competitive with its peers and reward our NEOs based on long-term performance of the Company and, therefore, are an important piece of the overall compensation package for the NEOs. For all eligible employees, including our NEOs, the Company sponsors a defined contribution retirement plan maintained under section 401(k) of the Code (the “401(k) Plan”). Under the terms of the 401(k) Plan, eligible employees may elect, beginning the first day of the month following their first day of employment, to defer compensation up to a specified amount of their annual earnings permitted to be deferred under the applicable provisions of the Code. In addition to any deferral contributions made by our employees, the Company contributes to the account of each eligible employee a matching contribution of up to 4% of such employee’s annual compensation. Participant deferral contributions are 100% vested at the time of contribution, and employer matching contributions vest 20% after completion of year one and vest 20% each year until they are 100% vested upon completion of five (5) years of employment. During fiscal year 2025, there were no changes made to our defined contribution plan related to contribution limitations, vesting schedules or eligibility requirements.</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120"/>
        <w:jc w:val="left"/>
        <w:rPr>
          <w:rFonts w:ascii="Arial;Helvetica;Sans-Serif" w:hAnsi="Arial;Helvetica;Sans-Serif"/>
          <w:b w:val="false"/>
          <w:i w:val="false"/>
          <w:caps w:val="false"/>
          <w:smallCaps w:val="false"/>
          <w:color w:val="0062AF"/>
          <w:sz w:val="20"/>
          <w:bdr w:val="single" w:sz="2" w:space="1" w:color="6ECBF3"/>
        </w:rPr>
      </w:pPr>
      <w:bookmarkStart w:id="71" w:name="lmnrdef14aa067"/>
      <w:bookmarkEnd w:id="71"/>
      <w:r>
        <w:rPr>
          <w:rFonts w:ascii="Arial;Helvetica;Sans-Serif" w:hAnsi="Arial;Helvetica;Sans-Serif"/>
          <w:b/>
          <w:i/>
          <w:caps w:val="false"/>
          <w:smallCaps w:val="false"/>
          <w:color w:val="0062AF"/>
          <w:sz w:val="20"/>
          <w:bdr w:val="single" w:sz="2" w:space="1" w:color="6ECBF3"/>
        </w:rPr>
        <w:t>Nonqualified Deferred Compensation</w:t>
      </w:r>
      <w:r>
        <w:rPr>
          <w:rFonts w:ascii="Arial;Helvetica;Sans-Serif" w:hAnsi="Arial;Helvetica;Sans-Serif"/>
          <w:b w:val="false"/>
          <w:i w:val="false"/>
          <w:caps w:val="false"/>
          <w:smallCaps w:val="false"/>
          <w:color w:val="0062AF"/>
          <w:sz w:val="20"/>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None of our NEOs participate in or have account balances in nonqualified defined contribution or other deferred compensation plans maintained by the Company.</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120"/>
        <w:jc w:val="left"/>
        <w:rPr>
          <w:rFonts w:ascii="Arial;Helvetica;Sans-Serif" w:hAnsi="Arial;Helvetica;Sans-Serif"/>
          <w:b w:val="false"/>
          <w:i w:val="false"/>
          <w:caps w:val="false"/>
          <w:smallCaps w:val="false"/>
          <w:color w:val="0062AF"/>
          <w:sz w:val="20"/>
          <w:bdr w:val="single" w:sz="2" w:space="1" w:color="6ECBF3"/>
        </w:rPr>
      </w:pPr>
      <w:bookmarkStart w:id="72" w:name="lmnrdef14aa068"/>
      <w:bookmarkEnd w:id="72"/>
      <w:r>
        <w:rPr>
          <w:rFonts w:ascii="Arial;Helvetica;Sans-Serif" w:hAnsi="Arial;Helvetica;Sans-Serif"/>
          <w:b/>
          <w:i/>
          <w:caps w:val="false"/>
          <w:smallCaps w:val="false"/>
          <w:color w:val="0062AF"/>
          <w:sz w:val="20"/>
          <w:bdr w:val="single" w:sz="2" w:space="1" w:color="6ECBF3"/>
        </w:rPr>
        <w:t>Options and Stock Appreciation Rights</w:t>
      </w:r>
      <w:r>
        <w:rPr>
          <w:rFonts w:ascii="Arial;Helvetica;Sans-Serif" w:hAnsi="Arial;Helvetica;Sans-Serif"/>
          <w:b w:val="false"/>
          <w:i w:val="false"/>
          <w:caps w:val="false"/>
          <w:smallCaps w:val="false"/>
          <w:color w:val="0062AF"/>
          <w:sz w:val="20"/>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Except as otherwise provided in any award agreement pursuant to the 2022 Plan (an “Award Agreement”) or by a committee in a written resolution at the date of grant or thereafter to the extent outstanding awards granted under the 2022 Plan are either assumed, converted or replaced by the resulting entity in the event of a change in control, if a participant’s employment or service is terminated without Cause (as defined below) by the Company or an affiliate or a participant terminates his or her employment or service with the Company or an affiliate for Good Reason (as defined below) if applicable, in either case, during the twelve (12)-month period following a change in control, all outstanding options and stock appreciation rights held by a participant shall become fully exercisable and all restrictions with respect to outstanding awards shall lapse and become vested and non-forfeitable. In fiscal year 2025, we did not grant any stock options or stock appreciation rights to our NEOs nor do our NEOs hold any stock options or stock appreciation rights.</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120"/>
        <w:jc w:val="left"/>
        <w:rPr>
          <w:rFonts w:ascii="Arial;Helvetica;Sans-Serif" w:hAnsi="Arial;Helvetica;Sans-Serif"/>
          <w:b w:val="false"/>
          <w:i w:val="false"/>
          <w:caps w:val="false"/>
          <w:smallCaps w:val="false"/>
          <w:color w:val="0062AF"/>
          <w:sz w:val="20"/>
          <w:bdr w:val="single" w:sz="2" w:space="1" w:color="6ECBF3"/>
        </w:rPr>
      </w:pPr>
      <w:bookmarkStart w:id="73" w:name="lmnrdef14aa069"/>
      <w:bookmarkEnd w:id="73"/>
      <w:r>
        <w:rPr>
          <w:rFonts w:ascii="Arial;Helvetica;Sans-Serif" w:hAnsi="Arial;Helvetica;Sans-Serif"/>
          <w:b/>
          <w:i/>
          <w:caps w:val="false"/>
          <w:smallCaps w:val="false"/>
          <w:color w:val="0062AF"/>
          <w:sz w:val="20"/>
          <w:bdr w:val="single" w:sz="2" w:space="1" w:color="6ECBF3"/>
        </w:rPr>
        <w:t>Performance-Based Awards</w:t>
      </w:r>
      <w:r>
        <w:rPr>
          <w:rFonts w:ascii="Arial;Helvetica;Sans-Serif" w:hAnsi="Arial;Helvetica;Sans-Serif"/>
          <w:b w:val="false"/>
          <w:i w:val="false"/>
          <w:caps w:val="false"/>
          <w:smallCaps w:val="false"/>
          <w:color w:val="0062AF"/>
          <w:sz w:val="20"/>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Except as provided in an Award Agreement or by a committee in a written resolution at the date of grant or thereafter, to the extent outstanding awards granted under the 2022 Plan are assumed, converted, or replaced by the resulting entity in the event of a change in control: (i) any outstanding awards that are subject to performance share-based goals shall be converted by the resulting entity as if target performance had been achieved as of the date of the change in control; (ii) each performance-based award with service requirements shall continue to vest with respect to such requirements during the remaining period set forth in the Award Agreement; and (iii) all other awards shall continue to vest (and/or the restrictions thereon shall continue to lapse) during the remaining periods set forth in the Award Agreement.</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283"/>
        <w:jc w:val="left"/>
        <w:rPr/>
      </w:pPr>
      <w:r>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41</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color w:val="FF0000"/>
          <w:bdr w:val="single" w:sz="2" w:space="1" w:color="6ECBF3"/>
        </w:rPr>
      </w:pPr>
      <w:r>
        <w:rPr>
          <w:caps w:val="false"/>
          <w:smallCaps w:val="false"/>
          <w:color w:val="FF0000"/>
          <w:bdr w:val="single" w:sz="2" w:space="1" w:color="6ECBF3"/>
        </w:rPr>
        <w:t> </w:t>
      </w:r>
    </w:p>
    <w:p>
      <w:pPr>
        <w:pStyle w:val="TextBody"/>
        <w:bidi w:val="0"/>
        <w:spacing w:before="0" w:after="120"/>
        <w:jc w:val="left"/>
        <w:rPr>
          <w:rFonts w:ascii="Arial;Helvetica;Sans-Serif" w:hAnsi="Arial;Helvetica;Sans-Serif"/>
          <w:b w:val="false"/>
          <w:i w:val="false"/>
          <w:caps w:val="false"/>
          <w:smallCaps w:val="false"/>
          <w:sz w:val="20"/>
          <w:bdr w:val="single" w:sz="2" w:space="1" w:color="6ECBF3"/>
        </w:rPr>
      </w:pPr>
      <w:bookmarkStart w:id="74" w:name="lmnrdef14aa070"/>
      <w:bookmarkEnd w:id="74"/>
      <w:r>
        <w:rPr>
          <w:rFonts w:ascii="Arial;Helvetica;Sans-Serif" w:hAnsi="Arial;Helvetica;Sans-Serif"/>
          <w:b/>
          <w:i/>
          <w:caps w:val="false"/>
          <w:smallCaps w:val="false"/>
          <w:color w:val="0062AF"/>
          <w:sz w:val="20"/>
          <w:bdr w:val="single" w:sz="2" w:space="1" w:color="6ECBF3"/>
        </w:rPr>
        <w:t>Restricted Stock Awards</w:t>
      </w:r>
      <w:r>
        <w:rPr>
          <w:rFonts w:ascii="Arial;Helvetica;Sans-Serif" w:hAnsi="Arial;Helvetica;Sans-Serif"/>
          <w:b w:val="false"/>
          <w:i w:val="false"/>
          <w:caps w:val="false"/>
          <w:smallCaps w:val="false"/>
          <w:sz w:val="20"/>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Pursuant to Award Agreements for restricted stock, in the event that the employment of a NEO with the Company is terminated by the Company on or after the issue date of an award, other than for Cause, any unvested restricted stock shall become fully vested only in the sole discretion of the Company. The Compensation Committee (or its designee, to the extent permitted under the 2022 Plan) has sole discretion to determine if a NEO’s rights have terminated pursuant to the 2022 Plan and any Award Agreement, including but not limited to the authority to determine the basis for the NEO’s termination of employment. In the event that a NEO remains in continuous employment with the Company or an Affiliate from the issue date of an award until a NEO’s termination due to (i) death, (ii) Disability or (iii) retirement (if the NEO has been employed by the Company for a period of at least the five (5) years immediately preceding the grant date and is age 65 or older), any unvested restricted stock previously issued shall become fully vested.</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For purposes of the above, “Cause” means:</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intentional engagement in any acts or omissions constituting dishonesty, breach of a fiduciary obligation, wrongdoing, or misfeasance, in each case, in connection with a Participant’s duties or otherwise during the course of a Participant’s employment or service with the Company or an Affiliate;</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commission of a felony or the indictment for any felony, including, but not limited to, any felony involving fraud, embezzlement, moral turpitude, or theft;</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intentional and wrongful damaging of property, contractual interests, or business relationships of the Company or an Affiliate;</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intentional and wrongful disclosure of secret processes or confidential information of the Company or an Affiliate in violation of an agreement with, or a policy of, the Company or an Affiliate;</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8223" w:type="dxa"/>
        <w:jc w:val="left"/>
        <w:tblInd w:w="0" w:type="dxa"/>
        <w:tblLayout w:type="fixed"/>
        <w:tblCellMar>
          <w:top w:w="0" w:type="dxa"/>
          <w:left w:w="0" w:type="dxa"/>
          <w:bottom w:w="0" w:type="dxa"/>
          <w:right w:w="0" w:type="dxa"/>
        </w:tblCellMar>
      </w:tblPr>
      <w:tblGrid>
        <w:gridCol w:w="38"/>
        <w:gridCol w:w="11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continued failure to substantially perform the Participant’s duties for the Company or an Affiliate;</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5883" w:type="dxa"/>
        <w:jc w:val="left"/>
        <w:tblInd w:w="0" w:type="dxa"/>
        <w:tblLayout w:type="fixed"/>
        <w:tblCellMar>
          <w:top w:w="0" w:type="dxa"/>
          <w:left w:w="0" w:type="dxa"/>
          <w:bottom w:w="0" w:type="dxa"/>
          <w:right w:w="0" w:type="dxa"/>
        </w:tblCellMar>
      </w:tblPr>
      <w:tblGrid>
        <w:gridCol w:w="38"/>
        <w:gridCol w:w="110"/>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current alcohol or prescription drug abuse affecting work performance;</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2598" w:type="dxa"/>
        <w:jc w:val="left"/>
        <w:tblInd w:w="0" w:type="dxa"/>
        <w:tblLayout w:type="fixed"/>
        <w:tblCellMar>
          <w:top w:w="0" w:type="dxa"/>
          <w:left w:w="0" w:type="dxa"/>
          <w:bottom w:w="0" w:type="dxa"/>
          <w:right w:w="0" w:type="dxa"/>
        </w:tblCellMar>
      </w:tblPr>
      <w:tblGrid>
        <w:gridCol w:w="38"/>
        <w:gridCol w:w="110"/>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245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current illegal use of drugs; or</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7788" w:type="dxa"/>
        <w:jc w:val="left"/>
        <w:tblInd w:w="0" w:type="dxa"/>
        <w:tblLayout w:type="fixed"/>
        <w:tblCellMar>
          <w:top w:w="0" w:type="dxa"/>
          <w:left w:w="0" w:type="dxa"/>
          <w:bottom w:w="0" w:type="dxa"/>
          <w:right w:w="0" w:type="dxa"/>
        </w:tblCellMar>
      </w:tblPr>
      <w:tblGrid>
        <w:gridCol w:w="38"/>
        <w:gridCol w:w="110"/>
        <w:gridCol w:w="764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764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any intentional conduct contrary to the Company’s or an Affiliate’s written policies or practices.</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Because the applicable Award Agreements of our NEOs do not define “Good Reason,” and such persons are not a party to any employment-related agreement, no NEO is entitled to terminate his or her employment or service for Good Reason.</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For purposes of the above, “Disability” means a NEO is unable to engage in his or her profession due to any medically determinable physical or mental impairment that can be expected to result in death or can be expected to last for a continuous period of not less than twelve (12) months. The Compensation Committee shall certify Disability after consultation with a qualified medical examiner, and shall determine the date of termination after considering the Participant’s position and all applicable laws.</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In the event that Section 409A of the Code and the guidance issued thereunder (collectively, “Section 409A”) applies and any award would be paid to a NEO upon a “separation from service” within the meaning of Section 409A, and no exemption or exclusion from Section 409A shall apply, no award shall be released to any NEO who is a “specified employee” within the meaning of Section 409A until the earlier of the first day of the seventh month after the month of such NEO’s separation from service or the NEO’s death.</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The amounts shown in the following table reflect the potential value to the NEOs, as of the end of fiscal year 2025, of full acceleration of all unvested restricted stock awards upon a change in control of the Company and upon certain termination events. The amounts shown assume that a change in control or termination event was effective as of the last business day of fiscal year 2025 having been October 31, 2025. The closing market price of the Common Stock on October 31, 2025, was $14.13. The amounts below are estimates of the incremental, lump sum amounts that would be received upon a change in control or certain termination events; we can determine the actual amount only at the time of any actual change in control or termination event.</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283"/>
        <w:jc w:val="left"/>
        <w:rPr/>
      </w:pPr>
      <w:r>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42</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i/>
          <w:caps w:val="false"/>
          <w:smallCaps w:val="false"/>
          <w:color w:val="0062AF"/>
          <w:sz w:val="20"/>
          <w:bdr w:val="single" w:sz="2" w:space="1" w:color="6ECBF3"/>
        </w:rPr>
      </w:pPr>
      <w:bookmarkStart w:id="75" w:name="lmnrdef14aa071"/>
      <w:bookmarkEnd w:id="75"/>
      <w:r>
        <w:rPr>
          <w:rFonts w:ascii="Arial;Helvetica;Sans-Serif" w:hAnsi="Arial;Helvetica;Sans-Serif"/>
          <w:b/>
          <w:i/>
          <w:caps w:val="false"/>
          <w:smallCaps w:val="false"/>
          <w:color w:val="0062AF"/>
          <w:sz w:val="20"/>
          <w:bdr w:val="single" w:sz="2" w:space="1" w:color="6ECBF3"/>
        </w:rPr>
        <w:t>Estimated Potential Incremental Payments Upon Change in Control or Certain Termination Events</w:t>
      </w:r>
    </w:p>
    <w:p>
      <w:pPr>
        <w:pStyle w:val="TextBody"/>
        <w:bidi w:val="0"/>
        <w:spacing w:before="0" w:after="0"/>
        <w:jc w:val="left"/>
        <w:rPr>
          <w:caps w:val="false"/>
          <w:smallCaps w:val="false"/>
          <w:color w:val="0062AF"/>
          <w:bdr w:val="single" w:sz="2" w:space="1" w:color="6ECBF3"/>
        </w:rPr>
      </w:pPr>
      <w:r>
        <w:rPr>
          <w:caps w:val="false"/>
          <w:smallCaps w:val="false"/>
          <w:color w:val="0062AF"/>
          <w:bdr w:val="single" w:sz="2" w:space="1" w:color="6ECBF3"/>
        </w:rPr>
        <w:t> </w:t>
      </w:r>
    </w:p>
    <w:tbl>
      <w:tblPr>
        <w:tblW w:w="5338" w:type="dxa"/>
        <w:jc w:val="left"/>
        <w:tblInd w:w="0" w:type="dxa"/>
        <w:tblLayout w:type="fixed"/>
        <w:tblCellMar>
          <w:top w:w="0" w:type="dxa"/>
          <w:left w:w="0" w:type="dxa"/>
          <w:bottom w:w="0" w:type="dxa"/>
          <w:right w:w="100" w:type="dxa"/>
        </w:tblCellMar>
      </w:tblPr>
      <w:tblGrid>
        <w:gridCol w:w="1595"/>
        <w:gridCol w:w="1546"/>
        <w:gridCol w:w="153"/>
        <w:gridCol w:w="1856"/>
        <w:gridCol w:w="188"/>
      </w:tblGrid>
      <w:tr>
        <w:trPr/>
        <w:tc>
          <w:tcPr>
            <w:tcW w:w="1595" w:type="dxa"/>
            <w:tcBorders>
              <w:right w:val="single" w:sz="8" w:space="0" w:color="FFFFFF"/>
            </w:tcBorders>
            <w:shd w:fill="D2D6E4" w:val="clear"/>
            <w:vAlign w:val="center"/>
          </w:tcPr>
          <w:p>
            <w:pPr>
              <w:pStyle w:val="TableContents"/>
              <w:bidi w:val="0"/>
              <w:spacing w:before="0" w:after="283"/>
              <w:jc w:val="left"/>
              <w:rPr>
                <w:caps w:val="false"/>
                <w:smallCaps w:val="false"/>
              </w:rPr>
            </w:pPr>
            <w:r>
              <w:rPr>
                <w:caps w:val="false"/>
                <w:smallCaps w:val="false"/>
              </w:rPr>
              <w:t> </w:t>
            </w:r>
          </w:p>
        </w:tc>
        <w:tc>
          <w:tcPr>
            <w:tcW w:w="1699" w:type="dxa"/>
            <w:gridSpan w:val="2"/>
            <w:tcBorders>
              <w:right w:val="single" w:sz="8" w:space="0" w:color="FFFFFF"/>
            </w:tcBorders>
            <w:shd w:fill="D2D6E4"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16"/>
              </w:rPr>
              <w:t xml:space="preserve">Number of Shares or </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 xml:space="preserve">Units of Stock That </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Have Not Vested</w:t>
            </w:r>
            <w:r>
              <w:rPr>
                <w:rFonts w:ascii="Arial;Helvetica;Sans-Serif" w:hAnsi="Arial;Helvetica;Sans-Serif"/>
                <w:b/>
                <w:i w:val="false"/>
                <w:caps w:val="false"/>
                <w:smallCaps w:val="false"/>
                <w:position w:val="5"/>
                <w:sz w:val="13"/>
                <w:sz w:val="16"/>
              </w:rPr>
              <w:t xml:space="preserve">(1)(2) </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w:t>
            </w:r>
          </w:p>
        </w:tc>
        <w:tc>
          <w:tcPr>
            <w:tcW w:w="2044" w:type="dxa"/>
            <w:gridSpan w:val="2"/>
            <w:tcBorders/>
            <w:shd w:fill="D2D6E4" w:val="clear"/>
            <w:tcMar>
              <w:righ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16"/>
              </w:rPr>
              <w:t>Market Value of Shares or</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 xml:space="preserve">Units of Stock That </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Have Not Vested</w:t>
            </w:r>
            <w:r>
              <w:rPr>
                <w:rFonts w:ascii="Arial;Helvetica;Sans-Serif" w:hAnsi="Arial;Helvetica;Sans-Serif"/>
                <w:b/>
                <w:i w:val="false"/>
                <w:caps w:val="false"/>
                <w:smallCaps w:val="false"/>
                <w:position w:val="5"/>
                <w:sz w:val="13"/>
                <w:sz w:val="16"/>
              </w:rPr>
              <w:t xml:space="preserve">(3) </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w:t>
            </w:r>
          </w:p>
        </w:tc>
      </w:tr>
      <w:tr>
        <w:trPr/>
        <w:tc>
          <w:tcPr>
            <w:tcW w:w="1595" w:type="dxa"/>
            <w:tcBorders>
              <w:bottom w:val="single" w:sz="8" w:space="0" w:color="E5F5FD"/>
              <w:right w:val="single" w:sz="8" w:space="0" w:color="E5F5FD"/>
            </w:tcBorders>
            <w:shd w:fill="FFFFFF" w:val="clear"/>
            <w:tcMar>
              <w:bottom w:w="10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Harold S. Edwards</w:t>
            </w:r>
            <w:r>
              <w:rPr>
                <w:rFonts w:ascii="Arial;Helvetica;Sans-Serif" w:hAnsi="Arial;Helvetica;Sans-Serif"/>
                <w:b w:val="false"/>
                <w:i w:val="false"/>
                <w:caps w:val="false"/>
                <w:smallCaps w:val="false"/>
                <w:position w:val="5"/>
                <w:sz w:val="13"/>
                <w:sz w:val="16"/>
              </w:rPr>
              <w:t>(4)</w:t>
            </w:r>
          </w:p>
        </w:tc>
        <w:tc>
          <w:tcPr>
            <w:tcW w:w="1546" w:type="dxa"/>
            <w:tcBorders>
              <w:bottom w:val="single" w:sz="8" w:space="0" w:color="E5F5FD"/>
            </w:tcBorders>
            <w:shd w:fill="FFFFFF" w:val="clear"/>
            <w:tcMar>
              <w:bottom w:w="10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118,347</w:t>
            </w:r>
          </w:p>
        </w:tc>
        <w:tc>
          <w:tcPr>
            <w:tcW w:w="153" w:type="dxa"/>
            <w:tcBorders>
              <w:bottom w:val="single" w:sz="8" w:space="0" w:color="E5F5FD"/>
              <w:right w:val="single" w:sz="8" w:space="0" w:color="E5F1E7"/>
            </w:tcBorders>
            <w:shd w:fill="FFFFFF" w:val="clear"/>
            <w:tcMar>
              <w:bottom w:w="100" w:type="dxa"/>
            </w:tcMar>
            <w:vAlign w:val="center"/>
          </w:tcPr>
          <w:p>
            <w:pPr>
              <w:pStyle w:val="TableContents"/>
              <w:bidi w:val="0"/>
              <w:spacing w:before="0" w:after="283"/>
              <w:jc w:val="right"/>
              <w:rPr>
                <w:caps w:val="false"/>
                <w:smallCaps w:val="false"/>
              </w:rPr>
            </w:pPr>
            <w:r>
              <w:rPr>
                <w:caps w:val="false"/>
                <w:smallCaps w:val="false"/>
              </w:rPr>
              <w:t> </w:t>
            </w:r>
          </w:p>
        </w:tc>
        <w:tc>
          <w:tcPr>
            <w:tcW w:w="1856" w:type="dxa"/>
            <w:tcBorders>
              <w:bottom w:val="single" w:sz="8" w:space="0" w:color="E5F5FD"/>
            </w:tcBorders>
            <w:shd w:fill="FFFFFF" w:val="clear"/>
            <w:tcMar>
              <w:bottom w:w="10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1,672,243</w:t>
            </w:r>
          </w:p>
        </w:tc>
        <w:tc>
          <w:tcPr>
            <w:tcW w:w="188" w:type="dxa"/>
            <w:tcBorders>
              <w:bottom w:val="single" w:sz="8" w:space="0" w:color="E5F5FD"/>
            </w:tcBorders>
            <w:shd w:fill="FFFFFF" w:val="clear"/>
            <w:tcMar>
              <w:bottom w:w="100" w:type="dxa"/>
              <w:right w:w="0" w:type="dxa"/>
            </w:tcMar>
            <w:vAlign w:val="center"/>
          </w:tcPr>
          <w:p>
            <w:pPr>
              <w:pStyle w:val="TableContents"/>
              <w:bidi w:val="0"/>
              <w:spacing w:before="0" w:after="283"/>
              <w:jc w:val="right"/>
              <w:rPr>
                <w:caps w:val="false"/>
                <w:smallCaps w:val="false"/>
              </w:rPr>
            </w:pPr>
            <w:r>
              <w:rPr>
                <w:caps w:val="false"/>
                <w:smallCaps w:val="false"/>
              </w:rPr>
              <w:t> </w:t>
            </w:r>
          </w:p>
        </w:tc>
      </w:tr>
      <w:tr>
        <w:trPr/>
        <w:tc>
          <w:tcPr>
            <w:tcW w:w="1595" w:type="dxa"/>
            <w:tcBorders>
              <w:bottom w:val="single" w:sz="8" w:space="0" w:color="E5F5FD"/>
              <w:right w:val="single" w:sz="8" w:space="0" w:color="E5F5FD"/>
            </w:tcBorders>
            <w:shd w:fill="EEF8FD" w:val="clear"/>
            <w:tcMar>
              <w:bottom w:w="10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Mark Palamountain</w:t>
            </w:r>
            <w:r>
              <w:rPr>
                <w:rFonts w:ascii="Arial;Helvetica;Sans-Serif" w:hAnsi="Arial;Helvetica;Sans-Serif"/>
                <w:b w:val="false"/>
                <w:i w:val="false"/>
                <w:caps w:val="false"/>
                <w:smallCaps w:val="false"/>
                <w:position w:val="5"/>
                <w:sz w:val="13"/>
                <w:sz w:val="16"/>
              </w:rPr>
              <w:t>(5)</w:t>
            </w:r>
          </w:p>
        </w:tc>
        <w:tc>
          <w:tcPr>
            <w:tcW w:w="1546" w:type="dxa"/>
            <w:tcBorders>
              <w:bottom w:val="single" w:sz="8" w:space="0" w:color="E5F5FD"/>
            </w:tcBorders>
            <w:shd w:fill="EEF8FD" w:val="clear"/>
            <w:tcMar>
              <w:bottom w:w="10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64,251</w:t>
            </w:r>
          </w:p>
        </w:tc>
        <w:tc>
          <w:tcPr>
            <w:tcW w:w="153" w:type="dxa"/>
            <w:tcBorders>
              <w:bottom w:val="single" w:sz="8" w:space="0" w:color="E5F5FD"/>
              <w:right w:val="single" w:sz="8" w:space="0" w:color="E5F1E7"/>
            </w:tcBorders>
            <w:shd w:fill="EEF8FD" w:val="clear"/>
            <w:tcMar>
              <w:bottom w:w="100" w:type="dxa"/>
            </w:tcMar>
            <w:vAlign w:val="center"/>
          </w:tcPr>
          <w:p>
            <w:pPr>
              <w:pStyle w:val="TableContents"/>
              <w:bidi w:val="0"/>
              <w:spacing w:before="0" w:after="283"/>
              <w:jc w:val="right"/>
              <w:rPr>
                <w:caps w:val="false"/>
                <w:smallCaps w:val="false"/>
              </w:rPr>
            </w:pPr>
            <w:r>
              <w:rPr>
                <w:caps w:val="false"/>
                <w:smallCaps w:val="false"/>
              </w:rPr>
              <w:t> </w:t>
            </w:r>
          </w:p>
        </w:tc>
        <w:tc>
          <w:tcPr>
            <w:tcW w:w="1856" w:type="dxa"/>
            <w:tcBorders>
              <w:bottom w:val="single" w:sz="8" w:space="0" w:color="E5F5FD"/>
            </w:tcBorders>
            <w:shd w:fill="EEF8FD" w:val="clear"/>
            <w:tcMar>
              <w:bottom w:w="10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907,867</w:t>
            </w:r>
          </w:p>
        </w:tc>
        <w:tc>
          <w:tcPr>
            <w:tcW w:w="188" w:type="dxa"/>
            <w:tcBorders>
              <w:bottom w:val="single" w:sz="8" w:space="0" w:color="E5F5FD"/>
            </w:tcBorders>
            <w:shd w:fill="EEF8FD" w:val="clear"/>
            <w:tcMar>
              <w:bottom w:w="100" w:type="dxa"/>
              <w:right w:w="0" w:type="dxa"/>
            </w:tcMar>
            <w:vAlign w:val="center"/>
          </w:tcPr>
          <w:p>
            <w:pPr>
              <w:pStyle w:val="TableContents"/>
              <w:bidi w:val="0"/>
              <w:spacing w:before="0" w:after="283"/>
              <w:jc w:val="right"/>
              <w:rPr>
                <w:caps w:val="false"/>
                <w:smallCaps w:val="false"/>
              </w:rPr>
            </w:pPr>
            <w:r>
              <w:rPr>
                <w:caps w:val="false"/>
                <w:smallCaps w:val="false"/>
              </w:rPr>
              <w:t> </w:t>
            </w:r>
          </w:p>
        </w:tc>
      </w:tr>
    </w:tbl>
    <w:p>
      <w:pPr>
        <w:pStyle w:val="TextBody"/>
        <w:bidi w:val="0"/>
        <w:jc w:val="left"/>
        <w:rPr>
          <w:bdr w:val="single" w:sz="2" w:space="1" w:color="6ECBF3"/>
        </w:rPr>
      </w:pPr>
      <w:r>
        <w:rPr>
          <w:bdr w:val="single" w:sz="2" w:space="1" w:color="6ECBF3"/>
        </w:rPr>
        <w:t> </w:t>
      </w:r>
    </w:p>
    <w:tbl>
      <w:tblPr>
        <w:tblW w:w="7983" w:type="dxa"/>
        <w:jc w:val="left"/>
        <w:tblInd w:w="0" w:type="dxa"/>
        <w:tblLayout w:type="fixed"/>
        <w:tblCellMar>
          <w:top w:w="0" w:type="dxa"/>
          <w:left w:w="0" w:type="dxa"/>
          <w:bottom w:w="0" w:type="dxa"/>
          <w:right w:w="0" w:type="dxa"/>
        </w:tblCellMar>
      </w:tblPr>
      <w:tblGrid>
        <w:gridCol w:w="38"/>
        <w:gridCol w:w="185"/>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7760"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Information regarding unvested restricted stock held by each NEO is set forth in the Outstanding Equity Awards table below.</w:t>
            </w:r>
          </w:p>
        </w:tc>
      </w:tr>
    </w:tbl>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w:t>
            </w:r>
          </w:p>
        </w:tc>
        <w:tc>
          <w:tcPr>
            <w:tcW w:w="999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Termination events include death, disability, termination other than for cause (in the sole discretion of the Company), retirement, or change of control (in the case of awards granted pursuant to the 2022 Plan).</w:t>
            </w:r>
          </w:p>
        </w:tc>
      </w:tr>
    </w:tbl>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(3)</w:t>
            </w:r>
          </w:p>
        </w:tc>
        <w:tc>
          <w:tcPr>
            <w:tcW w:w="9984"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Total value calculated assuming a change in control or termination event date as of October 31, 2025, using the closing market price on October 31, 2025 at $14.13.</w:t>
            </w:r>
          </w:p>
        </w:tc>
      </w:tr>
    </w:tbl>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(4)</w:t>
            </w:r>
          </w:p>
        </w:tc>
        <w:tc>
          <w:tcPr>
            <w:tcW w:w="999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Mr. Edwards had 49,152 shares of unvested restricted stock as of October 31, 2025. 10,000 of these restricted shares were equity-based discretionary retention awards. 39,152 of these restricted shares were equity-based incentive plan awards.</w:t>
            </w:r>
          </w:p>
        </w:tc>
      </w:tr>
    </w:tbl>
    <w:p>
      <w:pPr>
        <w:pStyle w:val="TextBody"/>
        <w:bidi w:val="0"/>
        <w:spacing w:before="0" w:after="0"/>
        <w:ind w:left="360" w:right="0" w:hanging="0"/>
        <w:jc w:val="left"/>
        <w:rPr>
          <w:rFonts w:ascii="Arial;Helvetica;Sans-Serif" w:hAnsi="Arial;Helvetica;Sans-Serif"/>
          <w:b w:val="false"/>
          <w:i w:val="false"/>
          <w:caps w:val="false"/>
          <w:smallCaps w:val="false"/>
          <w:sz w:val="14"/>
          <w:bdr w:val="single" w:sz="2" w:space="1" w:color="6ECBF3"/>
        </w:rPr>
      </w:pPr>
      <w:r>
        <w:rPr>
          <w:rFonts w:ascii="Arial;Helvetica;Sans-Serif" w:hAnsi="Arial;Helvetica;Sans-Serif"/>
          <w:b w:val="false"/>
          <w:i w:val="false"/>
          <w:caps w:val="false"/>
          <w:smallCaps w:val="false"/>
          <w:sz w:val="14"/>
          <w:bdr w:val="single" w:sz="2" w:space="1" w:color="6ECBF3"/>
        </w:rPr>
        <w:t>Mr. Edwards had 69,195 shares of restricted stock vest during fiscal year 2025 on December 18, 2024; December 20, 2024; June 5, 2025; and October 31, 2025.</w:t>
      </w:r>
    </w:p>
    <w:p>
      <w:pPr>
        <w:pStyle w:val="TextBody"/>
        <w:bidi w:val="0"/>
        <w:spacing w:before="0" w:after="0"/>
        <w:ind w:left="360" w:right="0" w:hanging="0"/>
        <w:jc w:val="left"/>
        <w:rPr>
          <w:rFonts w:ascii="Arial;Helvetica;Sans-Serif" w:hAnsi="Arial;Helvetica;Sans-Serif"/>
          <w:b w:val="false"/>
          <w:i w:val="false"/>
          <w:caps w:val="false"/>
          <w:smallCaps w:val="false"/>
          <w:sz w:val="14"/>
          <w:bdr w:val="single" w:sz="2" w:space="1" w:color="6ECBF3"/>
        </w:rPr>
      </w:pPr>
      <w:r>
        <w:rPr>
          <w:rFonts w:ascii="Arial;Helvetica;Sans-Serif" w:hAnsi="Arial;Helvetica;Sans-Serif"/>
          <w:b w:val="false"/>
          <w:i w:val="false"/>
          <w:caps w:val="false"/>
          <w:smallCaps w:val="false"/>
          <w:sz w:val="14"/>
          <w:bdr w:val="single" w:sz="2" w:space="1" w:color="6ECBF3"/>
        </w:rPr>
        <w:t>10,000 of these restricted shares were from equity-based discretionary retention awards granted December 20, 2022.</w:t>
      </w:r>
    </w:p>
    <w:p>
      <w:pPr>
        <w:pStyle w:val="TextBody"/>
        <w:bidi w:val="0"/>
        <w:spacing w:before="0" w:after="0"/>
        <w:ind w:left="360" w:right="0" w:hanging="0"/>
        <w:jc w:val="left"/>
        <w:rPr>
          <w:rFonts w:ascii="Arial;Helvetica;Sans-Serif" w:hAnsi="Arial;Helvetica;Sans-Serif"/>
          <w:b w:val="false"/>
          <w:i w:val="false"/>
          <w:caps w:val="false"/>
          <w:smallCaps w:val="false"/>
          <w:sz w:val="14"/>
          <w:bdr w:val="single" w:sz="2" w:space="1" w:color="6ECBF3"/>
        </w:rPr>
      </w:pPr>
      <w:r>
        <w:rPr>
          <w:rFonts w:ascii="Arial;Helvetica;Sans-Serif" w:hAnsi="Arial;Helvetica;Sans-Serif"/>
          <w:b w:val="false"/>
          <w:i w:val="false"/>
          <w:caps w:val="false"/>
          <w:smallCaps w:val="false"/>
          <w:sz w:val="14"/>
          <w:bdr w:val="single" w:sz="2" w:space="1" w:color="6ECBF3"/>
        </w:rPr>
        <w:t>59,195 of these restricted shares were equity-based incentive plan awards granted December 20, 2022; November 1, 2023; December 18, 2023; and June 6, 2024.</w:t>
      </w:r>
    </w:p>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(5)</w:t>
            </w:r>
          </w:p>
        </w:tc>
        <w:tc>
          <w:tcPr>
            <w:tcW w:w="999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Mr. Palamountain had 25,254 shares of unvested restricted stock as of October 31, 2025. 5,000 of these restricted shares were equity-based discretionary retention awards. 20,254 of these restricted shares were equity-based incentive plan awards.</w:t>
            </w:r>
          </w:p>
        </w:tc>
      </w:tr>
    </w:tbl>
    <w:p>
      <w:pPr>
        <w:pStyle w:val="TextBody"/>
        <w:bidi w:val="0"/>
        <w:spacing w:before="0" w:after="0"/>
        <w:ind w:left="360" w:right="0" w:hanging="0"/>
        <w:jc w:val="left"/>
        <w:rPr>
          <w:rFonts w:ascii="Arial;Helvetica;Sans-Serif" w:hAnsi="Arial;Helvetica;Sans-Serif"/>
          <w:b w:val="false"/>
          <w:i w:val="false"/>
          <w:caps w:val="false"/>
          <w:smallCaps w:val="false"/>
          <w:sz w:val="14"/>
          <w:bdr w:val="single" w:sz="2" w:space="1" w:color="6ECBF3"/>
        </w:rPr>
      </w:pPr>
      <w:r>
        <w:rPr>
          <w:rFonts w:ascii="Arial;Helvetica;Sans-Serif" w:hAnsi="Arial;Helvetica;Sans-Serif"/>
          <w:b w:val="false"/>
          <w:i w:val="false"/>
          <w:caps w:val="false"/>
          <w:smallCaps w:val="false"/>
          <w:sz w:val="14"/>
          <w:bdr w:val="single" w:sz="2" w:space="1" w:color="6ECBF3"/>
        </w:rPr>
        <w:t>Mr. Palamountain had 38,998 shares of restricted stock vest during fiscal year 2025 on December 18, 2024; December 20, 2024; June 5, 2025; and October 31, 2025.</w:t>
      </w:r>
    </w:p>
    <w:p>
      <w:pPr>
        <w:pStyle w:val="TextBody"/>
        <w:bidi w:val="0"/>
        <w:spacing w:before="0" w:after="0"/>
        <w:ind w:left="360" w:right="0" w:hanging="0"/>
        <w:jc w:val="left"/>
        <w:rPr>
          <w:rFonts w:ascii="Arial;Helvetica;Sans-Serif" w:hAnsi="Arial;Helvetica;Sans-Serif"/>
          <w:b w:val="false"/>
          <w:i w:val="false"/>
          <w:caps w:val="false"/>
          <w:smallCaps w:val="false"/>
          <w:sz w:val="14"/>
          <w:bdr w:val="single" w:sz="2" w:space="1" w:color="6ECBF3"/>
        </w:rPr>
      </w:pPr>
      <w:r>
        <w:rPr>
          <w:rFonts w:ascii="Arial;Helvetica;Sans-Serif" w:hAnsi="Arial;Helvetica;Sans-Serif"/>
          <w:b w:val="false"/>
          <w:i w:val="false"/>
          <w:caps w:val="false"/>
          <w:smallCaps w:val="false"/>
          <w:sz w:val="14"/>
          <w:bdr w:val="single" w:sz="2" w:space="1" w:color="6ECBF3"/>
        </w:rPr>
        <w:t>5,000 of these restricted shares were from equity-based discretionary retention awards granted December 20, 2022.</w:t>
      </w:r>
    </w:p>
    <w:p>
      <w:pPr>
        <w:pStyle w:val="TextBody"/>
        <w:bidi w:val="0"/>
        <w:spacing w:before="0" w:after="0"/>
        <w:ind w:left="360" w:right="0" w:hanging="0"/>
        <w:jc w:val="left"/>
        <w:rPr>
          <w:rFonts w:ascii="Arial;Helvetica;Sans-Serif" w:hAnsi="Arial;Helvetica;Sans-Serif"/>
          <w:b w:val="false"/>
          <w:i w:val="false"/>
          <w:caps w:val="false"/>
          <w:smallCaps w:val="false"/>
          <w:sz w:val="14"/>
          <w:bdr w:val="single" w:sz="2" w:space="1" w:color="6ECBF3"/>
        </w:rPr>
      </w:pPr>
      <w:r>
        <w:rPr>
          <w:rFonts w:ascii="Arial;Helvetica;Sans-Serif" w:hAnsi="Arial;Helvetica;Sans-Serif"/>
          <w:b w:val="false"/>
          <w:i w:val="false"/>
          <w:caps w:val="false"/>
          <w:smallCaps w:val="false"/>
          <w:sz w:val="14"/>
          <w:bdr w:val="single" w:sz="2" w:space="1" w:color="6ECBF3"/>
        </w:rPr>
        <w:t>33,998 of these restricted shares were equity-based incentive plan awards granted December 20, 2022; November 1, 2023; December 18, 2023; and June 6, 2024.</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i/>
          <w:caps w:val="false"/>
          <w:smallCaps w:val="false"/>
          <w:color w:val="0062AF"/>
          <w:sz w:val="20"/>
          <w:bdr w:val="single" w:sz="2" w:space="1" w:color="6ECBF3"/>
        </w:rPr>
      </w:pPr>
      <w:bookmarkStart w:id="76" w:name="lmnrdef14aa072"/>
      <w:bookmarkEnd w:id="76"/>
      <w:r>
        <w:rPr>
          <w:rFonts w:ascii="Arial;Helvetica;Sans-Serif" w:hAnsi="Arial;Helvetica;Sans-Serif"/>
          <w:b/>
          <w:i/>
          <w:caps w:val="false"/>
          <w:smallCaps w:val="false"/>
          <w:color w:val="0062AF"/>
          <w:sz w:val="20"/>
          <w:bdr w:val="single" w:sz="2" w:space="1" w:color="6ECBF3"/>
        </w:rPr>
        <w:t>Perquisites and Other Personal Benefits</w:t>
      </w:r>
    </w:p>
    <w:p>
      <w:pPr>
        <w:pStyle w:val="TextBody"/>
        <w:bidi w:val="0"/>
        <w:spacing w:before="0" w:after="0"/>
        <w:jc w:val="left"/>
        <w:rPr>
          <w:caps w:val="false"/>
          <w:smallCaps w:val="false"/>
          <w:color w:val="0062AF"/>
          <w:bdr w:val="single" w:sz="2" w:space="1" w:color="6ECBF3"/>
        </w:rPr>
      </w:pPr>
      <w:r>
        <w:rPr>
          <w:caps w:val="false"/>
          <w:smallCaps w:val="false"/>
          <w:color w:val="0062AF"/>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The Compensation Committee annually reviews the perquisites that NEOs receive. The primary personal benefits for our NEOs are health and welfare benefits, including medical, dental, vision and life insurance. The NEOs participate in these plans on the same terms as other Company employees. In addition, the Company provides vehicles to the NEOs and to other members of management.</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i/>
          <w:caps w:val="false"/>
          <w:smallCaps w:val="false"/>
          <w:color w:val="0062AF"/>
          <w:sz w:val="20"/>
          <w:bdr w:val="single" w:sz="2" w:space="1" w:color="6ECBF3"/>
        </w:rPr>
      </w:pPr>
      <w:bookmarkStart w:id="77" w:name="lmnrdef14aa073"/>
      <w:bookmarkEnd w:id="77"/>
      <w:r>
        <w:rPr>
          <w:rFonts w:ascii="Arial;Helvetica;Sans-Serif" w:hAnsi="Arial;Helvetica;Sans-Serif"/>
          <w:b/>
          <w:i/>
          <w:caps w:val="false"/>
          <w:smallCaps w:val="false"/>
          <w:color w:val="0062AF"/>
          <w:sz w:val="20"/>
          <w:bdr w:val="single" w:sz="2" w:space="1" w:color="6ECBF3"/>
        </w:rPr>
        <w:t>Employment Agreements</w:t>
      </w:r>
    </w:p>
    <w:p>
      <w:pPr>
        <w:pStyle w:val="TextBody"/>
        <w:bidi w:val="0"/>
        <w:spacing w:before="0" w:after="0"/>
        <w:jc w:val="left"/>
        <w:rPr>
          <w:caps w:val="false"/>
          <w:smallCaps w:val="false"/>
          <w:color w:val="0062AF"/>
          <w:bdr w:val="single" w:sz="2" w:space="1" w:color="6ECBF3"/>
        </w:rPr>
      </w:pPr>
      <w:r>
        <w:rPr>
          <w:caps w:val="false"/>
          <w:smallCaps w:val="false"/>
          <w:color w:val="0062AF"/>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During fiscal year 2025, the Company was not party to any employment agreements with any of our NEOs.</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i/>
          <w:caps w:val="false"/>
          <w:smallCaps w:val="false"/>
          <w:color w:val="0062AF"/>
          <w:sz w:val="20"/>
          <w:bdr w:val="single" w:sz="2" w:space="1" w:color="6ECBF3"/>
        </w:rPr>
      </w:pPr>
      <w:bookmarkStart w:id="78" w:name="lmnrdef14aa074"/>
      <w:bookmarkEnd w:id="78"/>
      <w:r>
        <w:rPr>
          <w:rFonts w:ascii="Arial;Helvetica;Sans-Serif" w:hAnsi="Arial;Helvetica;Sans-Serif"/>
          <w:b/>
          <w:i/>
          <w:caps w:val="false"/>
          <w:smallCaps w:val="false"/>
          <w:color w:val="0062AF"/>
          <w:sz w:val="20"/>
          <w:bdr w:val="single" w:sz="2" w:space="1" w:color="6ECBF3"/>
        </w:rPr>
        <w:t>Hedging and Pledging Policies</w:t>
      </w:r>
    </w:p>
    <w:p>
      <w:pPr>
        <w:pStyle w:val="TextBody"/>
        <w:bidi w:val="0"/>
        <w:spacing w:before="0" w:after="0"/>
        <w:jc w:val="left"/>
        <w:rPr>
          <w:caps w:val="false"/>
          <w:smallCaps w:val="false"/>
          <w:color w:val="0062AF"/>
          <w:bdr w:val="single" w:sz="2" w:space="1" w:color="6ECBF3"/>
        </w:rPr>
      </w:pPr>
      <w:r>
        <w:rPr>
          <w:caps w:val="false"/>
          <w:smallCaps w:val="false"/>
          <w:color w:val="0062AF"/>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Our Insider Trading Policy prohibits all Pre-Clearance Persons from engaging in certain short-term or speculative transactions in Covered Securities.</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Specifically, Pre-Clearance Persons are generally prohibited from engaging in hedging transactions with respect to Covered Securities, short sales of Covered Securities, short-term trading of Covered Securities (subject to certain exceptions), and transactions in put options or call options (or any derivative security that has similar characteristics to those options) on an exchange or in any other organized market. Unless a Pre-Clearance Person obtains advance approval from the compliance officer, these restrictions regarding short-term or speculative transactions also apply to such Pre-Clearance Person’s immediate family members (including his or her spouse), other persons living in such Pre-Clearance Person’s household, and entities over which such Pre-Clearance Person exercises control. The Company generally does not prohibit employees who are not Pre-Clearance Persons from engaging in the above transactions, but the Company strongly discourages all the Company’s employees (including part-time and temporary employees), officers, directors, consultants, and contractors from engaging in such transactions. In addition, Pre-Clearance Persons must obtain prior written approval from the compliance officer before holding Covered Securities in a margin account or pledging Covered Securities as collateral for a loan.</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283"/>
        <w:jc w:val="left"/>
        <w:rPr/>
      </w:pPr>
      <w:r>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43</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i/>
          <w:caps w:val="false"/>
          <w:smallCaps w:val="false"/>
          <w:color w:val="0062AF"/>
          <w:sz w:val="20"/>
          <w:bdr w:val="single" w:sz="2" w:space="1" w:color="6ECBF3"/>
        </w:rPr>
      </w:pPr>
      <w:bookmarkStart w:id="79" w:name="lmnrdef14aa075"/>
      <w:bookmarkEnd w:id="79"/>
      <w:r>
        <w:rPr>
          <w:rFonts w:ascii="Arial;Helvetica;Sans-Serif" w:hAnsi="Arial;Helvetica;Sans-Serif"/>
          <w:b/>
          <w:i/>
          <w:caps w:val="false"/>
          <w:smallCaps w:val="false"/>
          <w:color w:val="0062AF"/>
          <w:sz w:val="20"/>
          <w:bdr w:val="single" w:sz="2" w:space="1" w:color="6ECBF3"/>
        </w:rPr>
        <w:t>Ownership Requirement</w:t>
      </w:r>
    </w:p>
    <w:p>
      <w:pPr>
        <w:pStyle w:val="TextBody"/>
        <w:bidi w:val="0"/>
        <w:spacing w:before="0" w:after="0"/>
        <w:jc w:val="left"/>
        <w:rPr>
          <w:caps w:val="false"/>
          <w:smallCaps w:val="false"/>
          <w:color w:val="0062AF"/>
          <w:bdr w:val="single" w:sz="2" w:space="1" w:color="6ECBF3"/>
        </w:rPr>
      </w:pPr>
      <w:r>
        <w:rPr>
          <w:caps w:val="false"/>
          <w:smallCaps w:val="false"/>
          <w:color w:val="0062AF"/>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Pursuant to our Ownership Guidelines, our NEOs and directors are required to hold shares of our Common Stock having a value equal to the amount indicated in the table below rounded up to the nearest 500 shares (the “Ownership Requirement”).</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3715" w:type="dxa"/>
        <w:jc w:val="left"/>
        <w:tblInd w:w="0" w:type="dxa"/>
        <w:tblLayout w:type="fixed"/>
        <w:tblCellMar>
          <w:top w:w="0" w:type="dxa"/>
          <w:left w:w="0" w:type="dxa"/>
          <w:bottom w:w="0" w:type="dxa"/>
          <w:right w:w="100" w:type="dxa"/>
        </w:tblCellMar>
      </w:tblPr>
      <w:tblGrid>
        <w:gridCol w:w="1715"/>
        <w:gridCol w:w="2000"/>
      </w:tblGrid>
      <w:tr>
        <w:trPr/>
        <w:tc>
          <w:tcPr>
            <w:tcW w:w="1715" w:type="dxa"/>
            <w:tcBorders>
              <w:right w:val="single" w:sz="8" w:space="0" w:color="FFFFFF"/>
            </w:tcBorders>
            <w:shd w:fill="D2D6E4" w:val="cle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Position</w:t>
            </w:r>
          </w:p>
        </w:tc>
        <w:tc>
          <w:tcPr>
            <w:tcW w:w="2000" w:type="dxa"/>
            <w:tcBorders/>
            <w:shd w:fill="D2D6E4" w:val="clear"/>
            <w:tcMar>
              <w:right w:w="0"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Multiple</w:t>
            </w:r>
          </w:p>
        </w:tc>
      </w:tr>
      <w:tr>
        <w:trPr/>
        <w:tc>
          <w:tcPr>
            <w:tcW w:w="1715" w:type="dxa"/>
            <w:tcBorders>
              <w:bottom w:val="single" w:sz="8" w:space="0" w:color="E5F5FD"/>
              <w:right w:val="single" w:sz="8" w:space="0" w:color="E5F1E7"/>
            </w:tcBorders>
            <w:tcMar>
              <w:bottom w:w="10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Chief Executive Officer</w:t>
            </w:r>
          </w:p>
        </w:tc>
        <w:tc>
          <w:tcPr>
            <w:tcW w:w="2000" w:type="dxa"/>
            <w:tcBorders>
              <w:bottom w:val="single" w:sz="8" w:space="0" w:color="E5F5FD"/>
            </w:tcBorders>
            <w:tcMar>
              <w:bottom w:w="100" w:type="dxa"/>
              <w:righ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four (4) times base salary</w:t>
            </w:r>
          </w:p>
        </w:tc>
      </w:tr>
      <w:tr>
        <w:trPr/>
        <w:tc>
          <w:tcPr>
            <w:tcW w:w="1715" w:type="dxa"/>
            <w:tcBorders>
              <w:bottom w:val="single" w:sz="8" w:space="0" w:color="E5F5FD"/>
              <w:right w:val="single" w:sz="8" w:space="0" w:color="E5F1E7"/>
            </w:tcBorders>
            <w:shd w:fill="EEF8FD" w:val="clear"/>
            <w:tcMar>
              <w:bottom w:w="10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Chief Financial Officer</w:t>
            </w:r>
          </w:p>
        </w:tc>
        <w:tc>
          <w:tcPr>
            <w:tcW w:w="2000" w:type="dxa"/>
            <w:tcBorders>
              <w:bottom w:val="single" w:sz="8" w:space="0" w:color="E5F5FD"/>
            </w:tcBorders>
            <w:shd w:fill="EEF8FD" w:val="clear"/>
            <w:tcMar>
              <w:bottom w:w="100" w:type="dxa"/>
              <w:righ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three (3) times base salary</w:t>
            </w:r>
          </w:p>
        </w:tc>
      </w:tr>
      <w:tr>
        <w:trPr/>
        <w:tc>
          <w:tcPr>
            <w:tcW w:w="1715" w:type="dxa"/>
            <w:tcBorders>
              <w:bottom w:val="single" w:sz="8" w:space="0" w:color="E5F5FD"/>
              <w:right w:val="single" w:sz="8" w:space="0" w:color="E5F1E7"/>
            </w:tcBorders>
            <w:tcMar>
              <w:bottom w:w="10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Directors</w:t>
            </w:r>
          </w:p>
        </w:tc>
        <w:tc>
          <w:tcPr>
            <w:tcW w:w="2000" w:type="dxa"/>
            <w:tcBorders>
              <w:bottom w:val="single" w:sz="8" w:space="0" w:color="E5F5FD"/>
            </w:tcBorders>
            <w:tcMar>
              <w:bottom w:w="100" w:type="dxa"/>
              <w:righ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$150,000</w:t>
            </w:r>
          </w:p>
        </w:tc>
      </w:tr>
    </w:tbl>
    <w:p>
      <w:pPr>
        <w:pStyle w:val="TextBody"/>
        <w:bidi w:val="0"/>
        <w:jc w:val="left"/>
        <w:rPr>
          <w:bdr w:val="single" w:sz="2" w:space="1" w:color="6ECBF3"/>
        </w:rPr>
      </w:pPr>
      <w:r>
        <w:rPr>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Common Stock holdings that count towards the Ownership Requirement include:</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8973" w:type="dxa"/>
        <w:jc w:val="left"/>
        <w:tblInd w:w="0" w:type="dxa"/>
        <w:tblLayout w:type="fixed"/>
        <w:tblCellMar>
          <w:top w:w="0" w:type="dxa"/>
          <w:left w:w="0" w:type="dxa"/>
          <w:bottom w:w="0" w:type="dxa"/>
          <w:right w:w="0" w:type="dxa"/>
        </w:tblCellMar>
      </w:tblPr>
      <w:tblGrid>
        <w:gridCol w:w="38"/>
        <w:gridCol w:w="110"/>
        <w:gridCol w:w="882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882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Shares owned directly, including unvested service-based restricted shares and restricted stock units (RSUs);</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Shares held outright by the Covered Executives and Directors, whether acquired through open market purchase, vesting of stock awards or stock option exercise;</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7923" w:type="dxa"/>
        <w:jc w:val="left"/>
        <w:tblInd w:w="0" w:type="dxa"/>
        <w:tblLayout w:type="fixed"/>
        <w:tblCellMar>
          <w:top w:w="0" w:type="dxa"/>
          <w:left w:w="0" w:type="dxa"/>
          <w:bottom w:w="0" w:type="dxa"/>
          <w:right w:w="0" w:type="dxa"/>
        </w:tblCellMar>
      </w:tblPr>
      <w:tblGrid>
        <w:gridCol w:w="38"/>
        <w:gridCol w:w="110"/>
        <w:gridCol w:w="777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7775"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Shares held by the spouse or dependent children of the Covered Executives and Directors; and</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Shares held in trust for the economic benefit of the Covered Executives and Directors, or the spouse or dependent children of the Covered Executives and Directors.</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Common Stock holdings that do not count towards the Ownership Requirement include:</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Unvested restricted shares or RSUs that remain subject to achievement of performance goals (Covered Executives only), such as performance share units;</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4758" w:type="dxa"/>
        <w:jc w:val="left"/>
        <w:tblInd w:w="0" w:type="dxa"/>
        <w:tblLayout w:type="fixed"/>
        <w:tblCellMar>
          <w:top w:w="0" w:type="dxa"/>
          <w:left w:w="0" w:type="dxa"/>
          <w:bottom w:w="0" w:type="dxa"/>
          <w:right w:w="0" w:type="dxa"/>
        </w:tblCellMar>
      </w:tblPr>
      <w:tblGrid>
        <w:gridCol w:w="38"/>
        <w:gridCol w:w="11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4610"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Shares held in a margin account or pledged shares; and</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aps w:val="false"/>
                <w:smallCaps w:val="false"/>
              </w:rPr>
            </w:pPr>
            <w:r>
              <w:rPr>
                <w:caps w:val="false"/>
                <w:smallCaps w:val="false"/>
              </w:rPr>
              <w:t>•</w:t>
            </w:r>
          </w:p>
        </w:tc>
        <w:tc>
          <w:tcPr>
            <w:tcW w:w="10057"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Shares covered under an existing annual 10b5-1 trading plan established prior to the effective date of the Ownership Guidelines will not be counted toward meeting the Ownership Requirement. In addition, establishing any new 10b5-1 plans will not be permitted until the Covered Executive or Director has achieved the Ownership Requirement.</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i/>
          <w:caps w:val="false"/>
          <w:smallCaps w:val="false"/>
          <w:color w:val="0062AF"/>
          <w:sz w:val="20"/>
          <w:bdr w:val="single" w:sz="2" w:space="1" w:color="6ECBF3"/>
        </w:rPr>
      </w:pPr>
      <w:bookmarkStart w:id="80" w:name="lmnrdef14aa076"/>
      <w:bookmarkEnd w:id="80"/>
      <w:r>
        <w:rPr>
          <w:rFonts w:ascii="Arial;Helvetica;Sans-Serif" w:hAnsi="Arial;Helvetica;Sans-Serif"/>
          <w:b/>
          <w:i/>
          <w:caps w:val="false"/>
          <w:smallCaps w:val="false"/>
          <w:color w:val="0062AF"/>
          <w:sz w:val="20"/>
          <w:bdr w:val="single" w:sz="2" w:space="1" w:color="6ECBF3"/>
        </w:rPr>
        <w:t>Other</w:t>
      </w:r>
    </w:p>
    <w:p>
      <w:pPr>
        <w:pStyle w:val="TextBody"/>
        <w:bidi w:val="0"/>
        <w:spacing w:before="0" w:after="0"/>
        <w:jc w:val="left"/>
        <w:rPr>
          <w:caps w:val="false"/>
          <w:smallCaps w:val="false"/>
          <w:color w:val="0062AF"/>
          <w:bdr w:val="single" w:sz="2" w:space="1" w:color="6ECBF3"/>
        </w:rPr>
      </w:pPr>
      <w:r>
        <w:rPr>
          <w:caps w:val="false"/>
          <w:smallCaps w:val="false"/>
          <w:color w:val="0062AF"/>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The Compensation Committee also considers the accounting, tax, and stockholder dilutive costs of specific compensation programs, and seeks to balance the earnings, tax, and dilutive impact of executive compensation plans with the need to attract, retain and motivate highly qualified executives.</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i w:val="false"/>
          <w:caps w:val="false"/>
          <w:smallCaps w:val="false"/>
          <w:color w:val="008DCF"/>
          <w:sz w:val="26"/>
          <w:bdr w:val="single" w:sz="2" w:space="1" w:color="6ECBF3"/>
        </w:rPr>
      </w:pPr>
      <w:r>
        <w:rPr>
          <w:rFonts w:ascii="Arial;Helvetica;Sans-Serif" w:hAnsi="Arial;Helvetica;Sans-Serif"/>
          <w:b/>
          <w:i w:val="false"/>
          <w:caps w:val="false"/>
          <w:smallCaps w:val="false"/>
          <w:color w:val="008DCF"/>
          <w:sz w:val="26"/>
          <w:bdr w:val="single" w:sz="2" w:space="1" w:color="6ECBF3"/>
        </w:rPr>
        <w:t>Elements of Compensation – Changes for Fiscal Year 2026</w:t>
      </w:r>
    </w:p>
    <w:p>
      <w:pPr>
        <w:pStyle w:val="TextBody"/>
        <w:bidi w:val="0"/>
        <w:spacing w:before="0" w:after="0"/>
        <w:jc w:val="left"/>
        <w:rPr>
          <w:caps w:val="false"/>
          <w:smallCaps w:val="false"/>
          <w:color w:val="008DCF"/>
          <w:bdr w:val="single" w:sz="2" w:space="1" w:color="6ECBF3"/>
        </w:rPr>
      </w:pPr>
      <w:r>
        <w:rPr>
          <w:caps w:val="false"/>
          <w:smallCaps w:val="false"/>
          <w:color w:val="008DCF"/>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As described above, the Compensation Committee engaged Pearl Meyer to review executive compensation. Due to the changes in business model, in January 2026 the Board, with the recommendation of Pearl Meyer, determined to retire the SSP Bonus Program and replace it with the PPP Bonus Program, effective February 1, 2026. The Board also approved updates to the Performance Share-Based Awards to align the Company’s compensation program with recent changes in the Company’s business model due to the merger of the Company’s sales and marketing functions into Sunkist.</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i/>
          <w:caps w:val="false"/>
          <w:smallCaps w:val="false"/>
          <w:color w:val="0062AF"/>
          <w:sz w:val="20"/>
          <w:bdr w:val="single" w:sz="2" w:space="1" w:color="6ECBF3"/>
        </w:rPr>
      </w:pPr>
      <w:r>
        <w:rPr>
          <w:rFonts w:ascii="Arial;Helvetica;Sans-Serif" w:hAnsi="Arial;Helvetica;Sans-Serif"/>
          <w:b/>
          <w:i/>
          <w:caps w:val="false"/>
          <w:smallCaps w:val="false"/>
          <w:color w:val="0062AF"/>
          <w:sz w:val="20"/>
          <w:bdr w:val="single" w:sz="2" w:space="1" w:color="6ECBF3"/>
        </w:rPr>
        <w:t>Profit Participation Project Bonus</w:t>
      </w:r>
    </w:p>
    <w:p>
      <w:pPr>
        <w:pStyle w:val="TextBody"/>
        <w:bidi w:val="0"/>
        <w:spacing w:before="0" w:after="0"/>
        <w:jc w:val="left"/>
        <w:rPr>
          <w:caps w:val="false"/>
          <w:smallCaps w:val="false"/>
          <w:color w:val="0062AF"/>
          <w:bdr w:val="single" w:sz="2" w:space="1" w:color="6ECBF3"/>
        </w:rPr>
      </w:pPr>
      <w:r>
        <w:rPr>
          <w:caps w:val="false"/>
          <w:smallCaps w:val="false"/>
          <w:color w:val="0062AF"/>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The Compensation Committee in consultation with Pearl Meyer developed the PPP Bonus Program to incentivize NEOs and certain members of management to monetize or dispose of assets to generate a profit. Mr. Edwards’ Transaction Incentive Agreement (“Transaction Incentive Agreement”) under the PPP Bonus Program is effective as of February 1, 2026, and Mr. Hamm’s Transaction Incentive Agreement is effective as of the date of Mr. Hamm’s appointment as Chief Financial Officer. Pursuant to the Transaction Incentive Agreements, Messrs. Edwards and Hamm are eligible to receive cash and restricted stock awards totaling five percent (5%) and three percent (3%), respectively, of any profit generated from asset sales or development earnings received from the sale of certain land or water assets of the Company or real estate development after the date of the Transaction Incentive Agreements through October 31, 2031 (each a “PPP Bonus” and collectively, the “PPP Bonuses”). The Transaction Incentive Agreements set a five-year aggregate cap for Messrs. Edwards</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283"/>
        <w:jc w:val="left"/>
        <w:rPr/>
      </w:pPr>
      <w:r>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44</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and Hamm of $5.0 million and $3.0 million, respectively, and an annual cap of $2.0 million and $1.2 million, respectively. If profit participation in any given year were to exceed the annual cap, the excess would be deferred and carried forward for potential payment in subsequent years, subject to the remaining aggregate cap. Any payment under the PPP Bonus Program will be made 50% in cash and 50% in restricted stock with a one-year vesting period.</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i/>
          <w:caps w:val="false"/>
          <w:smallCaps w:val="false"/>
          <w:color w:val="0062AF"/>
          <w:sz w:val="20"/>
          <w:bdr w:val="single" w:sz="2" w:space="1" w:color="6ECBF3"/>
        </w:rPr>
      </w:pPr>
      <w:r>
        <w:rPr>
          <w:rFonts w:ascii="Arial;Helvetica;Sans-Serif" w:hAnsi="Arial;Helvetica;Sans-Serif"/>
          <w:b/>
          <w:i/>
          <w:caps w:val="false"/>
          <w:smallCaps w:val="false"/>
          <w:color w:val="0062AF"/>
          <w:sz w:val="20"/>
          <w:bdr w:val="single" w:sz="2" w:space="1" w:color="6ECBF3"/>
        </w:rPr>
        <w:t>Updates to Performance Share-Based Awards</w:t>
      </w:r>
    </w:p>
    <w:p>
      <w:pPr>
        <w:pStyle w:val="TextBody"/>
        <w:bidi w:val="0"/>
        <w:spacing w:before="0" w:after="0"/>
        <w:jc w:val="left"/>
        <w:rPr>
          <w:caps w:val="false"/>
          <w:smallCaps w:val="false"/>
          <w:color w:val="0062AF"/>
          <w:bdr w:val="single" w:sz="2" w:space="1" w:color="6ECBF3"/>
        </w:rPr>
      </w:pPr>
      <w:r>
        <w:rPr>
          <w:caps w:val="false"/>
          <w:smallCaps w:val="false"/>
          <w:color w:val="0062AF"/>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In fiscal year 2026, the Board approved a new Award Agreement with respect to the granting of restricted shares of the Company’s Common Stock, performance-based share awards and performance-based compensation awards under the 2022 Plan. The new Award Agreement replaces the Form of Performance-Based Restricted Share Award Agreement under the 2022 Plan which used the Company’s CAGR as a metric for determining the award. The new Award Agreement metrics are based on budgeted net income and budgeted revenue. The Awards include a double-trigger component whereby the annual net income budget must first be achieved, and then the specific achievement levels will be determined based on annual revenue growth above the annual net income budget levels.</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i w:val="false"/>
          <w:caps w:val="false"/>
          <w:smallCaps w:val="false"/>
          <w:color w:val="008DCF"/>
          <w:sz w:val="24"/>
          <w:bdr w:val="single" w:sz="2" w:space="1" w:color="6ECBF3"/>
        </w:rPr>
      </w:pPr>
      <w:bookmarkStart w:id="81" w:name="lmnrdef14aa077"/>
      <w:bookmarkEnd w:id="81"/>
      <w:r>
        <w:rPr>
          <w:rFonts w:ascii="Arial;Helvetica;Sans-Serif" w:hAnsi="Arial;Helvetica;Sans-Serif"/>
          <w:b/>
          <w:i w:val="false"/>
          <w:caps w:val="false"/>
          <w:smallCaps w:val="false"/>
          <w:color w:val="008DCF"/>
          <w:sz w:val="24"/>
          <w:bdr w:val="single" w:sz="2" w:space="1" w:color="6ECBF3"/>
        </w:rPr>
        <w:t>Chief Executive Officer Pay Ratio</w:t>
      </w:r>
    </w:p>
    <w:p>
      <w:pPr>
        <w:pStyle w:val="TextBody"/>
        <w:bidi w:val="0"/>
        <w:spacing w:before="0" w:after="0"/>
        <w:jc w:val="left"/>
        <w:rPr>
          <w:caps w:val="false"/>
          <w:smallCaps w:val="false"/>
          <w:color w:val="008DCF"/>
          <w:bdr w:val="single" w:sz="2" w:space="1" w:color="6ECBF3"/>
        </w:rPr>
      </w:pPr>
      <w:r>
        <w:rPr>
          <w:caps w:val="false"/>
          <w:smallCaps w:val="false"/>
          <w:color w:val="008DCF"/>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In connection with the Dodd-Frank Wall Street Reform and Consumer Protection Act, as amended, the SEC adopted a rule requiring annual disclosure of the ratio of the annual total compensation (“Total Compensation”) of the Company’s median employee (excluding the Chief Executive Officer), to the Total Compensation of the Company’s Chief Executive Officer (the “CEO Pay Ratio”).</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In identifying the median employee, the Company prepared a list of all employees of the Company, excluding the Chief Executive Officer, along with their annual base wages and salaries (“Annual Earnings”) as of October 31, 2025. The median employee was selected from this list. The median employee’s Total Compensation was then calculated by adding to their Annual Earnings all other compensation for fiscal year 2025, which includes equity incentive awards, annual cash incentives, and nonqualified deferred compensation earnings, Company-paid life insurance premiums, profit sharing and Company contributions made under the 401(k) Plan and personal usage of Company vehicles.</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Based on the information above, the CEO Pay Ratio for fiscal year 2025 is as follows:</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7870" w:type="dxa"/>
        <w:jc w:val="left"/>
        <w:tblInd w:w="0" w:type="dxa"/>
        <w:tblLayout w:type="fixed"/>
        <w:tblCellMar>
          <w:top w:w="100" w:type="dxa"/>
          <w:left w:w="0" w:type="dxa"/>
          <w:bottom w:w="100" w:type="dxa"/>
          <w:right w:w="100" w:type="dxa"/>
        </w:tblCellMar>
      </w:tblPr>
      <w:tblGrid>
        <w:gridCol w:w="7025"/>
        <w:gridCol w:w="845"/>
      </w:tblGrid>
      <w:tr>
        <w:trPr/>
        <w:tc>
          <w:tcPr>
            <w:tcW w:w="7025" w:type="dxa"/>
            <w:tcBorders>
              <w:top w:val="single" w:sz="8" w:space="0" w:color="E5F5FD"/>
              <w:bottom w:val="single" w:sz="8" w:space="0" w:color="E5F5FD"/>
              <w:right w:val="single" w:sz="8" w:space="0" w:color="E5F1E7"/>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Median Employee Total Compensation for Fiscal Year 2025</w:t>
            </w:r>
          </w:p>
        </w:tc>
        <w:tc>
          <w:tcPr>
            <w:tcW w:w="845" w:type="dxa"/>
            <w:tcBorders>
              <w:top w:val="single" w:sz="8" w:space="0" w:color="E5F5FD"/>
              <w:bottom w:val="single" w:sz="8" w:space="0" w:color="E5F5FD"/>
            </w:tcBorders>
            <w:tcMar>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$53,770</w:t>
            </w:r>
          </w:p>
        </w:tc>
      </w:tr>
      <w:tr>
        <w:trPr/>
        <w:tc>
          <w:tcPr>
            <w:tcW w:w="7025" w:type="dxa"/>
            <w:tcBorders>
              <w:bottom w:val="single" w:sz="8" w:space="0" w:color="E5F5FD"/>
              <w:right w:val="single" w:sz="8" w:space="0" w:color="E5F1E7"/>
            </w:tcBorders>
            <w:shd w:fill="EEF8FD"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CEO Total Compensation for Fiscal Year 2025</w:t>
            </w:r>
          </w:p>
        </w:tc>
        <w:tc>
          <w:tcPr>
            <w:tcW w:w="845" w:type="dxa"/>
            <w:tcBorders>
              <w:bottom w:val="single" w:sz="8" w:space="0" w:color="E5F5FD"/>
            </w:tcBorders>
            <w:shd w:fill="EEF8FD" w:val="clear"/>
            <w:tcMar>
              <w:top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$1,277,931</w:t>
            </w:r>
          </w:p>
        </w:tc>
      </w:tr>
      <w:tr>
        <w:trPr/>
        <w:tc>
          <w:tcPr>
            <w:tcW w:w="7025" w:type="dxa"/>
            <w:tcBorders>
              <w:bottom w:val="single" w:sz="8" w:space="0" w:color="E5F5FD"/>
              <w:right w:val="single" w:sz="8" w:space="0" w:color="E5F1E7"/>
            </w:tcBorders>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Ratio of Median Employee Total Compensation to CEO Total Compensation for Fiscal Year 2025</w:t>
            </w:r>
          </w:p>
        </w:tc>
        <w:tc>
          <w:tcPr>
            <w:tcW w:w="845" w:type="dxa"/>
            <w:tcBorders>
              <w:bottom w:val="single" w:sz="8" w:space="0" w:color="E5F5FD"/>
            </w:tcBorders>
            <w:tcMar>
              <w:top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24:1</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The CEO Pay Ratio for fiscal year 2025 includes an annual performance compensation award paid in fiscal year 2025 for fiscal year 2024 performance and an annual restricted share-based award.</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283"/>
        <w:jc w:val="left"/>
        <w:rPr/>
      </w:pPr>
      <w:r>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45</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i w:val="false"/>
          <w:caps w:val="false"/>
          <w:smallCaps w:val="false"/>
          <w:color w:val="008DCF"/>
          <w:sz w:val="24"/>
          <w:bdr w:val="single" w:sz="2" w:space="1" w:color="6ECBF3"/>
        </w:rPr>
      </w:pPr>
      <w:bookmarkStart w:id="82" w:name="lmnrdef14aa078"/>
      <w:bookmarkEnd w:id="82"/>
      <w:r>
        <w:rPr>
          <w:rFonts w:ascii="Arial;Helvetica;Sans-Serif" w:hAnsi="Arial;Helvetica;Sans-Serif"/>
          <w:b/>
          <w:i w:val="false"/>
          <w:caps w:val="false"/>
          <w:smallCaps w:val="false"/>
          <w:color w:val="008DCF"/>
          <w:sz w:val="24"/>
          <w:bdr w:val="single" w:sz="2" w:space="1" w:color="6ECBF3"/>
        </w:rPr>
        <w:t>Summary Compensation Table for Fiscal Years 2025, 2024 and 2023</w:t>
      </w:r>
    </w:p>
    <w:p>
      <w:pPr>
        <w:pStyle w:val="TextBody"/>
        <w:bidi w:val="0"/>
        <w:spacing w:before="0" w:after="0"/>
        <w:jc w:val="left"/>
        <w:rPr>
          <w:caps w:val="false"/>
          <w:smallCaps w:val="false"/>
          <w:color w:val="008DCF"/>
          <w:bdr w:val="single" w:sz="2" w:space="1" w:color="6ECBF3"/>
        </w:rPr>
      </w:pPr>
      <w:r>
        <w:rPr>
          <w:caps w:val="false"/>
          <w:smallCaps w:val="false"/>
          <w:color w:val="008DCF"/>
          <w:bdr w:val="single" w:sz="2" w:space="1" w:color="6ECBF3"/>
        </w:rPr>
        <w:t> </w:t>
      </w:r>
    </w:p>
    <w:tbl>
      <w:tblPr>
        <w:tblW w:w="8600" w:type="dxa"/>
        <w:jc w:val="left"/>
        <w:tblInd w:w="0" w:type="dxa"/>
        <w:tblLayout w:type="fixed"/>
        <w:tblCellMar>
          <w:top w:w="0" w:type="dxa"/>
          <w:left w:w="0" w:type="dxa"/>
          <w:bottom w:w="0" w:type="dxa"/>
          <w:right w:w="0" w:type="dxa"/>
        </w:tblCellMar>
      </w:tblPr>
      <w:tblGrid>
        <w:gridCol w:w="2600"/>
        <w:gridCol w:w="485"/>
        <w:gridCol w:w="605"/>
        <w:gridCol w:w="1445"/>
        <w:gridCol w:w="1355"/>
        <w:gridCol w:w="1355"/>
        <w:gridCol w:w="755"/>
      </w:tblGrid>
      <w:tr>
        <w:trPr/>
        <w:tc>
          <w:tcPr>
            <w:tcW w:w="2600" w:type="dxa"/>
            <w:tcBorders/>
            <w:shd w:fill="D2D6E4" w:val="clear"/>
            <w:vAlign w:val="center"/>
          </w:tcPr>
          <w:p>
            <w:pPr>
              <w:pStyle w:val="TableContents"/>
              <w:bidi w:val="0"/>
              <w:spacing w:before="0" w:after="283"/>
              <w:jc w:val="center"/>
              <w:rPr/>
            </w:pPr>
            <w:r>
              <w:rPr/>
              <w:t> </w:t>
            </w:r>
          </w:p>
        </w:tc>
        <w:tc>
          <w:tcPr>
            <w:tcW w:w="485" w:type="dxa"/>
            <w:tcBorders>
              <w:left w:val="single" w:sz="8" w:space="0" w:color="FFFFFF"/>
            </w:tcBorders>
            <w:shd w:fill="D2D6E4" w:val="clear"/>
            <w:tcMar>
              <w:left w:w="10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b/>
                <w:sz w:val="16"/>
              </w:rPr>
              <w:t>Fiscal</w:t>
            </w:r>
            <w:r>
              <w:rPr>
                <w:rFonts w:ascii="Arial;Helvetica;Sans-Serif" w:hAnsi="Arial;Helvetica;Sans-Serif"/>
                <w:sz w:val="16"/>
              </w:rPr>
              <w:br/>
            </w:r>
            <w:r>
              <w:rPr>
                <w:rFonts w:ascii="Arial;Helvetica;Sans-Serif" w:hAnsi="Arial;Helvetica;Sans-Serif"/>
                <w:b/>
                <w:sz w:val="16"/>
              </w:rPr>
              <w:t>Year</w:t>
            </w:r>
          </w:p>
        </w:tc>
        <w:tc>
          <w:tcPr>
            <w:tcW w:w="605" w:type="dxa"/>
            <w:tcBorders>
              <w:left w:val="single" w:sz="8" w:space="0" w:color="FFFFFF"/>
            </w:tcBorders>
            <w:shd w:fill="D2D6E4" w:val="clear"/>
            <w:tcMar>
              <w:left w:w="10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b/>
                <w:sz w:val="16"/>
              </w:rPr>
              <w:t>Salary</w:t>
            </w:r>
            <w:r>
              <w:rPr>
                <w:rFonts w:ascii="Arial;Helvetica;Sans-Serif" w:hAnsi="Arial;Helvetica;Sans-Serif"/>
                <w:sz w:val="16"/>
              </w:rPr>
              <w:br/>
            </w:r>
            <w:r>
              <w:rPr>
                <w:rFonts w:ascii="Arial;Helvetica;Sans-Serif" w:hAnsi="Arial;Helvetica;Sans-Serif"/>
                <w:b/>
                <w:sz w:val="16"/>
              </w:rPr>
              <w:t>($)</w:t>
            </w:r>
          </w:p>
        </w:tc>
        <w:tc>
          <w:tcPr>
            <w:tcW w:w="1445" w:type="dxa"/>
            <w:tcBorders>
              <w:left w:val="single" w:sz="8" w:space="0" w:color="FFFFFF"/>
            </w:tcBorders>
            <w:shd w:fill="D2D6E4" w:val="clear"/>
            <w:tcMar>
              <w:left w:w="10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b/>
                <w:sz w:val="16"/>
              </w:rPr>
              <w:t>Stock Awards</w:t>
            </w:r>
            <w:r>
              <w:rPr>
                <w:rFonts w:ascii="Arial;Helvetica;Sans-Serif" w:hAnsi="Arial;Helvetica;Sans-Serif"/>
                <w:b/>
                <w:position w:val="5"/>
                <w:sz w:val="13"/>
                <w:sz w:val="16"/>
              </w:rPr>
              <w:t>(1)(3)</w:t>
            </w:r>
            <w:r>
              <w:rPr>
                <w:rFonts w:ascii="Arial;Helvetica;Sans-Serif" w:hAnsi="Arial;Helvetica;Sans-Serif"/>
                <w:sz w:val="16"/>
              </w:rPr>
              <w:br/>
            </w:r>
            <w:r>
              <w:rPr>
                <w:rFonts w:ascii="Arial;Helvetica;Sans-Serif" w:hAnsi="Arial;Helvetica;Sans-Serif"/>
                <w:b/>
                <w:sz w:val="16"/>
              </w:rPr>
              <w:t>($)</w:t>
            </w:r>
          </w:p>
        </w:tc>
        <w:tc>
          <w:tcPr>
            <w:tcW w:w="1355" w:type="dxa"/>
            <w:tcBorders>
              <w:left w:val="single" w:sz="8" w:space="0" w:color="FFFFFF"/>
            </w:tcBorders>
            <w:shd w:fill="D2D6E4" w:val="clear"/>
            <w:tcMar>
              <w:left w:w="10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b/>
                <w:sz w:val="16"/>
              </w:rPr>
              <w:t>Non-Equity</w:t>
            </w:r>
            <w:r>
              <w:rPr>
                <w:rFonts w:ascii="Arial;Helvetica;Sans-Serif" w:hAnsi="Arial;Helvetica;Sans-Serif"/>
                <w:sz w:val="16"/>
              </w:rPr>
              <w:br/>
            </w:r>
            <w:r>
              <w:rPr>
                <w:rFonts w:ascii="Arial;Helvetica;Sans-Serif" w:hAnsi="Arial;Helvetica;Sans-Serif"/>
                <w:b/>
                <w:sz w:val="16"/>
              </w:rPr>
              <w:t>Incentive Plan</w:t>
            </w:r>
            <w:r>
              <w:rPr>
                <w:rFonts w:ascii="Arial;Helvetica;Sans-Serif" w:hAnsi="Arial;Helvetica;Sans-Serif"/>
                <w:sz w:val="16"/>
              </w:rPr>
              <w:br/>
            </w:r>
            <w:r>
              <w:rPr>
                <w:rFonts w:ascii="Arial;Helvetica;Sans-Serif" w:hAnsi="Arial;Helvetica;Sans-Serif"/>
                <w:b/>
                <w:sz w:val="16"/>
              </w:rPr>
              <w:t>Compensation</w:t>
            </w:r>
            <w:r>
              <w:rPr>
                <w:rFonts w:ascii="Arial;Helvetica;Sans-Serif" w:hAnsi="Arial;Helvetica;Sans-Serif"/>
                <w:b/>
                <w:position w:val="5"/>
                <w:sz w:val="13"/>
                <w:sz w:val="16"/>
              </w:rPr>
              <w:t>(2)</w:t>
            </w:r>
            <w:r>
              <w:rPr>
                <w:rFonts w:ascii="Arial;Helvetica;Sans-Serif" w:hAnsi="Arial;Helvetica;Sans-Serif"/>
                <w:sz w:val="16"/>
              </w:rPr>
              <w:br/>
            </w:r>
            <w:r>
              <w:rPr>
                <w:rFonts w:ascii="Arial;Helvetica;Sans-Serif" w:hAnsi="Arial;Helvetica;Sans-Serif"/>
                <w:b/>
                <w:sz w:val="16"/>
              </w:rPr>
              <w:t>($)</w:t>
            </w:r>
          </w:p>
        </w:tc>
        <w:tc>
          <w:tcPr>
            <w:tcW w:w="1355" w:type="dxa"/>
            <w:tcBorders>
              <w:left w:val="single" w:sz="8" w:space="0" w:color="FFFFFF"/>
            </w:tcBorders>
            <w:shd w:fill="D2D6E4" w:val="clear"/>
            <w:tcMar>
              <w:left w:w="10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b/>
                <w:sz w:val="16"/>
              </w:rPr>
              <w:t>All Other</w:t>
            </w:r>
            <w:r>
              <w:rPr>
                <w:rFonts w:ascii="Arial;Helvetica;Sans-Serif" w:hAnsi="Arial;Helvetica;Sans-Serif"/>
                <w:sz w:val="16"/>
              </w:rPr>
              <w:br/>
            </w:r>
            <w:r>
              <w:rPr>
                <w:rFonts w:ascii="Arial;Helvetica;Sans-Serif" w:hAnsi="Arial;Helvetica;Sans-Serif"/>
                <w:b/>
                <w:sz w:val="16"/>
              </w:rPr>
              <w:t>Compensation</w:t>
            </w:r>
            <w:r>
              <w:rPr>
                <w:rFonts w:ascii="Arial;Helvetica;Sans-Serif" w:hAnsi="Arial;Helvetica;Sans-Serif"/>
                <w:b/>
                <w:position w:val="5"/>
                <w:sz w:val="13"/>
                <w:sz w:val="16"/>
              </w:rPr>
              <w:t>(4)</w:t>
            </w:r>
            <w:r>
              <w:rPr>
                <w:rFonts w:ascii="Arial;Helvetica;Sans-Serif" w:hAnsi="Arial;Helvetica;Sans-Serif"/>
                <w:sz w:val="16"/>
              </w:rPr>
              <w:br/>
            </w:r>
            <w:r>
              <w:rPr>
                <w:rFonts w:ascii="Arial;Helvetica;Sans-Serif" w:hAnsi="Arial;Helvetica;Sans-Serif"/>
                <w:b/>
                <w:sz w:val="16"/>
              </w:rPr>
              <w:t>($)</w:t>
            </w:r>
          </w:p>
        </w:tc>
        <w:tc>
          <w:tcPr>
            <w:tcW w:w="755" w:type="dxa"/>
            <w:tcBorders>
              <w:left w:val="single" w:sz="8" w:space="0" w:color="FFFFFF"/>
            </w:tcBorders>
            <w:shd w:fill="D2D6E4" w:val="clear"/>
            <w:tcMar>
              <w:left w:w="10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Total</w:t>
            </w:r>
          </w:p>
        </w:tc>
      </w:tr>
      <w:tr>
        <w:trPr/>
        <w:tc>
          <w:tcPr>
            <w:tcW w:w="2600" w:type="dxa"/>
            <w:vMerge w:val="restart"/>
            <w:tcBorders>
              <w:bottom w:val="single" w:sz="8" w:space="0" w:color="E5F5FD"/>
            </w:tcBorders>
            <w:tcMar>
              <w:bottom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sz w:val="16"/>
              </w:rPr>
              <w:t>Harold Edwards</w:t>
            </w:r>
            <w:r>
              <w:rPr>
                <w:rFonts w:ascii="Times New Roman;Times;Serif" w:hAnsi="Times New Roman;Times;Serif"/>
                <w:b w:val="false"/>
                <w:i w:val="false"/>
                <w:caps w:val="false"/>
                <w:smallCaps w:val="false"/>
                <w:sz w:val="20"/>
              </w:rPr>
              <w:br/>
            </w:r>
            <w:r>
              <w:rPr>
                <w:rFonts w:ascii="Arial;Helvetica;Sans-Serif" w:hAnsi="Arial;Helvetica;Sans-Serif"/>
                <w:b w:val="false"/>
                <w:i w:val="false"/>
                <w:caps w:val="false"/>
                <w:smallCaps w:val="false"/>
                <w:sz w:val="16"/>
              </w:rPr>
              <w:t>President &amp; Chief Executive Officer</w:t>
            </w:r>
          </w:p>
        </w:tc>
        <w:tc>
          <w:tcPr>
            <w:tcW w:w="485" w:type="dxa"/>
            <w:tcBorders>
              <w:left w:val="single" w:sz="8" w:space="0" w:color="E5F5FD"/>
              <w:bottom w:val="single" w:sz="8" w:space="0" w:color="E5F5FD"/>
            </w:tcBorders>
            <w:tcMar>
              <w:left w:w="100" w:type="dxa"/>
              <w:bottom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2025</w:t>
            </w:r>
          </w:p>
        </w:tc>
        <w:tc>
          <w:tcPr>
            <w:tcW w:w="605" w:type="dxa"/>
            <w:tcBorders>
              <w:left w:val="single" w:sz="8" w:space="0" w:color="E5F5FD"/>
              <w:bottom w:val="single" w:sz="8" w:space="0" w:color="E5F5FD"/>
            </w:tcBorders>
            <w:tcMar>
              <w:left w:w="100" w:type="dxa"/>
              <w:bottom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719,250</w:t>
            </w:r>
          </w:p>
        </w:tc>
        <w:tc>
          <w:tcPr>
            <w:tcW w:w="1445" w:type="dxa"/>
            <w:tcBorders>
              <w:left w:val="single" w:sz="8" w:space="0" w:color="E5F5FD"/>
              <w:bottom w:val="single" w:sz="8" w:space="0" w:color="E5F5FD"/>
            </w:tcBorders>
            <w:tcMar>
              <w:left w:w="100" w:type="dxa"/>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499,997</w:t>
            </w:r>
          </w:p>
        </w:tc>
        <w:tc>
          <w:tcPr>
            <w:tcW w:w="1355" w:type="dxa"/>
            <w:tcBorders>
              <w:left w:val="single" w:sz="8" w:space="0" w:color="E5F5FD"/>
              <w:bottom w:val="single" w:sz="8" w:space="0" w:color="E5F5FD"/>
            </w:tcBorders>
            <w:tcMar>
              <w:left w:w="100" w:type="dxa"/>
              <w:bottom w:w="60" w:type="dxa"/>
            </w:tcMar>
            <w:vAlign w:val="center"/>
          </w:tcPr>
          <w:p>
            <w:pPr>
              <w:pStyle w:val="TableContents"/>
              <w:bidi w:val="0"/>
              <w:spacing w:before="0" w:after="283"/>
              <w:jc w:val="right"/>
              <w:rPr/>
            </w:pPr>
            <w:r>
              <w:rPr/>
              <w:t>—</w:t>
            </w:r>
          </w:p>
        </w:tc>
        <w:tc>
          <w:tcPr>
            <w:tcW w:w="1355" w:type="dxa"/>
            <w:tcBorders>
              <w:left w:val="single" w:sz="8" w:space="0" w:color="E5F5FD"/>
              <w:bottom w:val="single" w:sz="8" w:space="0" w:color="E5F5FD"/>
            </w:tcBorders>
            <w:tcMar>
              <w:left w:w="100" w:type="dxa"/>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58,704</w:t>
            </w:r>
          </w:p>
        </w:tc>
        <w:tc>
          <w:tcPr>
            <w:tcW w:w="755" w:type="dxa"/>
            <w:tcBorders>
              <w:left w:val="single" w:sz="8" w:space="0" w:color="E5F1E7"/>
              <w:bottom w:val="single" w:sz="8" w:space="0" w:color="E5F5FD"/>
            </w:tcBorders>
            <w:tcMar>
              <w:left w:w="100" w:type="dxa"/>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1,277,951</w:t>
            </w:r>
          </w:p>
        </w:tc>
      </w:tr>
      <w:tr>
        <w:trPr/>
        <w:tc>
          <w:tcPr>
            <w:tcW w:w="2600" w:type="dxa"/>
            <w:vMerge w:val="continue"/>
            <w:tcBorders>
              <w:bottom w:val="single" w:sz="8" w:space="0" w:color="E5F5FD"/>
            </w:tcBorders>
            <w:tcMar>
              <w:bottom w:w="60" w:type="dxa"/>
            </w:tcMar>
            <w:vAlign w:val="center"/>
          </w:tcPr>
          <w:p>
            <w:pPr>
              <w:pStyle w:val="Normal"/>
              <w:bidi w:val="0"/>
              <w:jc w:val="left"/>
              <w:rPr/>
            </w:pPr>
            <w:r>
              <w:rPr/>
            </w:r>
          </w:p>
        </w:tc>
        <w:tc>
          <w:tcPr>
            <w:tcW w:w="485" w:type="dxa"/>
            <w:tcBorders>
              <w:left w:val="single" w:sz="8" w:space="0" w:color="E5F5FD"/>
              <w:bottom w:val="single" w:sz="8" w:space="0" w:color="E5F5FD"/>
            </w:tcBorders>
            <w:shd w:fill="EEF8FD" w:val="clear"/>
            <w:tcMar>
              <w:left w:w="100" w:type="dxa"/>
              <w:bottom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2024</w:t>
            </w:r>
          </w:p>
        </w:tc>
        <w:tc>
          <w:tcPr>
            <w:tcW w:w="605" w:type="dxa"/>
            <w:tcBorders>
              <w:left w:val="single" w:sz="8" w:space="0" w:color="E5F5FD"/>
              <w:bottom w:val="single" w:sz="8" w:space="0" w:color="E5F5FD"/>
            </w:tcBorders>
            <w:shd w:fill="EEF8FD" w:val="clear"/>
            <w:tcMar>
              <w:left w:w="100" w:type="dxa"/>
              <w:bottom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719,250</w:t>
            </w:r>
          </w:p>
        </w:tc>
        <w:tc>
          <w:tcPr>
            <w:tcW w:w="1445" w:type="dxa"/>
            <w:tcBorders>
              <w:left w:val="single" w:sz="8" w:space="0" w:color="E5F5FD"/>
              <w:bottom w:val="single" w:sz="8" w:space="0" w:color="E5F5FD"/>
            </w:tcBorders>
            <w:shd w:fill="EEF8FD" w:val="clear"/>
            <w:tcMar>
              <w:left w:w="100" w:type="dxa"/>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955,704</w:t>
            </w:r>
          </w:p>
        </w:tc>
        <w:tc>
          <w:tcPr>
            <w:tcW w:w="1355" w:type="dxa"/>
            <w:tcBorders>
              <w:left w:val="single" w:sz="8" w:space="0" w:color="E5F5FD"/>
              <w:bottom w:val="single" w:sz="8" w:space="0" w:color="E5F5FD"/>
            </w:tcBorders>
            <w:shd w:fill="EEF8FD" w:val="clear"/>
            <w:tcMar>
              <w:left w:w="100" w:type="dxa"/>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751,483</w:t>
            </w:r>
          </w:p>
        </w:tc>
        <w:tc>
          <w:tcPr>
            <w:tcW w:w="1355" w:type="dxa"/>
            <w:tcBorders>
              <w:left w:val="single" w:sz="8" w:space="0" w:color="E5F5FD"/>
              <w:bottom w:val="single" w:sz="8" w:space="0" w:color="E5F5FD"/>
            </w:tcBorders>
            <w:shd w:fill="EEF8FD" w:val="clear"/>
            <w:tcMar>
              <w:left w:w="100" w:type="dxa"/>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72,471</w:t>
            </w:r>
          </w:p>
        </w:tc>
        <w:tc>
          <w:tcPr>
            <w:tcW w:w="755" w:type="dxa"/>
            <w:tcBorders>
              <w:left w:val="single" w:sz="8" w:space="0" w:color="E5F1E7"/>
              <w:bottom w:val="single" w:sz="8" w:space="0" w:color="E5F5FD"/>
            </w:tcBorders>
            <w:shd w:fill="EEF8FD" w:val="clear"/>
            <w:tcMar>
              <w:left w:w="100" w:type="dxa"/>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2,498,908</w:t>
            </w:r>
          </w:p>
        </w:tc>
      </w:tr>
      <w:tr>
        <w:trPr/>
        <w:tc>
          <w:tcPr>
            <w:tcW w:w="2600" w:type="dxa"/>
            <w:vMerge w:val="continue"/>
            <w:tcBorders>
              <w:bottom w:val="single" w:sz="8" w:space="0" w:color="E5F5FD"/>
            </w:tcBorders>
            <w:tcMar>
              <w:bottom w:w="60" w:type="dxa"/>
            </w:tcMar>
            <w:vAlign w:val="center"/>
          </w:tcPr>
          <w:p>
            <w:pPr>
              <w:pStyle w:val="Normal"/>
              <w:bidi w:val="0"/>
              <w:jc w:val="left"/>
              <w:rPr/>
            </w:pPr>
            <w:r>
              <w:rPr/>
            </w:r>
          </w:p>
        </w:tc>
        <w:tc>
          <w:tcPr>
            <w:tcW w:w="485" w:type="dxa"/>
            <w:tcBorders>
              <w:left w:val="single" w:sz="8" w:space="0" w:color="E5F5FD"/>
              <w:bottom w:val="single" w:sz="8" w:space="0" w:color="E5F5FD"/>
            </w:tcBorders>
            <w:tcMar>
              <w:left w:w="100" w:type="dxa"/>
              <w:bottom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2023</w:t>
            </w:r>
          </w:p>
        </w:tc>
        <w:tc>
          <w:tcPr>
            <w:tcW w:w="605" w:type="dxa"/>
            <w:tcBorders>
              <w:left w:val="single" w:sz="8" w:space="0" w:color="E5F5FD"/>
              <w:bottom w:val="single" w:sz="8" w:space="0" w:color="E5F5FD"/>
            </w:tcBorders>
            <w:tcMar>
              <w:left w:w="100" w:type="dxa"/>
              <w:bottom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693,299</w:t>
            </w:r>
          </w:p>
        </w:tc>
        <w:tc>
          <w:tcPr>
            <w:tcW w:w="1445" w:type="dxa"/>
            <w:tcBorders>
              <w:left w:val="single" w:sz="8" w:space="0" w:color="E5F5FD"/>
              <w:bottom w:val="single" w:sz="8" w:space="0" w:color="E5F5FD"/>
            </w:tcBorders>
            <w:tcMar>
              <w:left w:w="100" w:type="dxa"/>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1,766,543</w:t>
            </w:r>
          </w:p>
        </w:tc>
        <w:tc>
          <w:tcPr>
            <w:tcW w:w="1355" w:type="dxa"/>
            <w:tcBorders>
              <w:left w:val="single" w:sz="8" w:space="0" w:color="E5F5FD"/>
              <w:bottom w:val="single" w:sz="8" w:space="0" w:color="E5F5FD"/>
            </w:tcBorders>
            <w:tcMar>
              <w:left w:w="100" w:type="dxa"/>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1,124,500</w:t>
            </w:r>
          </w:p>
        </w:tc>
        <w:tc>
          <w:tcPr>
            <w:tcW w:w="1355" w:type="dxa"/>
            <w:tcBorders>
              <w:left w:val="single" w:sz="8" w:space="0" w:color="E5F5FD"/>
              <w:bottom w:val="single" w:sz="8" w:space="0" w:color="E5F5FD"/>
            </w:tcBorders>
            <w:tcMar>
              <w:left w:w="100" w:type="dxa"/>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69,010</w:t>
            </w:r>
          </w:p>
        </w:tc>
        <w:tc>
          <w:tcPr>
            <w:tcW w:w="755" w:type="dxa"/>
            <w:tcBorders>
              <w:left w:val="single" w:sz="8" w:space="0" w:color="E5F1E7"/>
              <w:bottom w:val="single" w:sz="8" w:space="0" w:color="E5F5FD"/>
            </w:tcBorders>
            <w:tcMar>
              <w:left w:w="100" w:type="dxa"/>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3,653,352</w:t>
            </w:r>
          </w:p>
        </w:tc>
      </w:tr>
      <w:tr>
        <w:trPr/>
        <w:tc>
          <w:tcPr>
            <w:tcW w:w="2600" w:type="dxa"/>
            <w:vMerge w:val="restart"/>
            <w:tcBorders>
              <w:bottom w:val="single" w:sz="8" w:space="0" w:color="E5F5FD"/>
            </w:tcBorders>
            <w:shd w:fill="FFFFFF" w:val="clear"/>
            <w:tcMar>
              <w:bottom w:w="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 xml:space="preserve">Mark Palamountain </w:t>
              <w:br/>
              <w:t xml:space="preserve">Executive Vice President </w:t>
              <w:br/>
              <w:t>Chief Financial Officer &amp; Treasurer</w:t>
            </w:r>
          </w:p>
        </w:tc>
        <w:tc>
          <w:tcPr>
            <w:tcW w:w="485" w:type="dxa"/>
            <w:tcBorders>
              <w:left w:val="single" w:sz="8" w:space="0" w:color="E5F5FD"/>
              <w:bottom w:val="single" w:sz="8" w:space="0" w:color="E5F5FD"/>
            </w:tcBorders>
            <w:shd w:fill="EEF8FD" w:val="clear"/>
            <w:tcMar>
              <w:left w:w="100" w:type="dxa"/>
              <w:bottom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2025</w:t>
            </w:r>
          </w:p>
        </w:tc>
        <w:tc>
          <w:tcPr>
            <w:tcW w:w="605" w:type="dxa"/>
            <w:tcBorders>
              <w:left w:val="single" w:sz="8" w:space="0" w:color="E5F5FD"/>
              <w:bottom w:val="single" w:sz="8" w:space="0" w:color="E5F5FD"/>
            </w:tcBorders>
            <w:shd w:fill="EEF8FD" w:val="clear"/>
            <w:tcMar>
              <w:left w:w="100" w:type="dxa"/>
              <w:bottom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450,000</w:t>
            </w:r>
          </w:p>
        </w:tc>
        <w:tc>
          <w:tcPr>
            <w:tcW w:w="1445" w:type="dxa"/>
            <w:tcBorders>
              <w:left w:val="single" w:sz="8" w:space="0" w:color="E5F5FD"/>
              <w:bottom w:val="single" w:sz="8" w:space="0" w:color="E5F5FD"/>
            </w:tcBorders>
            <w:shd w:fill="EEF8FD" w:val="clear"/>
            <w:tcMar>
              <w:left w:w="100" w:type="dxa"/>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250,011</w:t>
            </w:r>
          </w:p>
        </w:tc>
        <w:tc>
          <w:tcPr>
            <w:tcW w:w="1355" w:type="dxa"/>
            <w:tcBorders>
              <w:left w:val="single" w:sz="8" w:space="0" w:color="E5F5FD"/>
              <w:bottom w:val="single" w:sz="8" w:space="0" w:color="E5F5FD"/>
            </w:tcBorders>
            <w:shd w:fill="EEF8FD" w:val="clear"/>
            <w:tcMar>
              <w:left w:w="100" w:type="dxa"/>
              <w:bottom w:w="60" w:type="dxa"/>
            </w:tcMar>
            <w:vAlign w:val="center"/>
          </w:tcPr>
          <w:p>
            <w:pPr>
              <w:pStyle w:val="TableContents"/>
              <w:bidi w:val="0"/>
              <w:spacing w:before="0" w:after="283"/>
              <w:jc w:val="right"/>
              <w:rPr/>
            </w:pPr>
            <w:r>
              <w:rPr/>
              <w:t>—</w:t>
            </w:r>
          </w:p>
        </w:tc>
        <w:tc>
          <w:tcPr>
            <w:tcW w:w="1355" w:type="dxa"/>
            <w:tcBorders>
              <w:left w:val="single" w:sz="8" w:space="0" w:color="E5F5FD"/>
              <w:bottom w:val="single" w:sz="8" w:space="0" w:color="E5F5FD"/>
            </w:tcBorders>
            <w:shd w:fill="EEF8FD" w:val="clear"/>
            <w:tcMar>
              <w:left w:w="100" w:type="dxa"/>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42,794</w:t>
            </w:r>
          </w:p>
        </w:tc>
        <w:tc>
          <w:tcPr>
            <w:tcW w:w="755" w:type="dxa"/>
            <w:tcBorders>
              <w:left w:val="single" w:sz="8" w:space="0" w:color="E5F1E7"/>
              <w:bottom w:val="single" w:sz="8" w:space="0" w:color="E5F5FD"/>
            </w:tcBorders>
            <w:shd w:fill="EEF8FD" w:val="clear"/>
            <w:tcMar>
              <w:left w:w="100" w:type="dxa"/>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742,805</w:t>
            </w:r>
          </w:p>
        </w:tc>
      </w:tr>
      <w:tr>
        <w:trPr/>
        <w:tc>
          <w:tcPr>
            <w:tcW w:w="2600" w:type="dxa"/>
            <w:vMerge w:val="continue"/>
            <w:tcBorders>
              <w:bottom w:val="single" w:sz="8" w:space="0" w:color="E5F5FD"/>
            </w:tcBorders>
            <w:shd w:fill="FFFFFF" w:val="clear"/>
            <w:tcMar>
              <w:bottom w:w="60" w:type="dxa"/>
            </w:tcMar>
            <w:vAlign w:val="center"/>
          </w:tcPr>
          <w:p>
            <w:pPr>
              <w:pStyle w:val="Normal"/>
              <w:bidi w:val="0"/>
              <w:jc w:val="left"/>
              <w:rPr/>
            </w:pPr>
            <w:r>
              <w:rPr/>
            </w:r>
          </w:p>
        </w:tc>
        <w:tc>
          <w:tcPr>
            <w:tcW w:w="485" w:type="dxa"/>
            <w:tcBorders>
              <w:left w:val="single" w:sz="8" w:space="0" w:color="E5F5FD"/>
              <w:bottom w:val="single" w:sz="8" w:space="0" w:color="E5F5FD"/>
            </w:tcBorders>
            <w:tcMar>
              <w:left w:w="100" w:type="dxa"/>
              <w:bottom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2024</w:t>
            </w:r>
          </w:p>
        </w:tc>
        <w:tc>
          <w:tcPr>
            <w:tcW w:w="605" w:type="dxa"/>
            <w:tcBorders>
              <w:left w:val="single" w:sz="8" w:space="0" w:color="E5F5FD"/>
              <w:bottom w:val="single" w:sz="8" w:space="0" w:color="E5F5FD"/>
            </w:tcBorders>
            <w:tcMar>
              <w:left w:w="100" w:type="dxa"/>
              <w:bottom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450,000</w:t>
            </w:r>
          </w:p>
        </w:tc>
        <w:tc>
          <w:tcPr>
            <w:tcW w:w="1445" w:type="dxa"/>
            <w:tcBorders>
              <w:left w:val="single" w:sz="8" w:space="0" w:color="E5F5FD"/>
              <w:bottom w:val="single" w:sz="8" w:space="0" w:color="E5F5FD"/>
            </w:tcBorders>
            <w:tcMar>
              <w:left w:w="100" w:type="dxa"/>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523,422</w:t>
            </w:r>
          </w:p>
        </w:tc>
        <w:tc>
          <w:tcPr>
            <w:tcW w:w="1355" w:type="dxa"/>
            <w:tcBorders>
              <w:left w:val="single" w:sz="8" w:space="0" w:color="E5F5FD"/>
              <w:bottom w:val="single" w:sz="8" w:space="0" w:color="E5F5FD"/>
            </w:tcBorders>
            <w:tcMar>
              <w:left w:w="100" w:type="dxa"/>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455,942</w:t>
            </w:r>
          </w:p>
        </w:tc>
        <w:tc>
          <w:tcPr>
            <w:tcW w:w="1355" w:type="dxa"/>
            <w:tcBorders>
              <w:left w:val="single" w:sz="8" w:space="0" w:color="E5F5FD"/>
              <w:bottom w:val="single" w:sz="8" w:space="0" w:color="E5F5FD"/>
            </w:tcBorders>
            <w:tcMar>
              <w:left w:w="100" w:type="dxa"/>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53,458</w:t>
            </w:r>
          </w:p>
        </w:tc>
        <w:tc>
          <w:tcPr>
            <w:tcW w:w="755" w:type="dxa"/>
            <w:tcBorders>
              <w:left w:val="single" w:sz="8" w:space="0" w:color="E5F1E7"/>
              <w:bottom w:val="single" w:sz="8" w:space="0" w:color="E5F5FD"/>
            </w:tcBorders>
            <w:tcMar>
              <w:left w:w="100" w:type="dxa"/>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1,482,822</w:t>
            </w:r>
          </w:p>
        </w:tc>
      </w:tr>
      <w:tr>
        <w:trPr/>
        <w:tc>
          <w:tcPr>
            <w:tcW w:w="2600" w:type="dxa"/>
            <w:vMerge w:val="continue"/>
            <w:tcBorders>
              <w:bottom w:val="single" w:sz="8" w:space="0" w:color="E5F5FD"/>
            </w:tcBorders>
            <w:shd w:fill="FFFFFF" w:val="clear"/>
            <w:tcMar>
              <w:bottom w:w="60" w:type="dxa"/>
            </w:tcMar>
            <w:vAlign w:val="center"/>
          </w:tcPr>
          <w:p>
            <w:pPr>
              <w:pStyle w:val="Normal"/>
              <w:bidi w:val="0"/>
              <w:jc w:val="left"/>
              <w:rPr/>
            </w:pPr>
            <w:r>
              <w:rPr/>
            </w:r>
          </w:p>
        </w:tc>
        <w:tc>
          <w:tcPr>
            <w:tcW w:w="485" w:type="dxa"/>
            <w:tcBorders>
              <w:left w:val="single" w:sz="8" w:space="0" w:color="E5F5FD"/>
              <w:bottom w:val="single" w:sz="8" w:space="0" w:color="E5F5FD"/>
            </w:tcBorders>
            <w:shd w:fill="EEF8FD" w:val="clear"/>
            <w:tcMar>
              <w:left w:w="100" w:type="dxa"/>
              <w:bottom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2023</w:t>
            </w:r>
          </w:p>
        </w:tc>
        <w:tc>
          <w:tcPr>
            <w:tcW w:w="605" w:type="dxa"/>
            <w:tcBorders>
              <w:left w:val="single" w:sz="8" w:space="0" w:color="E5F5FD"/>
              <w:bottom w:val="single" w:sz="8" w:space="0" w:color="E5F5FD"/>
            </w:tcBorders>
            <w:shd w:fill="EEF8FD" w:val="clear"/>
            <w:tcMar>
              <w:left w:w="100" w:type="dxa"/>
              <w:bottom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419,231</w:t>
            </w:r>
          </w:p>
        </w:tc>
        <w:tc>
          <w:tcPr>
            <w:tcW w:w="1445" w:type="dxa"/>
            <w:tcBorders>
              <w:left w:val="single" w:sz="8" w:space="0" w:color="E5F5FD"/>
              <w:bottom w:val="single" w:sz="8" w:space="0" w:color="E5F5FD"/>
            </w:tcBorders>
            <w:shd w:fill="EEF8FD" w:val="clear"/>
            <w:tcMar>
              <w:left w:w="100" w:type="dxa"/>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1,016,200</w:t>
            </w:r>
          </w:p>
        </w:tc>
        <w:tc>
          <w:tcPr>
            <w:tcW w:w="1355" w:type="dxa"/>
            <w:tcBorders>
              <w:left w:val="single" w:sz="8" w:space="0" w:color="E5F5FD"/>
              <w:bottom w:val="single" w:sz="8" w:space="0" w:color="E5F5FD"/>
            </w:tcBorders>
            <w:shd w:fill="EEF8FD" w:val="clear"/>
            <w:tcMar>
              <w:left w:w="100" w:type="dxa"/>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674,500</w:t>
            </w:r>
          </w:p>
        </w:tc>
        <w:tc>
          <w:tcPr>
            <w:tcW w:w="1355" w:type="dxa"/>
            <w:tcBorders>
              <w:left w:val="single" w:sz="8" w:space="0" w:color="E5F5FD"/>
              <w:bottom w:val="single" w:sz="8" w:space="0" w:color="E5F5FD"/>
            </w:tcBorders>
            <w:shd w:fill="EEF8FD" w:val="clear"/>
            <w:tcMar>
              <w:left w:w="100" w:type="dxa"/>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50,739</w:t>
            </w:r>
          </w:p>
        </w:tc>
        <w:tc>
          <w:tcPr>
            <w:tcW w:w="755" w:type="dxa"/>
            <w:tcBorders>
              <w:left w:val="single" w:sz="8" w:space="0" w:color="E5F1E7"/>
              <w:bottom w:val="single" w:sz="8" w:space="0" w:color="E5F5FD"/>
            </w:tcBorders>
            <w:shd w:fill="EEF8FD" w:val="clear"/>
            <w:tcMar>
              <w:left w:w="100" w:type="dxa"/>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2,160,670</w:t>
            </w:r>
          </w:p>
        </w:tc>
      </w:tr>
    </w:tbl>
    <w:p>
      <w:pPr>
        <w:pStyle w:val="TextBody"/>
        <w:bidi w:val="0"/>
        <w:spacing w:before="0" w:after="0"/>
        <w:jc w:val="left"/>
        <w:rPr>
          <w:caps w:val="false"/>
          <w:smallCaps w:val="false"/>
          <w:color w:val="008DCF"/>
          <w:bdr w:val="single" w:sz="2" w:space="1" w:color="6ECBF3"/>
        </w:rPr>
      </w:pPr>
      <w:r>
        <w:rPr>
          <w:caps w:val="false"/>
          <w:smallCaps w:val="false"/>
          <w:color w:val="008DCF"/>
          <w:bdr w:val="single" w:sz="2" w:space="1" w:color="6ECBF3"/>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998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The value of equity incentive plan awards is the aggregate grant date fair value computed in accordance with FASB ASC Topic 718, </w:t>
            </w:r>
            <w:r>
              <w:rPr>
                <w:rFonts w:ascii="Arial;Helvetica;Sans-Serif" w:hAnsi="Arial;Helvetica;Sans-Serif"/>
                <w:i/>
                <w:sz w:val="14"/>
              </w:rPr>
              <w:t>Compensation - Stock Compensation</w:t>
            </w:r>
            <w:r>
              <w:rPr>
                <w:rFonts w:ascii="Arial;Helvetica;Sans-Serif" w:hAnsi="Arial;Helvetica;Sans-Serif"/>
                <w:sz w:val="14"/>
              </w:rPr>
              <w:t>.</w:t>
            </w:r>
          </w:p>
        </w:tc>
      </w:tr>
    </w:tbl>
    <w:tbl>
      <w:tblPr>
        <w:tblW w:w="3828" w:type="dxa"/>
        <w:jc w:val="left"/>
        <w:tblInd w:w="0" w:type="dxa"/>
        <w:tblLayout w:type="fixed"/>
        <w:tblCellMar>
          <w:top w:w="0" w:type="dxa"/>
          <w:left w:w="0" w:type="dxa"/>
          <w:bottom w:w="0" w:type="dxa"/>
          <w:right w:w="0" w:type="dxa"/>
        </w:tblCellMar>
      </w:tblPr>
      <w:tblGrid>
        <w:gridCol w:w="38"/>
        <w:gridCol w:w="185"/>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w:t>
            </w:r>
          </w:p>
        </w:tc>
        <w:tc>
          <w:tcPr>
            <w:tcW w:w="3605" w:type="dxa"/>
            <w:tcBorders/>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2023 Non-Equity Incentive Plan Compensation includes:</w:t>
            </w:r>
          </w:p>
        </w:tc>
      </w:tr>
    </w:tbl>
    <w:p>
      <w:pPr>
        <w:pStyle w:val="TextBody"/>
        <w:bidi w:val="0"/>
        <w:spacing w:before="0" w:after="0"/>
        <w:ind w:left="360" w:right="0" w:hanging="0"/>
        <w:jc w:val="left"/>
        <w:rPr>
          <w:rFonts w:ascii="Arial;Helvetica;Sans-Serif" w:hAnsi="Arial;Helvetica;Sans-Serif"/>
          <w:b w:val="false"/>
          <w:i w:val="false"/>
          <w:caps w:val="false"/>
          <w:smallCaps w:val="false"/>
          <w:sz w:val="14"/>
          <w:bdr w:val="single" w:sz="2" w:space="1" w:color="6ECBF3"/>
        </w:rPr>
      </w:pPr>
      <w:r>
        <w:rPr>
          <w:rFonts w:ascii="Arial;Helvetica;Sans-Serif" w:hAnsi="Arial;Helvetica;Sans-Serif"/>
          <w:b w:val="false"/>
          <w:i w:val="false"/>
          <w:caps w:val="false"/>
          <w:smallCaps w:val="false"/>
          <w:sz w:val="14"/>
          <w:bdr w:val="single" w:sz="2" w:space="1" w:color="6ECBF3"/>
        </w:rPr>
        <w:t>SSP Bonus earned for fiscal year 2023, paid in fiscal year 2023, in connection with the sale of our Northern Properties.</w:t>
      </w:r>
    </w:p>
    <w:p>
      <w:pPr>
        <w:pStyle w:val="TextBody"/>
        <w:bidi w:val="0"/>
        <w:spacing w:before="0" w:after="0"/>
        <w:ind w:left="360" w:right="0" w:hanging="0"/>
        <w:jc w:val="left"/>
        <w:rPr>
          <w:rFonts w:ascii="Arial;Helvetica;Sans-Serif" w:hAnsi="Arial;Helvetica;Sans-Serif"/>
          <w:b w:val="false"/>
          <w:i w:val="false"/>
          <w:caps w:val="false"/>
          <w:smallCaps w:val="false"/>
          <w:sz w:val="14"/>
          <w:bdr w:val="single" w:sz="2" w:space="1" w:color="6ECBF3"/>
        </w:rPr>
      </w:pPr>
      <w:r>
        <w:rPr>
          <w:rFonts w:ascii="Arial;Helvetica;Sans-Serif" w:hAnsi="Arial;Helvetica;Sans-Serif"/>
          <w:b w:val="false"/>
          <w:i w:val="false"/>
          <w:caps w:val="false"/>
          <w:smallCaps w:val="false"/>
          <w:sz w:val="14"/>
          <w:bdr w:val="single" w:sz="2" w:space="1" w:color="6ECBF3"/>
        </w:rPr>
        <w:t>SSP Bonus earned for fiscal year 2023, paid in fiscal year 2023, in connection with Harvest Equity Earnings.</w:t>
      </w:r>
    </w:p>
    <w:p>
      <w:pPr>
        <w:pStyle w:val="TextBody"/>
        <w:bidi w:val="0"/>
        <w:spacing w:before="0" w:after="0"/>
        <w:ind w:left="360" w:right="0" w:hanging="0"/>
        <w:jc w:val="left"/>
        <w:rPr>
          <w:rFonts w:ascii="Arial;Helvetica;Sans-Serif" w:hAnsi="Arial;Helvetica;Sans-Serif"/>
          <w:b/>
          <w:i w:val="false"/>
          <w:caps w:val="false"/>
          <w:smallCaps w:val="false"/>
          <w:sz w:val="14"/>
          <w:bdr w:val="single" w:sz="2" w:space="1" w:color="6ECBF3"/>
        </w:rPr>
      </w:pPr>
      <w:r>
        <w:rPr>
          <w:rFonts w:ascii="Arial;Helvetica;Sans-Serif" w:hAnsi="Arial;Helvetica;Sans-Serif"/>
          <w:b/>
          <w:i w:val="false"/>
          <w:caps w:val="false"/>
          <w:smallCaps w:val="false"/>
          <w:sz w:val="14"/>
          <w:bdr w:val="single" w:sz="2" w:space="1" w:color="6ECBF3"/>
        </w:rPr>
        <w:t xml:space="preserve">2024 Non-Equity Incentive Plan Compensation includes: </w:t>
      </w:r>
    </w:p>
    <w:p>
      <w:pPr>
        <w:pStyle w:val="TextBody"/>
        <w:bidi w:val="0"/>
        <w:spacing w:before="0" w:after="0"/>
        <w:ind w:left="360" w:right="0" w:hanging="0"/>
        <w:jc w:val="left"/>
        <w:rPr>
          <w:rFonts w:ascii="Arial;Helvetica;Sans-Serif" w:hAnsi="Arial;Helvetica;Sans-Serif"/>
          <w:b w:val="false"/>
          <w:i w:val="false"/>
          <w:caps w:val="false"/>
          <w:smallCaps w:val="false"/>
          <w:sz w:val="14"/>
          <w:bdr w:val="single" w:sz="2" w:space="1" w:color="6ECBF3"/>
        </w:rPr>
      </w:pPr>
      <w:r>
        <w:rPr>
          <w:rFonts w:ascii="Arial;Helvetica;Sans-Serif" w:hAnsi="Arial;Helvetica;Sans-Serif"/>
          <w:b w:val="false"/>
          <w:i w:val="false"/>
          <w:caps w:val="false"/>
          <w:smallCaps w:val="false"/>
          <w:sz w:val="14"/>
          <w:bdr w:val="single" w:sz="2" w:space="1" w:color="6ECBF3"/>
        </w:rPr>
        <w:t>Annual Performance Compensation Award earned for fiscal year 2024, paid in fiscal year 2025.</w:t>
      </w:r>
    </w:p>
    <w:p>
      <w:pPr>
        <w:pStyle w:val="TextBody"/>
        <w:bidi w:val="0"/>
        <w:spacing w:before="0" w:after="0"/>
        <w:ind w:left="360" w:right="0" w:hanging="0"/>
        <w:jc w:val="left"/>
        <w:rPr>
          <w:rFonts w:ascii="Arial;Helvetica;Sans-Serif" w:hAnsi="Arial;Helvetica;Sans-Serif"/>
          <w:b w:val="false"/>
          <w:i w:val="false"/>
          <w:caps w:val="false"/>
          <w:smallCaps w:val="false"/>
          <w:sz w:val="14"/>
          <w:bdr w:val="single" w:sz="2" w:space="1" w:color="6ECBF3"/>
        </w:rPr>
      </w:pPr>
      <w:r>
        <w:rPr>
          <w:rFonts w:ascii="Arial;Helvetica;Sans-Serif" w:hAnsi="Arial;Helvetica;Sans-Serif"/>
          <w:b w:val="false"/>
          <w:i w:val="false"/>
          <w:caps w:val="false"/>
          <w:smallCaps w:val="false"/>
          <w:sz w:val="14"/>
          <w:bdr w:val="single" w:sz="2" w:space="1" w:color="6ECBF3"/>
        </w:rPr>
        <w:t>SSP Bonus earned for fiscal year 2024, paid in fiscal year 2024, in connection with Harvest Equity Earnings.</w:t>
      </w:r>
    </w:p>
    <w:p>
      <w:pPr>
        <w:pStyle w:val="TextBody"/>
        <w:bidi w:val="0"/>
        <w:spacing w:before="0" w:after="0"/>
        <w:ind w:left="360" w:right="0" w:hanging="0"/>
        <w:jc w:val="left"/>
        <w:rPr>
          <w:rFonts w:ascii="Arial;Helvetica;Sans-Serif" w:hAnsi="Arial;Helvetica;Sans-Serif"/>
          <w:b w:val="false"/>
          <w:i w:val="false"/>
          <w:caps w:val="false"/>
          <w:smallCaps w:val="false"/>
          <w:sz w:val="14"/>
          <w:bdr w:val="single" w:sz="2" w:space="1" w:color="6ECBF3"/>
        </w:rPr>
      </w:pPr>
      <w:r>
        <w:rPr>
          <w:rFonts w:ascii="Arial;Helvetica;Sans-Serif" w:hAnsi="Arial;Helvetica;Sans-Serif"/>
          <w:b w:val="false"/>
          <w:i w:val="false"/>
          <w:caps w:val="false"/>
          <w:smallCaps w:val="false"/>
          <w:sz w:val="14"/>
          <w:bdr w:val="single" w:sz="2" w:space="1" w:color="6ECBF3"/>
        </w:rPr>
        <w:t>SSP Bonus earned for fiscal year 2024, paid in fiscal year 2025, in connection with Harvest Equity Earnings.</w:t>
      </w:r>
    </w:p>
    <w:p>
      <w:pPr>
        <w:pStyle w:val="TextBody"/>
        <w:bidi w:val="0"/>
        <w:spacing w:before="0" w:after="0"/>
        <w:ind w:left="360" w:right="0" w:hanging="0"/>
        <w:jc w:val="left"/>
        <w:rPr>
          <w:rFonts w:ascii="Arial;Helvetica;Sans-Serif" w:hAnsi="Arial;Helvetica;Sans-Serif"/>
          <w:b/>
          <w:i w:val="false"/>
          <w:caps w:val="false"/>
          <w:smallCaps w:val="false"/>
          <w:sz w:val="14"/>
          <w:bdr w:val="single" w:sz="2" w:space="1" w:color="6ECBF3"/>
        </w:rPr>
      </w:pPr>
      <w:r>
        <w:rPr>
          <w:rFonts w:ascii="Arial;Helvetica;Sans-Serif" w:hAnsi="Arial;Helvetica;Sans-Serif"/>
          <w:b/>
          <w:i w:val="false"/>
          <w:caps w:val="false"/>
          <w:smallCaps w:val="false"/>
          <w:sz w:val="14"/>
          <w:bdr w:val="single" w:sz="2" w:space="1" w:color="6ECBF3"/>
        </w:rPr>
        <w:t xml:space="preserve">2025 Non-Equity Incentive Plan Compensation includes: </w:t>
      </w:r>
    </w:p>
    <w:p>
      <w:pPr>
        <w:pStyle w:val="TextBody"/>
        <w:bidi w:val="0"/>
        <w:spacing w:before="0" w:after="0"/>
        <w:ind w:left="360" w:right="0" w:hanging="0"/>
        <w:jc w:val="left"/>
        <w:rPr>
          <w:rFonts w:ascii="Arial;Helvetica;Sans-Serif" w:hAnsi="Arial;Helvetica;Sans-Serif"/>
          <w:b w:val="false"/>
          <w:i w:val="false"/>
          <w:caps w:val="false"/>
          <w:smallCaps w:val="false"/>
          <w:sz w:val="14"/>
          <w:bdr w:val="single" w:sz="2" w:space="1" w:color="6ECBF3"/>
        </w:rPr>
      </w:pPr>
      <w:r>
        <w:rPr>
          <w:rFonts w:ascii="Arial;Helvetica;Sans-Serif" w:hAnsi="Arial;Helvetica;Sans-Serif"/>
          <w:b w:val="false"/>
          <w:i w:val="false"/>
          <w:caps w:val="false"/>
          <w:smallCaps w:val="false"/>
          <w:sz w:val="14"/>
          <w:bdr w:val="single" w:sz="2" w:space="1" w:color="6ECBF3"/>
        </w:rPr>
        <w:t>There was no Non-Equity Incentive Plan Compensation earned for fiscal year 2025.</w:t>
      </w:r>
    </w:p>
    <w:tbl>
      <w:tblPr>
        <w:tblW w:w="3543" w:type="dxa"/>
        <w:jc w:val="left"/>
        <w:tblInd w:w="0" w:type="dxa"/>
        <w:tblLayout w:type="fixed"/>
        <w:tblCellMar>
          <w:top w:w="0" w:type="dxa"/>
          <w:left w:w="0" w:type="dxa"/>
          <w:bottom w:w="0" w:type="dxa"/>
          <w:right w:w="0" w:type="dxa"/>
        </w:tblCellMar>
      </w:tblPr>
      <w:tblGrid>
        <w:gridCol w:w="38"/>
        <w:gridCol w:w="185"/>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(3)</w:t>
            </w:r>
          </w:p>
        </w:tc>
        <w:tc>
          <w:tcPr>
            <w:tcW w:w="3320" w:type="dxa"/>
            <w:tcBorders/>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2023 Equity Incentive Plan Compensation includes:</w:t>
            </w:r>
          </w:p>
        </w:tc>
      </w:tr>
    </w:tbl>
    <w:p>
      <w:pPr>
        <w:pStyle w:val="TextBody"/>
        <w:bidi w:val="0"/>
        <w:spacing w:before="0" w:after="0"/>
        <w:ind w:left="360" w:right="0" w:hanging="0"/>
        <w:jc w:val="left"/>
        <w:rPr>
          <w:rFonts w:ascii="Arial;Helvetica;Sans-Serif" w:hAnsi="Arial;Helvetica;Sans-Serif"/>
          <w:b w:val="false"/>
          <w:i w:val="false"/>
          <w:caps w:val="false"/>
          <w:smallCaps w:val="false"/>
          <w:sz w:val="14"/>
          <w:bdr w:val="single" w:sz="2" w:space="1" w:color="6ECBF3"/>
        </w:rPr>
      </w:pPr>
      <w:r>
        <w:rPr>
          <w:rFonts w:ascii="Arial;Helvetica;Sans-Serif" w:hAnsi="Arial;Helvetica;Sans-Serif"/>
          <w:b w:val="false"/>
          <w:i w:val="false"/>
          <w:caps w:val="false"/>
          <w:smallCaps w:val="false"/>
          <w:sz w:val="14"/>
          <w:bdr w:val="single" w:sz="2" w:space="1" w:color="6ECBF3"/>
        </w:rPr>
        <w:t>Equity-based discretionary retention awards issued on December 20, 2022, calculated at the market close share price of $13.19.</w:t>
      </w:r>
    </w:p>
    <w:p>
      <w:pPr>
        <w:pStyle w:val="TextBody"/>
        <w:bidi w:val="0"/>
        <w:spacing w:before="0" w:after="0"/>
        <w:ind w:left="360" w:right="0" w:hanging="0"/>
        <w:jc w:val="left"/>
        <w:rPr>
          <w:rFonts w:ascii="Arial;Helvetica;Sans-Serif" w:hAnsi="Arial;Helvetica;Sans-Serif"/>
          <w:b w:val="false"/>
          <w:i w:val="false"/>
          <w:caps w:val="false"/>
          <w:smallCaps w:val="false"/>
          <w:sz w:val="14"/>
          <w:bdr w:val="single" w:sz="2" w:space="1" w:color="6ECBF3"/>
        </w:rPr>
      </w:pPr>
      <w:r>
        <w:rPr>
          <w:rFonts w:ascii="Arial;Helvetica;Sans-Serif" w:hAnsi="Arial;Helvetica;Sans-Serif"/>
          <w:b w:val="false"/>
          <w:i w:val="false"/>
          <w:caps w:val="false"/>
          <w:smallCaps w:val="false"/>
          <w:sz w:val="14"/>
          <w:bdr w:val="single" w:sz="2" w:space="1" w:color="6ECBF3"/>
        </w:rPr>
        <w:t>SSP Bonus granted for fiscal year 2023, issued in fiscal year 2023, in connection with the sale of our Northern Properties. The shares were calculated at the market close share price of $15.74 on March 7, 2023.</w:t>
      </w:r>
    </w:p>
    <w:p>
      <w:pPr>
        <w:pStyle w:val="TextBody"/>
        <w:bidi w:val="0"/>
        <w:spacing w:before="0" w:after="0"/>
        <w:ind w:left="360" w:right="0" w:hanging="0"/>
        <w:jc w:val="left"/>
        <w:rPr>
          <w:rFonts w:ascii="Arial;Helvetica;Sans-Serif" w:hAnsi="Arial;Helvetica;Sans-Serif"/>
          <w:b w:val="false"/>
          <w:i w:val="false"/>
          <w:caps w:val="false"/>
          <w:smallCaps w:val="false"/>
          <w:sz w:val="14"/>
          <w:bdr w:val="single" w:sz="2" w:space="1" w:color="6ECBF3"/>
        </w:rPr>
      </w:pPr>
      <w:r>
        <w:rPr>
          <w:rFonts w:ascii="Arial;Helvetica;Sans-Serif" w:hAnsi="Arial;Helvetica;Sans-Serif"/>
          <w:b w:val="false"/>
          <w:i w:val="false"/>
          <w:caps w:val="false"/>
          <w:smallCaps w:val="false"/>
          <w:sz w:val="14"/>
          <w:bdr w:val="single" w:sz="2" w:space="1" w:color="6ECBF3"/>
        </w:rPr>
        <w:t>Equity-based incentive granted for fiscal year 2023, issued during fiscal year 2024, calculated at the market close share price of $19.57 on December 18, 2023.</w:t>
      </w:r>
    </w:p>
    <w:p>
      <w:pPr>
        <w:pStyle w:val="TextBody"/>
        <w:bidi w:val="0"/>
        <w:spacing w:before="0" w:after="0"/>
        <w:ind w:left="360" w:right="0" w:hanging="0"/>
        <w:jc w:val="left"/>
        <w:rPr>
          <w:rFonts w:ascii="Arial;Helvetica;Sans-Serif" w:hAnsi="Arial;Helvetica;Sans-Serif"/>
          <w:b w:val="false"/>
          <w:i w:val="false"/>
          <w:caps w:val="false"/>
          <w:smallCaps w:val="false"/>
          <w:sz w:val="14"/>
          <w:bdr w:val="single" w:sz="2" w:space="1" w:color="6ECBF3"/>
        </w:rPr>
      </w:pPr>
      <w:r>
        <w:rPr>
          <w:rFonts w:ascii="Arial;Helvetica;Sans-Serif" w:hAnsi="Arial;Helvetica;Sans-Serif"/>
          <w:b w:val="false"/>
          <w:i w:val="false"/>
          <w:caps w:val="false"/>
          <w:smallCaps w:val="false"/>
          <w:sz w:val="14"/>
          <w:bdr w:val="single" w:sz="2" w:space="1" w:color="6ECBF3"/>
        </w:rPr>
        <w:t>SSP Bonus granted for fiscal year 2023, issued in fiscal year 2023, in connection with Harvest Equity Earnings. The shares were calculated at the market close share price of $19.57 on December 18, 2023.</w:t>
      </w:r>
    </w:p>
    <w:p>
      <w:pPr>
        <w:pStyle w:val="TextBody"/>
        <w:bidi w:val="0"/>
        <w:spacing w:before="0" w:after="0"/>
        <w:ind w:left="360" w:right="0" w:hanging="0"/>
        <w:jc w:val="left"/>
        <w:rPr>
          <w:rFonts w:ascii="Arial;Helvetica;Sans-Serif" w:hAnsi="Arial;Helvetica;Sans-Serif"/>
          <w:b/>
          <w:i w:val="false"/>
          <w:caps w:val="false"/>
          <w:smallCaps w:val="false"/>
          <w:sz w:val="14"/>
          <w:bdr w:val="single" w:sz="2" w:space="1" w:color="6ECBF3"/>
        </w:rPr>
      </w:pPr>
      <w:r>
        <w:rPr>
          <w:rFonts w:ascii="Arial;Helvetica;Sans-Serif" w:hAnsi="Arial;Helvetica;Sans-Serif"/>
          <w:b/>
          <w:i w:val="false"/>
          <w:caps w:val="false"/>
          <w:smallCaps w:val="false"/>
          <w:sz w:val="14"/>
          <w:bdr w:val="single" w:sz="2" w:space="1" w:color="6ECBF3"/>
        </w:rPr>
        <w:t xml:space="preserve">2024 Equity Incentive Plan Compensation includes: </w:t>
      </w:r>
    </w:p>
    <w:p>
      <w:pPr>
        <w:pStyle w:val="TextBody"/>
        <w:bidi w:val="0"/>
        <w:spacing w:before="0" w:after="0"/>
        <w:ind w:left="360" w:right="0" w:hanging="0"/>
        <w:jc w:val="left"/>
        <w:rPr>
          <w:rFonts w:ascii="Arial;Helvetica;Sans-Serif" w:hAnsi="Arial;Helvetica;Sans-Serif"/>
          <w:b w:val="false"/>
          <w:i w:val="false"/>
          <w:caps w:val="false"/>
          <w:smallCaps w:val="false"/>
          <w:sz w:val="14"/>
          <w:bdr w:val="single" w:sz="2" w:space="1" w:color="6ECBF3"/>
        </w:rPr>
      </w:pPr>
      <w:r>
        <w:rPr>
          <w:rFonts w:ascii="Arial;Helvetica;Sans-Serif" w:hAnsi="Arial;Helvetica;Sans-Serif"/>
          <w:b w:val="false"/>
          <w:i w:val="false"/>
          <w:caps w:val="false"/>
          <w:smallCaps w:val="false"/>
          <w:sz w:val="14"/>
          <w:bdr w:val="single" w:sz="2" w:space="1" w:color="6ECBF3"/>
        </w:rPr>
        <w:t>Restricted Share Award for fiscal year 2024, issued in fiscal year 2024. The shares were calculated at the market close share price of $14.13 on November 1, 2023.</w:t>
      </w:r>
    </w:p>
    <w:p>
      <w:pPr>
        <w:pStyle w:val="TextBody"/>
        <w:bidi w:val="0"/>
        <w:spacing w:before="0" w:after="0"/>
        <w:ind w:left="360" w:right="0" w:hanging="0"/>
        <w:jc w:val="left"/>
        <w:rPr>
          <w:rFonts w:ascii="Arial;Helvetica;Sans-Serif" w:hAnsi="Arial;Helvetica;Sans-Serif"/>
          <w:b w:val="false"/>
          <w:i w:val="false"/>
          <w:caps w:val="false"/>
          <w:smallCaps w:val="false"/>
          <w:sz w:val="14"/>
          <w:bdr w:val="single" w:sz="2" w:space="1" w:color="6ECBF3"/>
        </w:rPr>
      </w:pPr>
      <w:r>
        <w:rPr>
          <w:rFonts w:ascii="Arial;Helvetica;Sans-Serif" w:hAnsi="Arial;Helvetica;Sans-Serif"/>
          <w:b w:val="false"/>
          <w:i w:val="false"/>
          <w:caps w:val="false"/>
          <w:smallCaps w:val="false"/>
          <w:sz w:val="14"/>
          <w:bdr w:val="single" w:sz="2" w:space="1" w:color="6ECBF3"/>
        </w:rPr>
        <w:t>SSP Bonus granted for fiscal year 2024, issued in fiscal year 2024, in connection with Harvest Equity Earnings. The shares were calculated at the market close share price of $20.36 on June 6, 2024.</w:t>
      </w:r>
    </w:p>
    <w:p>
      <w:pPr>
        <w:pStyle w:val="TextBody"/>
        <w:bidi w:val="0"/>
        <w:spacing w:before="0" w:after="0"/>
        <w:ind w:left="360" w:right="0" w:hanging="0"/>
        <w:jc w:val="left"/>
        <w:rPr>
          <w:rFonts w:ascii="Arial;Helvetica;Sans-Serif" w:hAnsi="Arial;Helvetica;Sans-Serif"/>
          <w:b w:val="false"/>
          <w:i w:val="false"/>
          <w:caps w:val="false"/>
          <w:smallCaps w:val="false"/>
          <w:sz w:val="14"/>
          <w:bdr w:val="single" w:sz="2" w:space="1" w:color="6ECBF3"/>
        </w:rPr>
      </w:pPr>
      <w:r>
        <w:rPr>
          <w:rFonts w:ascii="Arial;Helvetica;Sans-Serif" w:hAnsi="Arial;Helvetica;Sans-Serif"/>
          <w:b w:val="false"/>
          <w:i w:val="false"/>
          <w:caps w:val="false"/>
          <w:smallCaps w:val="false"/>
          <w:sz w:val="14"/>
          <w:bdr w:val="single" w:sz="2" w:space="1" w:color="6ECBF3"/>
        </w:rPr>
        <w:t>SSP Bonus granted for fiscal year 2024, issued in fiscal year 2025, in connection with Harvest Equity Earnings. The shares were calculated at the market close share price of $26.30 on December 20, 2024.</w:t>
      </w:r>
    </w:p>
    <w:p>
      <w:pPr>
        <w:pStyle w:val="TextBody"/>
        <w:bidi w:val="0"/>
        <w:spacing w:before="0" w:after="0"/>
        <w:ind w:left="360" w:right="0" w:hanging="0"/>
        <w:jc w:val="left"/>
        <w:rPr>
          <w:rFonts w:ascii="Arial;Helvetica;Sans-Serif" w:hAnsi="Arial;Helvetica;Sans-Serif"/>
          <w:b/>
          <w:i w:val="false"/>
          <w:caps w:val="false"/>
          <w:smallCaps w:val="false"/>
          <w:sz w:val="14"/>
          <w:bdr w:val="single" w:sz="2" w:space="1" w:color="6ECBF3"/>
        </w:rPr>
      </w:pPr>
      <w:r>
        <w:rPr>
          <w:rFonts w:ascii="Arial;Helvetica;Sans-Serif" w:hAnsi="Arial;Helvetica;Sans-Serif"/>
          <w:b/>
          <w:i w:val="false"/>
          <w:caps w:val="false"/>
          <w:smallCaps w:val="false"/>
          <w:sz w:val="14"/>
          <w:bdr w:val="single" w:sz="2" w:space="1" w:color="6ECBF3"/>
        </w:rPr>
        <w:t xml:space="preserve">2025 Equity Incentive Plan Compensation includes: </w:t>
      </w:r>
    </w:p>
    <w:p>
      <w:pPr>
        <w:pStyle w:val="TextBody"/>
        <w:bidi w:val="0"/>
        <w:spacing w:before="0" w:after="0"/>
        <w:ind w:left="360" w:right="0" w:hanging="0"/>
        <w:jc w:val="left"/>
        <w:rPr>
          <w:rFonts w:ascii="Arial;Helvetica;Sans-Serif" w:hAnsi="Arial;Helvetica;Sans-Serif"/>
          <w:b w:val="false"/>
          <w:i w:val="false"/>
          <w:caps w:val="false"/>
          <w:smallCaps w:val="false"/>
          <w:sz w:val="14"/>
          <w:bdr w:val="single" w:sz="2" w:space="1" w:color="6ECBF3"/>
        </w:rPr>
      </w:pPr>
      <w:r>
        <w:rPr>
          <w:rFonts w:ascii="Arial;Helvetica;Sans-Serif" w:hAnsi="Arial;Helvetica;Sans-Serif"/>
          <w:b w:val="false"/>
          <w:i w:val="false"/>
          <w:caps w:val="false"/>
          <w:smallCaps w:val="false"/>
          <w:sz w:val="14"/>
          <w:bdr w:val="single" w:sz="2" w:space="1" w:color="6ECBF3"/>
        </w:rPr>
        <w:t>Restricted Share Award for fiscal year 2025, issued in fiscal year 2025. The shares were calculated at the market close share price of $25.54 on November 1, 2024.</w:t>
      </w:r>
    </w:p>
    <w:p>
      <w:pPr>
        <w:pStyle w:val="TextBody"/>
        <w:bidi w:val="0"/>
        <w:spacing w:before="0" w:after="0"/>
        <w:ind w:left="360" w:right="0" w:hanging="0"/>
        <w:jc w:val="left"/>
        <w:rPr>
          <w:rFonts w:ascii="Arial;Helvetica;Sans-Serif" w:hAnsi="Arial;Helvetica;Sans-Serif"/>
          <w:b w:val="false"/>
          <w:i w:val="false"/>
          <w:caps w:val="false"/>
          <w:smallCaps w:val="false"/>
          <w:sz w:val="14"/>
          <w:bdr w:val="single" w:sz="2" w:space="1" w:color="6ECBF3"/>
        </w:rPr>
      </w:pPr>
      <w:r>
        <w:rPr>
          <w:rFonts w:ascii="Arial;Helvetica;Sans-Serif" w:hAnsi="Arial;Helvetica;Sans-Serif"/>
          <w:b w:val="false"/>
          <w:i w:val="false"/>
          <w:caps w:val="false"/>
          <w:smallCaps w:val="false"/>
          <w:sz w:val="14"/>
          <w:bdr w:val="single" w:sz="2" w:space="1" w:color="6ECBF3"/>
        </w:rPr>
        <w:t>There was no SSP Bonus granted for fiscal year 2025.</w:t>
      </w:r>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w:t>
            </w:r>
          </w:p>
        </w:tc>
        <w:tc>
          <w:tcPr>
            <w:tcW w:w="10002"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All Other Compensation consists of, for each of our NEOs, life insurance premiums, profit sharing and matching contributions under our 401(k) plan, dividends paid on stock awards, and personal use of Company vehicles. See Chart of All Other Compensation for details.</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283"/>
        <w:jc w:val="left"/>
        <w:rPr/>
      </w:pPr>
      <w:r>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46</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The following charts reflect the fiscal year 2025 compensation mix for our Chief Executive Officer and other NEO:</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center"/>
        <w:rPr>
          <w:caps w:val="false"/>
          <w:smallCaps w:val="false"/>
          <w:bdr w:val="single" w:sz="2" w:space="1" w:color="6ECBF3"/>
        </w:rPr>
      </w:pPr>
      <w:r>
        <w:rPr>
          <w:caps w:val="false"/>
          <w:smallCaps w:val="false"/>
          <w:bdr w:val="single" w:sz="2" w:space="1" w:color="6ECBF3"/>
        </w:rPr>
        <w:drawing>
          <wp:inline distT="0" distB="0" distL="0" distR="0">
            <wp:extent cx="7620000" cy="26955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7620000" cy="2695575"/>
                    </a:xfrm>
                    <a:prstGeom prst="rect">
                      <a:avLst/>
                    </a:prstGeom>
                  </pic:spPr>
                </pic:pic>
              </a:graphicData>
            </a:graphic>
          </wp:inline>
        </w:drawing>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0"/>
        <w:jc w:val="left"/>
        <w:rPr>
          <w:rFonts w:ascii="Arial;Helvetica;Sans-Serif" w:hAnsi="Arial;Helvetica;Sans-Serif"/>
          <w:b/>
          <w:i w:val="false"/>
          <w:caps w:val="false"/>
          <w:smallCaps w:val="false"/>
          <w:color w:val="008DCF"/>
          <w:sz w:val="24"/>
          <w:bdr w:val="single" w:sz="2" w:space="1" w:color="6ECBF3"/>
        </w:rPr>
      </w:pPr>
      <w:bookmarkStart w:id="83" w:name="lmnrdef14aa079"/>
      <w:bookmarkEnd w:id="83"/>
      <w:r>
        <w:rPr>
          <w:rFonts w:ascii="Arial;Helvetica;Sans-Serif" w:hAnsi="Arial;Helvetica;Sans-Serif"/>
          <w:b/>
          <w:i w:val="false"/>
          <w:caps w:val="false"/>
          <w:smallCaps w:val="false"/>
          <w:color w:val="008DCF"/>
          <w:sz w:val="24"/>
          <w:bdr w:val="single" w:sz="2" w:space="1" w:color="6ECBF3"/>
        </w:rPr>
        <w:t>Chart of All Other Compensation in Fiscal Year 2025</w:t>
      </w:r>
    </w:p>
    <w:p>
      <w:pPr>
        <w:pStyle w:val="TextBody"/>
        <w:bidi w:val="0"/>
        <w:spacing w:before="0" w:after="0"/>
        <w:jc w:val="left"/>
        <w:rPr>
          <w:caps w:val="false"/>
          <w:smallCaps w:val="false"/>
          <w:color w:val="008DCF"/>
          <w:bdr w:val="single" w:sz="2" w:space="1" w:color="6ECBF3"/>
        </w:rPr>
      </w:pPr>
      <w:r>
        <w:rPr>
          <w:caps w:val="false"/>
          <w:smallCaps w:val="false"/>
          <w:color w:val="008DCF"/>
          <w:bdr w:val="single" w:sz="2" w:space="1" w:color="6ECBF3"/>
        </w:rPr>
        <w:t> </w:t>
      </w:r>
    </w:p>
    <w:tbl>
      <w:tblPr>
        <w:tblW w:w="6885" w:type="dxa"/>
        <w:jc w:val="left"/>
        <w:tblInd w:w="0" w:type="dxa"/>
        <w:tblLayout w:type="fixed"/>
        <w:tblCellMar>
          <w:top w:w="0" w:type="dxa"/>
          <w:left w:w="0" w:type="dxa"/>
          <w:bottom w:w="0" w:type="dxa"/>
          <w:right w:w="100" w:type="dxa"/>
        </w:tblCellMar>
      </w:tblPr>
      <w:tblGrid>
        <w:gridCol w:w="2600"/>
        <w:gridCol w:w="815"/>
        <w:gridCol w:w="1130"/>
        <w:gridCol w:w="905"/>
        <w:gridCol w:w="905"/>
        <w:gridCol w:w="530"/>
      </w:tblGrid>
      <w:tr>
        <w:trPr/>
        <w:tc>
          <w:tcPr>
            <w:tcW w:w="2600" w:type="dxa"/>
            <w:tcBorders>
              <w:right w:val="single" w:sz="8" w:space="0" w:color="FFFFFF"/>
            </w:tcBorders>
            <w:shd w:fill="D2D6E4"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right w:val="single" w:sz="8" w:space="0" w:color="FFFFFF"/>
            </w:tcBorders>
            <w:shd w:fill="D2D6E4"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rPr>
              <w:t>Stock</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Dividends</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w:t>
            </w:r>
          </w:p>
        </w:tc>
        <w:tc>
          <w:tcPr>
            <w:tcW w:w="1130" w:type="dxa"/>
            <w:tcBorders>
              <w:right w:val="single" w:sz="8" w:space="0" w:color="FFFFFF"/>
            </w:tcBorders>
            <w:shd w:fill="D2D6E4"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rPr>
              <w:t>Company</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Contributions</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to 401(k)</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w:t>
            </w:r>
          </w:p>
        </w:tc>
        <w:tc>
          <w:tcPr>
            <w:tcW w:w="905" w:type="dxa"/>
            <w:tcBorders>
              <w:right w:val="single" w:sz="8" w:space="0" w:color="FFFFFF"/>
            </w:tcBorders>
            <w:shd w:fill="D2D6E4"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rPr>
              <w:t>Perquisites</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and</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Personal</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Benefits</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w:t>
            </w:r>
          </w:p>
        </w:tc>
        <w:tc>
          <w:tcPr>
            <w:tcW w:w="905" w:type="dxa"/>
            <w:tcBorders>
              <w:right w:val="single" w:sz="8" w:space="0" w:color="FFFFFF"/>
            </w:tcBorders>
            <w:shd w:fill="D2D6E4" w:val="cle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rPr>
              <w:t>Insurance</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Premiums</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Paid by the</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Company</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w:t>
            </w:r>
          </w:p>
        </w:tc>
        <w:tc>
          <w:tcPr>
            <w:tcW w:w="530" w:type="dxa"/>
            <w:tcBorders/>
            <w:shd w:fill="D2D6E4" w:val="clear"/>
            <w:tcMar>
              <w:righ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rPr>
              <w:t>Total</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sz w:val="16"/>
              </w:rPr>
              <w:t>($)</w:t>
            </w:r>
          </w:p>
        </w:tc>
      </w:tr>
      <w:tr>
        <w:trPr/>
        <w:tc>
          <w:tcPr>
            <w:tcW w:w="2600" w:type="dxa"/>
            <w:tcBorders>
              <w:bottom w:val="single" w:sz="8" w:space="0" w:color="E5F5FD"/>
              <w:right w:val="single" w:sz="8" w:space="0" w:color="E5F5FD"/>
            </w:tcBorders>
            <w:tcMar>
              <w:bottom w:w="10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Harold Edwards </w:t>
              <w:br/>
              <w:t>President &amp; Chief Executive Officer</w:t>
            </w:r>
          </w:p>
        </w:tc>
        <w:tc>
          <w:tcPr>
            <w:tcW w:w="815" w:type="dxa"/>
            <w:tcBorders>
              <w:bottom w:val="single" w:sz="8" w:space="0" w:color="E5F5FD"/>
              <w:right w:val="single" w:sz="8" w:space="0" w:color="E5F5FD"/>
            </w:tcBorders>
            <w:tcMar>
              <w:bottom w:w="10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22,270</w:t>
            </w:r>
          </w:p>
        </w:tc>
        <w:tc>
          <w:tcPr>
            <w:tcW w:w="1130" w:type="dxa"/>
            <w:tcBorders>
              <w:bottom w:val="single" w:sz="8" w:space="0" w:color="E5F5FD"/>
              <w:right w:val="single" w:sz="8" w:space="0" w:color="E5F5FD"/>
            </w:tcBorders>
            <w:tcMar>
              <w:bottom w:w="10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16,215</w:t>
            </w:r>
          </w:p>
        </w:tc>
        <w:tc>
          <w:tcPr>
            <w:tcW w:w="905" w:type="dxa"/>
            <w:tcBorders>
              <w:bottom w:val="single" w:sz="8" w:space="0" w:color="E5F5FD"/>
              <w:right w:val="single" w:sz="8" w:space="0" w:color="E5F5FD"/>
            </w:tcBorders>
            <w:tcMar>
              <w:bottom w:w="10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2,197</w:t>
            </w:r>
          </w:p>
        </w:tc>
        <w:tc>
          <w:tcPr>
            <w:tcW w:w="905" w:type="dxa"/>
            <w:tcBorders>
              <w:bottom w:val="single" w:sz="8" w:space="0" w:color="E5F5FD"/>
              <w:right w:val="single" w:sz="8" w:space="0" w:color="E5F5FD"/>
            </w:tcBorders>
            <w:tcMar>
              <w:bottom w:w="10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18,022</w:t>
            </w:r>
          </w:p>
        </w:tc>
        <w:tc>
          <w:tcPr>
            <w:tcW w:w="530" w:type="dxa"/>
            <w:tcBorders>
              <w:bottom w:val="single" w:sz="8" w:space="0" w:color="E5F5FD"/>
            </w:tcBorders>
            <w:tcMar>
              <w:bottom w:w="100" w:type="dxa"/>
              <w:righ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58,704</w:t>
            </w:r>
          </w:p>
        </w:tc>
      </w:tr>
      <w:tr>
        <w:trPr/>
        <w:tc>
          <w:tcPr>
            <w:tcW w:w="2600" w:type="dxa"/>
            <w:tcBorders>
              <w:bottom w:val="single" w:sz="8" w:space="0" w:color="E5F5FD"/>
              <w:right w:val="single" w:sz="8" w:space="0" w:color="E5F5FD"/>
            </w:tcBorders>
            <w:shd w:fill="EEF8FD" w:val="clear"/>
            <w:tcMar>
              <w:bottom w:w="10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Mark Palamountain </w:t>
              <w:br/>
              <w:t>Executive Vice President,</w:t>
              <w:br/>
              <w:t>Chief Financial Officer &amp; Treasurer</w:t>
            </w:r>
          </w:p>
        </w:tc>
        <w:tc>
          <w:tcPr>
            <w:tcW w:w="815" w:type="dxa"/>
            <w:tcBorders>
              <w:bottom w:val="single" w:sz="8" w:space="0" w:color="E5F5FD"/>
              <w:right w:val="single" w:sz="8" w:space="0" w:color="E5F5FD"/>
            </w:tcBorders>
            <w:shd w:fill="EEF8FD" w:val="clear"/>
            <w:tcMar>
              <w:bottom w:w="10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11,676</w:t>
            </w:r>
          </w:p>
        </w:tc>
        <w:tc>
          <w:tcPr>
            <w:tcW w:w="1130" w:type="dxa"/>
            <w:tcBorders>
              <w:bottom w:val="single" w:sz="8" w:space="0" w:color="E5F5FD"/>
              <w:right w:val="single" w:sz="8" w:space="0" w:color="E5F5FD"/>
            </w:tcBorders>
            <w:shd w:fill="EEF8FD" w:val="clear"/>
            <w:tcMar>
              <w:bottom w:w="10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15,385</w:t>
            </w:r>
          </w:p>
        </w:tc>
        <w:tc>
          <w:tcPr>
            <w:tcW w:w="905" w:type="dxa"/>
            <w:tcBorders>
              <w:bottom w:val="single" w:sz="8" w:space="0" w:color="E5F5FD"/>
              <w:right w:val="single" w:sz="8" w:space="0" w:color="E5F5FD"/>
            </w:tcBorders>
            <w:shd w:fill="EEF8FD" w:val="clear"/>
            <w:tcMar>
              <w:bottom w:w="10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2,672</w:t>
            </w:r>
          </w:p>
        </w:tc>
        <w:tc>
          <w:tcPr>
            <w:tcW w:w="905" w:type="dxa"/>
            <w:tcBorders>
              <w:bottom w:val="single" w:sz="8" w:space="0" w:color="E5F5FD"/>
              <w:right w:val="single" w:sz="8" w:space="0" w:color="E5F5FD"/>
            </w:tcBorders>
            <w:shd w:fill="EEF8FD" w:val="clear"/>
            <w:tcMar>
              <w:bottom w:w="10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13,061</w:t>
            </w:r>
          </w:p>
        </w:tc>
        <w:tc>
          <w:tcPr>
            <w:tcW w:w="530" w:type="dxa"/>
            <w:tcBorders>
              <w:bottom w:val="single" w:sz="8" w:space="0" w:color="E5F5FD"/>
            </w:tcBorders>
            <w:shd w:fill="EEF8FD" w:val="clear"/>
            <w:tcMar>
              <w:bottom w:w="100" w:type="dxa"/>
              <w:righ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42,794</w:t>
            </w:r>
          </w:p>
        </w:tc>
      </w:tr>
    </w:tbl>
    <w:p>
      <w:pPr>
        <w:pStyle w:val="TextBody"/>
        <w:bidi w:val="0"/>
        <w:spacing w:before="0" w:after="0"/>
        <w:jc w:val="left"/>
        <w:rPr>
          <w:caps w:val="false"/>
          <w:smallCaps w:val="false"/>
          <w:color w:val="008DCF"/>
          <w:bdr w:val="single" w:sz="2" w:space="1" w:color="6ECBF3"/>
        </w:rPr>
      </w:pPr>
      <w:r>
        <w:rPr>
          <w:caps w:val="false"/>
          <w:smallCaps w:val="false"/>
          <w:color w:val="008DCF"/>
          <w:bdr w:val="single" w:sz="2" w:space="1" w:color="6ECBF3"/>
        </w:rPr>
        <w:t> </w:t>
      </w:r>
    </w:p>
    <w:p>
      <w:pPr>
        <w:pStyle w:val="TextBody"/>
        <w:bidi w:val="0"/>
        <w:spacing w:before="0" w:after="0"/>
        <w:jc w:val="left"/>
        <w:rPr>
          <w:rFonts w:ascii="Arial;Helvetica;Sans-Serif" w:hAnsi="Arial;Helvetica;Sans-Serif"/>
          <w:b/>
          <w:i w:val="false"/>
          <w:caps w:val="false"/>
          <w:smallCaps w:val="false"/>
          <w:color w:val="008DCF"/>
          <w:sz w:val="24"/>
          <w:bdr w:val="single" w:sz="2" w:space="1" w:color="6ECBF3"/>
        </w:rPr>
      </w:pPr>
      <w:bookmarkStart w:id="84" w:name="lmnrdef14aa080"/>
      <w:bookmarkEnd w:id="84"/>
      <w:r>
        <w:rPr>
          <w:rFonts w:ascii="Arial;Helvetica;Sans-Serif" w:hAnsi="Arial;Helvetica;Sans-Serif"/>
          <w:b/>
          <w:i w:val="false"/>
          <w:caps w:val="false"/>
          <w:smallCaps w:val="false"/>
          <w:color w:val="008DCF"/>
          <w:sz w:val="24"/>
          <w:bdr w:val="single" w:sz="2" w:space="1" w:color="6ECBF3"/>
        </w:rPr>
        <w:t>Grants of Plan-Based Awards in Fiscal Year 2025</w:t>
      </w:r>
    </w:p>
    <w:p>
      <w:pPr>
        <w:pStyle w:val="TextBody"/>
        <w:bidi w:val="0"/>
        <w:spacing w:before="0" w:after="0"/>
        <w:jc w:val="left"/>
        <w:rPr>
          <w:caps w:val="false"/>
          <w:smallCaps w:val="false"/>
          <w:color w:val="008DCF"/>
          <w:bdr w:val="single" w:sz="2" w:space="1" w:color="6ECBF3"/>
        </w:rPr>
      </w:pPr>
      <w:r>
        <w:rPr>
          <w:caps w:val="false"/>
          <w:smallCaps w:val="false"/>
          <w:color w:val="008DCF"/>
          <w:bdr w:val="single" w:sz="2" w:space="1" w:color="6ECBF3"/>
        </w:rPr>
        <w:t> </w:t>
      </w:r>
    </w:p>
    <w:p>
      <w:pPr>
        <w:pStyle w:val="TextBody"/>
        <w:bidi w:val="0"/>
        <w:spacing w:before="0" w:after="0"/>
        <w:jc w:val="left"/>
        <w:rPr>
          <w:rFonts w:ascii="Arial;Helvetica;Sans-Serif" w:hAnsi="Arial;Helvetica;Sans-Serif"/>
          <w:b w:val="false"/>
          <w:i w:val="false"/>
          <w:caps w:val="false"/>
          <w:smallCaps w:val="false"/>
          <w:sz w:val="18"/>
          <w:bdr w:val="single" w:sz="2" w:space="1" w:color="6ECBF3"/>
        </w:rPr>
      </w:pPr>
      <w:r>
        <w:rPr>
          <w:rFonts w:ascii="Arial;Helvetica;Sans-Serif" w:hAnsi="Arial;Helvetica;Sans-Serif"/>
          <w:b w:val="false"/>
          <w:i w:val="false"/>
          <w:caps w:val="false"/>
          <w:smallCaps w:val="false"/>
          <w:sz w:val="18"/>
          <w:bdr w:val="single" w:sz="2" w:space="1" w:color="6ECBF3"/>
        </w:rPr>
        <w:t>The following table provides information about grants of equity and non-equity plan-based awards to the NEOs for performance in the fiscal year ended October 31, 2025, and discretionary, equity-based retention awards granted in fiscal year 2025.</w:t>
      </w:r>
    </w:p>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tbl>
      <w:tblPr>
        <w:tblW w:w="8428" w:type="dxa"/>
        <w:jc w:val="left"/>
        <w:tblInd w:w="-10" w:type="dxa"/>
        <w:tblLayout w:type="fixed"/>
        <w:tblCellMar>
          <w:top w:w="0" w:type="dxa"/>
          <w:left w:w="60" w:type="dxa"/>
          <w:bottom w:w="0" w:type="dxa"/>
          <w:right w:w="0" w:type="dxa"/>
        </w:tblCellMar>
      </w:tblPr>
      <w:tblGrid>
        <w:gridCol w:w="1205"/>
        <w:gridCol w:w="1265"/>
        <w:gridCol w:w="835"/>
        <w:gridCol w:w="662"/>
        <w:gridCol w:w="817"/>
        <w:gridCol w:w="844"/>
        <w:gridCol w:w="571"/>
        <w:gridCol w:w="824"/>
        <w:gridCol w:w="680"/>
        <w:gridCol w:w="725"/>
      </w:tblGrid>
      <w:tr>
        <w:trPr/>
        <w:tc>
          <w:tcPr>
            <w:tcW w:w="1205" w:type="dxa"/>
            <w:tcBorders>
              <w:left w:val="single" w:sz="8" w:space="0" w:color="FFFFFF"/>
            </w:tcBorders>
            <w:shd w:fill="D2D6E4" w:val="clear"/>
            <w:vAlign w:val="center"/>
          </w:tcPr>
          <w:p>
            <w:pPr>
              <w:pStyle w:val="TableContents"/>
              <w:bidi w:val="0"/>
              <w:spacing w:before="0" w:after="283"/>
              <w:jc w:val="center"/>
              <w:rPr/>
            </w:pPr>
            <w:r>
              <w:rPr/>
              <w:t> </w:t>
            </w:r>
          </w:p>
        </w:tc>
        <w:tc>
          <w:tcPr>
            <w:tcW w:w="1265" w:type="dxa"/>
            <w:tcBorders>
              <w:left w:val="single" w:sz="8" w:space="0" w:color="FFFFFF"/>
            </w:tcBorders>
            <w:shd w:fill="D2D6E4" w:val="clear"/>
            <w:vAlign w:val="center"/>
          </w:tcPr>
          <w:p>
            <w:pPr>
              <w:pStyle w:val="TableContents"/>
              <w:bidi w:val="0"/>
              <w:spacing w:before="0" w:after="283"/>
              <w:jc w:val="center"/>
              <w:rPr/>
            </w:pPr>
            <w:r>
              <w:rPr/>
              <w:t> </w:t>
            </w:r>
          </w:p>
        </w:tc>
        <w:tc>
          <w:tcPr>
            <w:tcW w:w="835" w:type="dxa"/>
            <w:tcBorders>
              <w:left w:val="single" w:sz="8" w:space="0" w:color="FFFFFF"/>
            </w:tcBorders>
            <w:shd w:fill="D2D6E4" w:val="clear"/>
            <w:vAlign w:val="center"/>
          </w:tcPr>
          <w:p>
            <w:pPr>
              <w:pStyle w:val="TableContents"/>
              <w:bidi w:val="0"/>
              <w:spacing w:before="0" w:after="283"/>
              <w:jc w:val="center"/>
              <w:rPr/>
            </w:pPr>
            <w:r>
              <w:rPr/>
              <w:t> </w:t>
            </w:r>
          </w:p>
        </w:tc>
        <w:tc>
          <w:tcPr>
            <w:tcW w:w="662" w:type="dxa"/>
            <w:tcBorders/>
            <w:shd w:fill="D2D6E4" w:val="clear"/>
            <w:tcMar>
              <w:left w:w="0" w:type="dxa"/>
            </w:tcMar>
            <w:vAlign w:val="center"/>
          </w:tcPr>
          <w:p>
            <w:pPr>
              <w:pStyle w:val="TableContents"/>
              <w:bidi w:val="0"/>
              <w:spacing w:before="0" w:after="283"/>
              <w:jc w:val="center"/>
              <w:rPr/>
            </w:pPr>
            <w:r>
              <w:rPr/>
              <w:t> </w:t>
            </w:r>
          </w:p>
        </w:tc>
        <w:tc>
          <w:tcPr>
            <w:tcW w:w="817" w:type="dxa"/>
            <w:tcBorders/>
            <w:shd w:fill="D2D6E4" w:val="clear"/>
            <w:tcMar>
              <w:left w:w="0" w:type="dxa"/>
            </w:tcMar>
            <w:vAlign w:val="center"/>
          </w:tcPr>
          <w:p>
            <w:pPr>
              <w:pStyle w:val="TableContents"/>
              <w:bidi w:val="0"/>
              <w:spacing w:before="0" w:after="283"/>
              <w:jc w:val="center"/>
              <w:rPr/>
            </w:pPr>
            <w:r>
              <w:rPr/>
              <w:t> </w:t>
            </w:r>
          </w:p>
        </w:tc>
        <w:tc>
          <w:tcPr>
            <w:tcW w:w="844" w:type="dxa"/>
            <w:tcBorders>
              <w:left w:val="single" w:sz="8" w:space="0" w:color="FFFFFF"/>
            </w:tcBorders>
            <w:shd w:fill="D2D6E4" w:val="clear"/>
            <w:vAlign w:val="center"/>
          </w:tcPr>
          <w:p>
            <w:pPr>
              <w:pStyle w:val="TableContents"/>
              <w:bidi w:val="0"/>
              <w:spacing w:before="0" w:after="283"/>
              <w:jc w:val="center"/>
              <w:rPr/>
            </w:pPr>
            <w:r>
              <w:rPr/>
              <w:t> </w:t>
            </w:r>
          </w:p>
        </w:tc>
        <w:tc>
          <w:tcPr>
            <w:tcW w:w="571" w:type="dxa"/>
            <w:tcBorders/>
            <w:shd w:fill="D2D6E4" w:val="clear"/>
            <w:tcMar>
              <w:left w:w="0" w:type="dxa"/>
            </w:tcMar>
            <w:vAlign w:val="center"/>
          </w:tcPr>
          <w:p>
            <w:pPr>
              <w:pStyle w:val="TableContents"/>
              <w:bidi w:val="0"/>
              <w:spacing w:before="0" w:after="283"/>
              <w:jc w:val="center"/>
              <w:rPr/>
            </w:pPr>
            <w:r>
              <w:rPr/>
              <w:t> </w:t>
            </w:r>
          </w:p>
        </w:tc>
        <w:tc>
          <w:tcPr>
            <w:tcW w:w="824" w:type="dxa"/>
            <w:tcBorders/>
            <w:shd w:fill="D2D6E4" w:val="clear"/>
            <w:tcMar>
              <w:left w:w="0" w:type="dxa"/>
            </w:tcMar>
            <w:vAlign w:val="center"/>
          </w:tcPr>
          <w:p>
            <w:pPr>
              <w:pStyle w:val="TableContents"/>
              <w:bidi w:val="0"/>
              <w:spacing w:before="0" w:after="283"/>
              <w:jc w:val="center"/>
              <w:rPr/>
            </w:pPr>
            <w:r>
              <w:rPr/>
              <w:t> </w:t>
            </w:r>
          </w:p>
        </w:tc>
        <w:tc>
          <w:tcPr>
            <w:tcW w:w="680" w:type="dxa"/>
            <w:tcBorders>
              <w:lef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All Other</w:t>
            </w:r>
          </w:p>
        </w:tc>
        <w:tc>
          <w:tcPr>
            <w:tcW w:w="725" w:type="dxa"/>
            <w:tcBorders>
              <w:left w:val="single" w:sz="8" w:space="0" w:color="FFFFFF"/>
            </w:tcBorders>
            <w:shd w:fill="D2D6E4" w:val="clear"/>
            <w:vAlign w:val="center"/>
          </w:tcPr>
          <w:p>
            <w:pPr>
              <w:pStyle w:val="TableContents"/>
              <w:bidi w:val="0"/>
              <w:spacing w:before="0" w:after="283"/>
              <w:jc w:val="center"/>
              <w:rPr/>
            </w:pPr>
            <w:r>
              <w:rPr/>
              <w:t> </w:t>
            </w:r>
          </w:p>
        </w:tc>
      </w:tr>
      <w:tr>
        <w:trPr/>
        <w:tc>
          <w:tcPr>
            <w:tcW w:w="1205" w:type="dxa"/>
            <w:tcBorders>
              <w:left w:val="single" w:sz="8" w:space="0" w:color="FFFFFF"/>
            </w:tcBorders>
            <w:shd w:fill="D2D6E4" w:val="clear"/>
            <w:vAlign w:val="center"/>
          </w:tcPr>
          <w:p>
            <w:pPr>
              <w:pStyle w:val="TableContents"/>
              <w:bidi w:val="0"/>
              <w:spacing w:before="0" w:after="283"/>
              <w:jc w:val="center"/>
              <w:rPr/>
            </w:pPr>
            <w:r>
              <w:rPr/>
              <w:t> </w:t>
            </w:r>
          </w:p>
        </w:tc>
        <w:tc>
          <w:tcPr>
            <w:tcW w:w="1265" w:type="dxa"/>
            <w:tcBorders>
              <w:left w:val="single" w:sz="8" w:space="0" w:color="FFFFFF"/>
            </w:tcBorders>
            <w:shd w:fill="D2D6E4" w:val="clear"/>
            <w:vAlign w:val="center"/>
          </w:tcPr>
          <w:p>
            <w:pPr>
              <w:pStyle w:val="TableContents"/>
              <w:bidi w:val="0"/>
              <w:spacing w:before="0" w:after="283"/>
              <w:jc w:val="center"/>
              <w:rPr/>
            </w:pPr>
            <w:r>
              <w:rPr/>
              <w:t> </w:t>
            </w:r>
          </w:p>
        </w:tc>
        <w:tc>
          <w:tcPr>
            <w:tcW w:w="835" w:type="dxa"/>
            <w:tcBorders>
              <w:left w:val="single" w:sz="8" w:space="0" w:color="FFFFFF"/>
            </w:tcBorders>
            <w:shd w:fill="D2D6E4" w:val="clear"/>
            <w:vAlign w:val="center"/>
          </w:tcPr>
          <w:p>
            <w:pPr>
              <w:pStyle w:val="TableContents"/>
              <w:bidi w:val="0"/>
              <w:spacing w:before="0" w:after="283"/>
              <w:jc w:val="center"/>
              <w:rPr/>
            </w:pPr>
            <w:r>
              <w:rPr/>
              <w:t> </w:t>
            </w:r>
          </w:p>
        </w:tc>
        <w:tc>
          <w:tcPr>
            <w:tcW w:w="662" w:type="dxa"/>
            <w:tcBorders/>
            <w:shd w:fill="D2D6E4" w:val="clear"/>
            <w:tcMar>
              <w:left w:w="0" w:type="dxa"/>
            </w:tcMar>
            <w:vAlign w:val="center"/>
          </w:tcPr>
          <w:p>
            <w:pPr>
              <w:pStyle w:val="TableContents"/>
              <w:bidi w:val="0"/>
              <w:spacing w:before="0" w:after="283"/>
              <w:jc w:val="center"/>
              <w:rPr/>
            </w:pPr>
            <w:r>
              <w:rPr/>
              <w:t> </w:t>
            </w:r>
          </w:p>
        </w:tc>
        <w:tc>
          <w:tcPr>
            <w:tcW w:w="817" w:type="dxa"/>
            <w:tcBorders/>
            <w:shd w:fill="D2D6E4" w:val="clear"/>
            <w:tcMar>
              <w:left w:w="0" w:type="dxa"/>
            </w:tcMar>
            <w:vAlign w:val="center"/>
          </w:tcPr>
          <w:p>
            <w:pPr>
              <w:pStyle w:val="TableContents"/>
              <w:bidi w:val="0"/>
              <w:spacing w:before="0" w:after="283"/>
              <w:jc w:val="center"/>
              <w:rPr/>
            </w:pPr>
            <w:r>
              <w:rPr/>
              <w:t> </w:t>
            </w:r>
          </w:p>
        </w:tc>
        <w:tc>
          <w:tcPr>
            <w:tcW w:w="844" w:type="dxa"/>
            <w:tcBorders>
              <w:left w:val="single" w:sz="8" w:space="0" w:color="FFFFFF"/>
            </w:tcBorders>
            <w:shd w:fill="D2D6E4" w:val="clear"/>
            <w:vAlign w:val="center"/>
          </w:tcPr>
          <w:p>
            <w:pPr>
              <w:pStyle w:val="TableContents"/>
              <w:bidi w:val="0"/>
              <w:spacing w:before="0" w:after="283"/>
              <w:jc w:val="center"/>
              <w:rPr/>
            </w:pPr>
            <w:r>
              <w:rPr/>
              <w:t> </w:t>
            </w:r>
          </w:p>
        </w:tc>
        <w:tc>
          <w:tcPr>
            <w:tcW w:w="571" w:type="dxa"/>
            <w:tcBorders/>
            <w:shd w:fill="D2D6E4" w:val="clear"/>
            <w:tcMar>
              <w:left w:w="0" w:type="dxa"/>
            </w:tcMar>
            <w:vAlign w:val="center"/>
          </w:tcPr>
          <w:p>
            <w:pPr>
              <w:pStyle w:val="TableContents"/>
              <w:bidi w:val="0"/>
              <w:spacing w:before="0" w:after="283"/>
              <w:jc w:val="center"/>
              <w:rPr/>
            </w:pPr>
            <w:r>
              <w:rPr/>
              <w:t> </w:t>
            </w:r>
          </w:p>
        </w:tc>
        <w:tc>
          <w:tcPr>
            <w:tcW w:w="824" w:type="dxa"/>
            <w:tcBorders/>
            <w:shd w:fill="D2D6E4" w:val="clear"/>
            <w:tcMar>
              <w:left w:w="0" w:type="dxa"/>
            </w:tcMar>
            <w:vAlign w:val="center"/>
          </w:tcPr>
          <w:p>
            <w:pPr>
              <w:pStyle w:val="TableContents"/>
              <w:bidi w:val="0"/>
              <w:spacing w:before="0" w:after="283"/>
              <w:jc w:val="center"/>
              <w:rPr/>
            </w:pPr>
            <w:r>
              <w:rPr/>
              <w:t> </w:t>
            </w:r>
          </w:p>
        </w:tc>
        <w:tc>
          <w:tcPr>
            <w:tcW w:w="680" w:type="dxa"/>
            <w:tcBorders>
              <w:lef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Stock</w:t>
            </w:r>
          </w:p>
        </w:tc>
        <w:tc>
          <w:tcPr>
            <w:tcW w:w="725" w:type="dxa"/>
            <w:tcBorders>
              <w:left w:val="single" w:sz="8" w:space="0" w:color="FFFFFF"/>
            </w:tcBorders>
            <w:shd w:fill="D2D6E4" w:val="clear"/>
            <w:vAlign w:val="center"/>
          </w:tcPr>
          <w:p>
            <w:pPr>
              <w:pStyle w:val="TableContents"/>
              <w:bidi w:val="0"/>
              <w:spacing w:before="0" w:after="283"/>
              <w:jc w:val="center"/>
              <w:rPr/>
            </w:pPr>
            <w:r>
              <w:rPr/>
              <w:t> </w:t>
            </w:r>
          </w:p>
        </w:tc>
      </w:tr>
      <w:tr>
        <w:trPr/>
        <w:tc>
          <w:tcPr>
            <w:tcW w:w="1205" w:type="dxa"/>
            <w:tcBorders>
              <w:left w:val="single" w:sz="8" w:space="0" w:color="FFFFFF"/>
            </w:tcBorders>
            <w:shd w:fill="D2D6E4" w:val="clear"/>
            <w:vAlign w:val="center"/>
          </w:tcPr>
          <w:p>
            <w:pPr>
              <w:pStyle w:val="TableContents"/>
              <w:bidi w:val="0"/>
              <w:spacing w:before="0" w:after="283"/>
              <w:jc w:val="center"/>
              <w:rPr/>
            </w:pPr>
            <w:r>
              <w:rPr/>
              <w:t> </w:t>
            </w:r>
          </w:p>
        </w:tc>
        <w:tc>
          <w:tcPr>
            <w:tcW w:w="1265" w:type="dxa"/>
            <w:tcBorders>
              <w:left w:val="single" w:sz="8" w:space="0" w:color="FFFFFF"/>
            </w:tcBorders>
            <w:shd w:fill="D2D6E4" w:val="clear"/>
            <w:vAlign w:val="center"/>
          </w:tcPr>
          <w:p>
            <w:pPr>
              <w:pStyle w:val="TableContents"/>
              <w:bidi w:val="0"/>
              <w:spacing w:before="0" w:after="283"/>
              <w:jc w:val="center"/>
              <w:rPr/>
            </w:pPr>
            <w:r>
              <w:rPr/>
              <w:t> </w:t>
            </w:r>
          </w:p>
        </w:tc>
        <w:tc>
          <w:tcPr>
            <w:tcW w:w="2314" w:type="dxa"/>
            <w:gridSpan w:val="3"/>
            <w:tcBorders>
              <w:lef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Estimated Possible Payouts Under</w:t>
            </w:r>
          </w:p>
        </w:tc>
        <w:tc>
          <w:tcPr>
            <w:tcW w:w="2239" w:type="dxa"/>
            <w:gridSpan w:val="3"/>
            <w:tcBorders>
              <w:lef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Estimated Possible Payouts Under</w:t>
            </w:r>
          </w:p>
        </w:tc>
        <w:tc>
          <w:tcPr>
            <w:tcW w:w="680" w:type="dxa"/>
            <w:tcBorders>
              <w:lef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Awards</w:t>
            </w:r>
          </w:p>
        </w:tc>
        <w:tc>
          <w:tcPr>
            <w:tcW w:w="725" w:type="dxa"/>
            <w:tcBorders>
              <w:lef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Grant Date</w:t>
            </w:r>
          </w:p>
        </w:tc>
      </w:tr>
      <w:tr>
        <w:trPr/>
        <w:tc>
          <w:tcPr>
            <w:tcW w:w="1205" w:type="dxa"/>
            <w:tcBorders>
              <w:left w:val="single" w:sz="8" w:space="0" w:color="FFFFFF"/>
            </w:tcBorders>
            <w:shd w:fill="D2D6E4" w:val="clear"/>
            <w:vAlign w:val="center"/>
          </w:tcPr>
          <w:p>
            <w:pPr>
              <w:pStyle w:val="TableContents"/>
              <w:bidi w:val="0"/>
              <w:spacing w:before="0" w:after="283"/>
              <w:jc w:val="center"/>
              <w:rPr/>
            </w:pPr>
            <w:r>
              <w:rPr/>
              <w:t> </w:t>
            </w:r>
          </w:p>
        </w:tc>
        <w:tc>
          <w:tcPr>
            <w:tcW w:w="1265" w:type="dxa"/>
            <w:tcBorders>
              <w:left w:val="single" w:sz="8" w:space="0" w:color="FFFFFF"/>
            </w:tcBorders>
            <w:shd w:fill="D2D6E4" w:val="clear"/>
            <w:vAlign w:val="center"/>
          </w:tcPr>
          <w:p>
            <w:pPr>
              <w:pStyle w:val="TableContents"/>
              <w:bidi w:val="0"/>
              <w:spacing w:before="0" w:after="283"/>
              <w:jc w:val="center"/>
              <w:rPr/>
            </w:pPr>
            <w:r>
              <w:rPr/>
              <w:t> </w:t>
            </w:r>
          </w:p>
        </w:tc>
        <w:tc>
          <w:tcPr>
            <w:tcW w:w="2314" w:type="dxa"/>
            <w:gridSpan w:val="3"/>
            <w:tcBorders>
              <w:lef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Non-Equity Incentive Plan Awards</w:t>
            </w:r>
            <w:r>
              <w:rPr>
                <w:rFonts w:ascii="Arial;Helvetica;Sans-Serif" w:hAnsi="Arial;Helvetica;Sans-Serif"/>
                <w:b/>
                <w:position w:val="5"/>
                <w:sz w:val="11"/>
                <w:sz w:val="14"/>
              </w:rPr>
              <w:t>(4)</w:t>
            </w:r>
          </w:p>
        </w:tc>
        <w:tc>
          <w:tcPr>
            <w:tcW w:w="2239" w:type="dxa"/>
            <w:gridSpan w:val="3"/>
            <w:tcBorders>
              <w:lef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Equity Incentive Plan Awards</w:t>
            </w:r>
            <w:r>
              <w:rPr>
                <w:rFonts w:ascii="Arial;Helvetica;Sans-Serif" w:hAnsi="Arial;Helvetica;Sans-Serif"/>
                <w:b/>
                <w:position w:val="5"/>
                <w:sz w:val="11"/>
                <w:sz w:val="14"/>
              </w:rPr>
              <w:t>(2)</w:t>
            </w:r>
          </w:p>
        </w:tc>
        <w:tc>
          <w:tcPr>
            <w:tcW w:w="680" w:type="dxa"/>
            <w:tcBorders>
              <w:lef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Number of</w:t>
            </w:r>
          </w:p>
        </w:tc>
        <w:tc>
          <w:tcPr>
            <w:tcW w:w="725" w:type="dxa"/>
            <w:tcBorders>
              <w:lef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Fair Value</w:t>
            </w:r>
          </w:p>
        </w:tc>
      </w:tr>
      <w:tr>
        <w:trPr/>
        <w:tc>
          <w:tcPr>
            <w:tcW w:w="1205" w:type="dxa"/>
            <w:tcBorders>
              <w:left w:val="single" w:sz="8" w:space="0" w:color="FFFFFF"/>
            </w:tcBorders>
            <w:shd w:fill="D2D6E4" w:val="clear"/>
            <w:vAlign w:val="center"/>
          </w:tcPr>
          <w:p>
            <w:pPr>
              <w:pStyle w:val="TableContents"/>
              <w:bidi w:val="0"/>
              <w:spacing w:before="0" w:after="283"/>
              <w:jc w:val="center"/>
              <w:rPr/>
            </w:pPr>
            <w:r>
              <w:rPr/>
              <w:t> </w:t>
            </w:r>
          </w:p>
        </w:tc>
        <w:tc>
          <w:tcPr>
            <w:tcW w:w="1265" w:type="dxa"/>
            <w:tcBorders>
              <w:left w:val="single" w:sz="8" w:space="0" w:color="FFFFFF"/>
            </w:tcBorders>
            <w:shd w:fill="D2D6E4" w:val="clear"/>
            <w:vAlign w:val="center"/>
          </w:tcPr>
          <w:p>
            <w:pPr>
              <w:pStyle w:val="TableContents"/>
              <w:bidi w:val="0"/>
              <w:spacing w:before="0" w:after="283"/>
              <w:jc w:val="center"/>
              <w:rPr/>
            </w:pPr>
            <w:r>
              <w:rPr/>
              <w:t> </w:t>
            </w:r>
          </w:p>
        </w:tc>
        <w:tc>
          <w:tcPr>
            <w:tcW w:w="835" w:type="dxa"/>
            <w:tcBorders>
              <w:left w:val="single" w:sz="8" w:space="0" w:color="FFFFFF"/>
            </w:tcBorders>
            <w:shd w:fill="D2D6E4" w:val="clear"/>
            <w:vAlign w:val="center"/>
          </w:tcPr>
          <w:p>
            <w:pPr>
              <w:pStyle w:val="TableContents"/>
              <w:bidi w:val="0"/>
              <w:spacing w:before="0" w:after="283"/>
              <w:jc w:val="center"/>
              <w:rPr/>
            </w:pPr>
            <w:r>
              <w:rPr/>
              <w:t> </w:t>
            </w:r>
          </w:p>
        </w:tc>
        <w:tc>
          <w:tcPr>
            <w:tcW w:w="662" w:type="dxa"/>
            <w:tcBorders>
              <w:left w:val="single" w:sz="8" w:space="0" w:color="FFFFFF"/>
            </w:tcBorders>
            <w:shd w:fill="D2D6E4" w:val="clear"/>
            <w:vAlign w:val="center"/>
          </w:tcPr>
          <w:p>
            <w:pPr>
              <w:pStyle w:val="TableContents"/>
              <w:bidi w:val="0"/>
              <w:spacing w:before="0" w:after="283"/>
              <w:jc w:val="center"/>
              <w:rPr/>
            </w:pPr>
            <w:r>
              <w:rPr/>
              <w:t> </w:t>
            </w:r>
          </w:p>
        </w:tc>
        <w:tc>
          <w:tcPr>
            <w:tcW w:w="817" w:type="dxa"/>
            <w:tcBorders>
              <w:left w:val="single" w:sz="8" w:space="0" w:color="FFFFFF"/>
            </w:tcBorders>
            <w:shd w:fill="D2D6E4" w:val="clear"/>
            <w:vAlign w:val="center"/>
          </w:tcPr>
          <w:p>
            <w:pPr>
              <w:pStyle w:val="TableContents"/>
              <w:bidi w:val="0"/>
              <w:spacing w:before="0" w:after="283"/>
              <w:jc w:val="center"/>
              <w:rPr/>
            </w:pPr>
            <w:r>
              <w:rPr/>
              <w:t> </w:t>
            </w:r>
          </w:p>
        </w:tc>
        <w:tc>
          <w:tcPr>
            <w:tcW w:w="844" w:type="dxa"/>
            <w:tcBorders>
              <w:left w:val="single" w:sz="8" w:space="0" w:color="FFFFFF"/>
            </w:tcBorders>
            <w:shd w:fill="D2D6E4" w:val="clear"/>
            <w:vAlign w:val="center"/>
          </w:tcPr>
          <w:p>
            <w:pPr>
              <w:pStyle w:val="TableContents"/>
              <w:bidi w:val="0"/>
              <w:spacing w:before="0" w:after="283"/>
              <w:jc w:val="center"/>
              <w:rPr/>
            </w:pPr>
            <w:r>
              <w:rPr/>
              <w:t> </w:t>
            </w:r>
          </w:p>
        </w:tc>
        <w:tc>
          <w:tcPr>
            <w:tcW w:w="571" w:type="dxa"/>
            <w:tcBorders>
              <w:left w:val="single" w:sz="8" w:space="0" w:color="FFFFFF"/>
            </w:tcBorders>
            <w:shd w:fill="D2D6E4" w:val="clear"/>
            <w:vAlign w:val="center"/>
          </w:tcPr>
          <w:p>
            <w:pPr>
              <w:pStyle w:val="TableContents"/>
              <w:bidi w:val="0"/>
              <w:spacing w:before="0" w:after="283"/>
              <w:jc w:val="center"/>
              <w:rPr/>
            </w:pPr>
            <w:r>
              <w:rPr/>
              <w:t> </w:t>
            </w:r>
          </w:p>
        </w:tc>
        <w:tc>
          <w:tcPr>
            <w:tcW w:w="824" w:type="dxa"/>
            <w:tcBorders>
              <w:left w:val="single" w:sz="8" w:space="0" w:color="FFFFFF"/>
            </w:tcBorders>
            <w:shd w:fill="D2D6E4" w:val="clear"/>
            <w:vAlign w:val="center"/>
          </w:tcPr>
          <w:p>
            <w:pPr>
              <w:pStyle w:val="TableContents"/>
              <w:bidi w:val="0"/>
              <w:spacing w:before="0" w:after="283"/>
              <w:jc w:val="center"/>
              <w:rPr/>
            </w:pPr>
            <w:r>
              <w:rPr/>
              <w:t> </w:t>
            </w:r>
          </w:p>
        </w:tc>
        <w:tc>
          <w:tcPr>
            <w:tcW w:w="680" w:type="dxa"/>
            <w:tcBorders>
              <w:lef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Shares or</w:t>
            </w:r>
          </w:p>
        </w:tc>
        <w:tc>
          <w:tcPr>
            <w:tcW w:w="725" w:type="dxa"/>
            <w:tcBorders>
              <w:lef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of Stock</w:t>
            </w:r>
          </w:p>
        </w:tc>
      </w:tr>
      <w:tr>
        <w:trPr/>
        <w:tc>
          <w:tcPr>
            <w:tcW w:w="1205" w:type="dxa"/>
            <w:tcBorders>
              <w:left w:val="single" w:sz="8" w:space="0" w:color="FFFFFF"/>
            </w:tcBorders>
            <w:shd w:fill="D2D6E4" w:val="clear"/>
            <w:vAlign w:val="center"/>
          </w:tcPr>
          <w:p>
            <w:pPr>
              <w:pStyle w:val="TableContents"/>
              <w:bidi w:val="0"/>
              <w:spacing w:before="0" w:after="283"/>
              <w:jc w:val="center"/>
              <w:rPr/>
            </w:pPr>
            <w:r>
              <w:rPr/>
              <w:t> </w:t>
            </w:r>
          </w:p>
        </w:tc>
        <w:tc>
          <w:tcPr>
            <w:tcW w:w="1265" w:type="dxa"/>
            <w:tcBorders>
              <w:left w:val="single" w:sz="8" w:space="0" w:color="FFFFFF"/>
            </w:tcBorders>
            <w:shd w:fill="D2D6E4" w:val="clear"/>
            <w:vAlign w:val="center"/>
          </w:tcPr>
          <w:p>
            <w:pPr>
              <w:pStyle w:val="TableContents"/>
              <w:bidi w:val="0"/>
              <w:spacing w:before="0" w:after="283"/>
              <w:jc w:val="center"/>
              <w:rPr/>
            </w:pPr>
            <w:r>
              <w:rPr/>
              <w:t> </w:t>
            </w:r>
          </w:p>
        </w:tc>
        <w:tc>
          <w:tcPr>
            <w:tcW w:w="835" w:type="dxa"/>
            <w:tcBorders>
              <w:lef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Threshold</w:t>
            </w:r>
          </w:p>
        </w:tc>
        <w:tc>
          <w:tcPr>
            <w:tcW w:w="662" w:type="dxa"/>
            <w:tcBorders>
              <w:lef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Target</w:t>
            </w:r>
          </w:p>
        </w:tc>
        <w:tc>
          <w:tcPr>
            <w:tcW w:w="817" w:type="dxa"/>
            <w:tcBorders>
              <w:lef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Maximum</w:t>
            </w:r>
          </w:p>
        </w:tc>
        <w:tc>
          <w:tcPr>
            <w:tcW w:w="844" w:type="dxa"/>
            <w:tcBorders>
              <w:lef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Threshold</w:t>
            </w:r>
          </w:p>
        </w:tc>
        <w:tc>
          <w:tcPr>
            <w:tcW w:w="571" w:type="dxa"/>
            <w:tcBorders>
              <w:lef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Target</w:t>
            </w:r>
          </w:p>
        </w:tc>
        <w:tc>
          <w:tcPr>
            <w:tcW w:w="824" w:type="dxa"/>
            <w:tcBorders>
              <w:lef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Maximum</w:t>
            </w:r>
          </w:p>
        </w:tc>
        <w:tc>
          <w:tcPr>
            <w:tcW w:w="680" w:type="dxa"/>
            <w:tcBorders>
              <w:lef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Units</w:t>
            </w:r>
            <w:r>
              <w:rPr>
                <w:rFonts w:ascii="Arial;Helvetica;Sans-Serif" w:hAnsi="Arial;Helvetica;Sans-Serif"/>
                <w:b/>
                <w:position w:val="5"/>
                <w:sz w:val="11"/>
                <w:sz w:val="14"/>
              </w:rPr>
              <w:t>(5)</w:t>
            </w:r>
          </w:p>
        </w:tc>
        <w:tc>
          <w:tcPr>
            <w:tcW w:w="725" w:type="dxa"/>
            <w:tcBorders>
              <w:lef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Awards</w:t>
            </w:r>
            <w:r>
              <w:rPr>
                <w:rFonts w:ascii="Arial;Helvetica;Sans-Serif" w:hAnsi="Arial;Helvetica;Sans-Serif"/>
                <w:b/>
                <w:position w:val="5"/>
                <w:sz w:val="11"/>
                <w:sz w:val="14"/>
              </w:rPr>
              <w:t>(6)</w:t>
            </w:r>
          </w:p>
        </w:tc>
      </w:tr>
      <w:tr>
        <w:trPr/>
        <w:tc>
          <w:tcPr>
            <w:tcW w:w="1205" w:type="dxa"/>
            <w:tcBorders>
              <w:left w:val="single" w:sz="8" w:space="0" w:color="FFFFFF"/>
            </w:tcBorders>
            <w:shd w:fill="D2D6E4" w:val="cle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Name</w:t>
            </w:r>
          </w:p>
        </w:tc>
        <w:tc>
          <w:tcPr>
            <w:tcW w:w="1265" w:type="dxa"/>
            <w:tcBorders>
              <w:lef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Grant Date</w:t>
            </w:r>
          </w:p>
        </w:tc>
        <w:tc>
          <w:tcPr>
            <w:tcW w:w="835" w:type="dxa"/>
            <w:tcBorders>
              <w:lef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w:t>
            </w:r>
          </w:p>
        </w:tc>
        <w:tc>
          <w:tcPr>
            <w:tcW w:w="662" w:type="dxa"/>
            <w:tcBorders>
              <w:lef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w:t>
            </w:r>
          </w:p>
        </w:tc>
        <w:tc>
          <w:tcPr>
            <w:tcW w:w="817" w:type="dxa"/>
            <w:tcBorders>
              <w:lef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w:t>
            </w:r>
          </w:p>
        </w:tc>
        <w:tc>
          <w:tcPr>
            <w:tcW w:w="844" w:type="dxa"/>
            <w:tcBorders>
              <w:lef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w:t>
            </w:r>
          </w:p>
        </w:tc>
        <w:tc>
          <w:tcPr>
            <w:tcW w:w="571" w:type="dxa"/>
            <w:tcBorders>
              <w:lef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w:t>
            </w:r>
          </w:p>
        </w:tc>
        <w:tc>
          <w:tcPr>
            <w:tcW w:w="824" w:type="dxa"/>
            <w:tcBorders>
              <w:lef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w:t>
            </w:r>
          </w:p>
        </w:tc>
        <w:tc>
          <w:tcPr>
            <w:tcW w:w="680" w:type="dxa"/>
            <w:tcBorders>
              <w:lef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w:t>
            </w:r>
          </w:p>
        </w:tc>
        <w:tc>
          <w:tcPr>
            <w:tcW w:w="725" w:type="dxa"/>
            <w:tcBorders>
              <w:lef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w:t>
            </w:r>
          </w:p>
        </w:tc>
      </w:tr>
      <w:tr>
        <w:trPr/>
        <w:tc>
          <w:tcPr>
            <w:tcW w:w="1205" w:type="dxa"/>
            <w:tcBorders/>
            <w:shd w:fill="FFFFFF" w:val="clear"/>
            <w:tcMar>
              <w:left w:w="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Harold S. Edwards</w:t>
            </w:r>
          </w:p>
        </w:tc>
        <w:tc>
          <w:tcPr>
            <w:tcW w:w="1265" w:type="dxa"/>
            <w:tcBorders>
              <w:left w:val="single" w:sz="8" w:space="0" w:color="E5F5FD"/>
              <w:bottom w:val="single" w:sz="8" w:space="0" w:color="E5F5FD"/>
            </w:tcBorders>
            <w:tcMar>
              <w:bottom w:w="60" w:type="dxa"/>
            </w:tcMar>
            <w:vAlign w:val="center"/>
          </w:tcPr>
          <w:p>
            <w:pPr>
              <w:pStyle w:val="TableContents"/>
              <w:bidi w:val="0"/>
              <w:spacing w:before="0" w:after="283"/>
              <w:jc w:val="left"/>
              <w:rPr/>
            </w:pPr>
            <w:r>
              <w:rPr/>
              <w:t> </w:t>
            </w:r>
          </w:p>
        </w:tc>
        <w:tc>
          <w:tcPr>
            <w:tcW w:w="835" w:type="dxa"/>
            <w:tcBorders>
              <w:left w:val="single" w:sz="8" w:space="0" w:color="E5F5FD"/>
              <w:bottom w:val="single" w:sz="8" w:space="0" w:color="E5F5FD"/>
            </w:tcBorders>
            <w:tcMar>
              <w:bottom w:w="60" w:type="dxa"/>
            </w:tcMar>
            <w:vAlign w:val="center"/>
          </w:tcPr>
          <w:p>
            <w:pPr>
              <w:pStyle w:val="TableContents"/>
              <w:bidi w:val="0"/>
              <w:spacing w:before="0" w:after="283"/>
              <w:jc w:val="left"/>
              <w:rPr/>
            </w:pPr>
            <w:r>
              <w:rPr/>
              <w:t> </w:t>
            </w:r>
          </w:p>
        </w:tc>
        <w:tc>
          <w:tcPr>
            <w:tcW w:w="662" w:type="dxa"/>
            <w:tcBorders>
              <w:left w:val="single" w:sz="8" w:space="0" w:color="E5F5FD"/>
              <w:bottom w:val="single" w:sz="8" w:space="0" w:color="E5F5FD"/>
            </w:tcBorders>
            <w:tcMar>
              <w:bottom w:w="60" w:type="dxa"/>
            </w:tcMar>
            <w:vAlign w:val="center"/>
          </w:tcPr>
          <w:p>
            <w:pPr>
              <w:pStyle w:val="TableContents"/>
              <w:bidi w:val="0"/>
              <w:spacing w:before="0" w:after="283"/>
              <w:jc w:val="left"/>
              <w:rPr/>
            </w:pPr>
            <w:r>
              <w:rPr/>
              <w:t> </w:t>
            </w:r>
          </w:p>
        </w:tc>
        <w:tc>
          <w:tcPr>
            <w:tcW w:w="817" w:type="dxa"/>
            <w:tcBorders>
              <w:left w:val="single" w:sz="8" w:space="0" w:color="E5F5FD"/>
              <w:bottom w:val="single" w:sz="8" w:space="0" w:color="E5F5FD"/>
            </w:tcBorders>
            <w:tcMar>
              <w:bottom w:w="60" w:type="dxa"/>
            </w:tcMar>
            <w:vAlign w:val="center"/>
          </w:tcPr>
          <w:p>
            <w:pPr>
              <w:pStyle w:val="TableContents"/>
              <w:bidi w:val="0"/>
              <w:spacing w:before="0" w:after="283"/>
              <w:jc w:val="left"/>
              <w:rPr/>
            </w:pPr>
            <w:r>
              <w:rPr/>
              <w:t> </w:t>
            </w:r>
          </w:p>
        </w:tc>
        <w:tc>
          <w:tcPr>
            <w:tcW w:w="844" w:type="dxa"/>
            <w:tcBorders>
              <w:left w:val="single" w:sz="8" w:space="0" w:color="E5F5FD"/>
              <w:bottom w:val="single" w:sz="8" w:space="0" w:color="E5F5FD"/>
            </w:tcBorders>
            <w:tcMar>
              <w:bottom w:w="60" w:type="dxa"/>
            </w:tcMar>
            <w:vAlign w:val="center"/>
          </w:tcPr>
          <w:p>
            <w:pPr>
              <w:pStyle w:val="TableContents"/>
              <w:bidi w:val="0"/>
              <w:spacing w:before="0" w:after="283"/>
              <w:jc w:val="left"/>
              <w:rPr/>
            </w:pPr>
            <w:r>
              <w:rPr/>
              <w:t> </w:t>
            </w:r>
          </w:p>
        </w:tc>
        <w:tc>
          <w:tcPr>
            <w:tcW w:w="571" w:type="dxa"/>
            <w:tcBorders>
              <w:left w:val="single" w:sz="8" w:space="0" w:color="E5F5FD"/>
              <w:bottom w:val="single" w:sz="8" w:space="0" w:color="E5F5FD"/>
            </w:tcBorders>
            <w:tcMar>
              <w:bottom w:w="60" w:type="dxa"/>
            </w:tcMar>
            <w:vAlign w:val="center"/>
          </w:tcPr>
          <w:p>
            <w:pPr>
              <w:pStyle w:val="TableContents"/>
              <w:bidi w:val="0"/>
              <w:spacing w:before="0" w:after="283"/>
              <w:jc w:val="left"/>
              <w:rPr/>
            </w:pPr>
            <w:r>
              <w:rPr/>
              <w:t> </w:t>
            </w:r>
          </w:p>
        </w:tc>
        <w:tc>
          <w:tcPr>
            <w:tcW w:w="824" w:type="dxa"/>
            <w:tcBorders>
              <w:left w:val="single" w:sz="8" w:space="0" w:color="E5F5FD"/>
              <w:bottom w:val="single" w:sz="8" w:space="0" w:color="E5F5FD"/>
            </w:tcBorders>
            <w:tcMar>
              <w:bottom w:w="60" w:type="dxa"/>
            </w:tcMar>
            <w:vAlign w:val="center"/>
          </w:tcPr>
          <w:p>
            <w:pPr>
              <w:pStyle w:val="TableContents"/>
              <w:bidi w:val="0"/>
              <w:spacing w:before="0" w:after="283"/>
              <w:jc w:val="left"/>
              <w:rPr/>
            </w:pPr>
            <w:r>
              <w:rPr/>
              <w:t> </w:t>
            </w:r>
          </w:p>
        </w:tc>
        <w:tc>
          <w:tcPr>
            <w:tcW w:w="680" w:type="dxa"/>
            <w:tcBorders>
              <w:left w:val="single" w:sz="8" w:space="0" w:color="E5F5FD"/>
              <w:bottom w:val="single" w:sz="8" w:space="0" w:color="E5F5FD"/>
            </w:tcBorders>
            <w:tcMar>
              <w:bottom w:w="60" w:type="dxa"/>
            </w:tcMar>
            <w:vAlign w:val="center"/>
          </w:tcPr>
          <w:p>
            <w:pPr>
              <w:pStyle w:val="TableContents"/>
              <w:bidi w:val="0"/>
              <w:spacing w:before="0" w:after="283"/>
              <w:jc w:val="left"/>
              <w:rPr/>
            </w:pPr>
            <w:r>
              <w:rPr/>
              <w:t> </w:t>
            </w:r>
          </w:p>
        </w:tc>
        <w:tc>
          <w:tcPr>
            <w:tcW w:w="725" w:type="dxa"/>
            <w:tcBorders>
              <w:left w:val="single" w:sz="8" w:space="0" w:color="E5F1E7"/>
              <w:bottom w:val="single" w:sz="8" w:space="0" w:color="E5F5FD"/>
            </w:tcBorders>
            <w:tcMar>
              <w:bottom w:w="60" w:type="dxa"/>
            </w:tcMar>
            <w:vAlign w:val="center"/>
          </w:tcPr>
          <w:p>
            <w:pPr>
              <w:pStyle w:val="TableContents"/>
              <w:bidi w:val="0"/>
              <w:spacing w:before="0" w:after="283"/>
              <w:jc w:val="left"/>
              <w:rPr/>
            </w:pPr>
            <w:r>
              <w:rPr/>
              <w:t> </w:t>
            </w:r>
          </w:p>
        </w:tc>
      </w:tr>
      <w:tr>
        <w:trPr/>
        <w:tc>
          <w:tcPr>
            <w:tcW w:w="1205" w:type="dxa"/>
            <w:tcBorders/>
            <w:shd w:fill="FFFFFF" w:val="clear"/>
            <w:tcMar>
              <w:left w:w="0" w:type="dxa"/>
            </w:tcMar>
            <w:vAlign w:val="center"/>
          </w:tcPr>
          <w:p>
            <w:pPr>
              <w:pStyle w:val="TableContents"/>
              <w:bidi w:val="0"/>
              <w:spacing w:before="0" w:after="283"/>
              <w:jc w:val="left"/>
              <w:rPr/>
            </w:pPr>
            <w:r>
              <w:rPr/>
              <w:t> </w:t>
            </w:r>
          </w:p>
        </w:tc>
        <w:tc>
          <w:tcPr>
            <w:tcW w:w="1265" w:type="dxa"/>
            <w:tcBorders>
              <w:left w:val="single" w:sz="8" w:space="0" w:color="E5F5FD"/>
              <w:bottom w:val="single" w:sz="8" w:space="0" w:color="E5F5FD"/>
            </w:tcBorders>
            <w:shd w:fill="EEF8FD" w:val="clear"/>
            <w:tcMar>
              <w:bottom w:w="6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November 1, 2024</w:t>
            </w:r>
            <w:r>
              <w:rPr>
                <w:rFonts w:ascii="Arial;Helvetica;Sans-Serif" w:hAnsi="Arial;Helvetica;Sans-Serif"/>
                <w:position w:val="5"/>
                <w:sz w:val="11"/>
                <w:sz w:val="14"/>
              </w:rPr>
              <w:t>(1)</w:t>
            </w:r>
          </w:p>
        </w:tc>
        <w:tc>
          <w:tcPr>
            <w:tcW w:w="835" w:type="dxa"/>
            <w:tcBorders>
              <w:left w:val="single" w:sz="8" w:space="0" w:color="E5F5FD"/>
              <w:bottom w:val="single" w:sz="8" w:space="0" w:color="E5F5FD"/>
            </w:tcBorders>
            <w:shd w:fill="EEF8FD" w:val="clear"/>
            <w:tcMar>
              <w:bottom w:w="60" w:type="dxa"/>
            </w:tcMar>
            <w:vAlign w:val="center"/>
          </w:tcPr>
          <w:p>
            <w:pPr>
              <w:pStyle w:val="TableContents"/>
              <w:bidi w:val="0"/>
              <w:spacing w:before="0" w:after="283"/>
              <w:jc w:val="right"/>
              <w:rPr/>
            </w:pPr>
            <w:r>
              <w:rPr/>
              <w:t>—</w:t>
            </w:r>
          </w:p>
        </w:tc>
        <w:tc>
          <w:tcPr>
            <w:tcW w:w="662" w:type="dxa"/>
            <w:tcBorders>
              <w:left w:val="single" w:sz="8" w:space="0" w:color="E5F5FD"/>
              <w:bottom w:val="single" w:sz="8" w:space="0" w:color="E5F5FD"/>
            </w:tcBorders>
            <w:shd w:fill="EEF8FD" w:val="clear"/>
            <w:tcMar>
              <w:bottom w:w="60" w:type="dxa"/>
            </w:tcMar>
            <w:vAlign w:val="center"/>
          </w:tcPr>
          <w:p>
            <w:pPr>
              <w:pStyle w:val="TableContents"/>
              <w:bidi w:val="0"/>
              <w:spacing w:before="0" w:after="283"/>
              <w:jc w:val="right"/>
              <w:rPr/>
            </w:pPr>
            <w:r>
              <w:rPr/>
              <w:t>—</w:t>
            </w:r>
          </w:p>
        </w:tc>
        <w:tc>
          <w:tcPr>
            <w:tcW w:w="817" w:type="dxa"/>
            <w:tcBorders>
              <w:left w:val="single" w:sz="8" w:space="0" w:color="E5F5FD"/>
              <w:bottom w:val="single" w:sz="8" w:space="0" w:color="E5F5FD"/>
            </w:tcBorders>
            <w:shd w:fill="EEF8FD" w:val="clear"/>
            <w:tcMar>
              <w:bottom w:w="60" w:type="dxa"/>
            </w:tcMar>
            <w:vAlign w:val="center"/>
          </w:tcPr>
          <w:p>
            <w:pPr>
              <w:pStyle w:val="TableContents"/>
              <w:bidi w:val="0"/>
              <w:spacing w:before="0" w:after="283"/>
              <w:jc w:val="right"/>
              <w:rPr/>
            </w:pPr>
            <w:r>
              <w:rPr/>
              <w:t>—</w:t>
            </w:r>
          </w:p>
        </w:tc>
        <w:tc>
          <w:tcPr>
            <w:tcW w:w="844" w:type="dxa"/>
            <w:tcBorders>
              <w:left w:val="single" w:sz="8" w:space="0" w:color="E5F5FD"/>
              <w:bottom w:val="single" w:sz="8" w:space="0" w:color="E5F5FD"/>
            </w:tcBorders>
            <w:shd w:fill="EEF8FD" w:val="clear"/>
            <w:tcMar>
              <w:bottom w:w="60" w:type="dxa"/>
            </w:tcMar>
            <w:vAlign w:val="center"/>
          </w:tcPr>
          <w:p>
            <w:pPr>
              <w:pStyle w:val="TableContents"/>
              <w:bidi w:val="0"/>
              <w:spacing w:before="0" w:after="283"/>
              <w:jc w:val="right"/>
              <w:rPr/>
            </w:pPr>
            <w:r>
              <w:rPr/>
              <w:t>—</w:t>
            </w:r>
          </w:p>
        </w:tc>
        <w:tc>
          <w:tcPr>
            <w:tcW w:w="571" w:type="dxa"/>
            <w:tcBorders>
              <w:left w:val="single" w:sz="8" w:space="0" w:color="E5F5FD"/>
              <w:bottom w:val="single" w:sz="8" w:space="0" w:color="E5F5FD"/>
            </w:tcBorders>
            <w:shd w:fill="EEF8FD" w:val="clear"/>
            <w:tcMar>
              <w:bottom w:w="60" w:type="dxa"/>
            </w:tcMar>
            <w:vAlign w:val="center"/>
          </w:tcPr>
          <w:p>
            <w:pPr>
              <w:pStyle w:val="TableContents"/>
              <w:bidi w:val="0"/>
              <w:spacing w:before="0" w:after="283"/>
              <w:jc w:val="right"/>
              <w:rPr/>
            </w:pPr>
            <w:r>
              <w:rPr/>
              <w:t>—</w:t>
            </w:r>
          </w:p>
        </w:tc>
        <w:tc>
          <w:tcPr>
            <w:tcW w:w="824" w:type="dxa"/>
            <w:tcBorders>
              <w:left w:val="single" w:sz="8" w:space="0" w:color="E5F5FD"/>
              <w:bottom w:val="single" w:sz="8" w:space="0" w:color="E5F5FD"/>
            </w:tcBorders>
            <w:shd w:fill="EEF8FD" w:val="clear"/>
            <w:tcMar>
              <w:bottom w:w="60" w:type="dxa"/>
            </w:tcMar>
            <w:vAlign w:val="center"/>
          </w:tcPr>
          <w:p>
            <w:pPr>
              <w:pStyle w:val="TableContents"/>
              <w:bidi w:val="0"/>
              <w:spacing w:before="0" w:after="283"/>
              <w:jc w:val="right"/>
              <w:rPr/>
            </w:pPr>
            <w:r>
              <w:rPr/>
              <w:t>—</w:t>
            </w:r>
          </w:p>
        </w:tc>
        <w:tc>
          <w:tcPr>
            <w:tcW w:w="680" w:type="dxa"/>
            <w:tcBorders>
              <w:left w:val="single" w:sz="8" w:space="0" w:color="E5F5FD"/>
              <w:bottom w:val="single" w:sz="8" w:space="0" w:color="E5F5FD"/>
            </w:tcBorders>
            <w:shd w:fill="EEF8FD" w:val="clear"/>
            <w:tcMar>
              <w:bottom w:w="6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19,577</w:t>
            </w:r>
          </w:p>
        </w:tc>
        <w:tc>
          <w:tcPr>
            <w:tcW w:w="725" w:type="dxa"/>
            <w:tcBorders>
              <w:left w:val="single" w:sz="8" w:space="0" w:color="E5F1E7"/>
              <w:bottom w:val="single" w:sz="8" w:space="0" w:color="E5F5FD"/>
            </w:tcBorders>
            <w:shd w:fill="EEF8FD" w:val="clear"/>
            <w:tcMar>
              <w:bottom w:w="6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500,000</w:t>
            </w:r>
          </w:p>
        </w:tc>
      </w:tr>
      <w:tr>
        <w:trPr/>
        <w:tc>
          <w:tcPr>
            <w:tcW w:w="1205" w:type="dxa"/>
            <w:tcBorders/>
            <w:shd w:fill="FFFFFF" w:val="clear"/>
            <w:tcMar>
              <w:left w:w="0" w:type="dxa"/>
            </w:tcMar>
            <w:vAlign w:val="center"/>
          </w:tcPr>
          <w:p>
            <w:pPr>
              <w:pStyle w:val="TableContents"/>
              <w:bidi w:val="0"/>
              <w:spacing w:before="0" w:after="283"/>
              <w:jc w:val="left"/>
              <w:rPr/>
            </w:pPr>
            <w:r>
              <w:rPr/>
              <w:t> </w:t>
            </w:r>
          </w:p>
        </w:tc>
        <w:tc>
          <w:tcPr>
            <w:tcW w:w="1265" w:type="dxa"/>
            <w:tcBorders>
              <w:left w:val="single" w:sz="8" w:space="0" w:color="E5F5FD"/>
              <w:bottom w:val="single" w:sz="8" w:space="0" w:color="E5F5FD"/>
            </w:tcBorders>
            <w:tcMar>
              <w:bottom w:w="6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November 1, 2024</w:t>
            </w:r>
            <w:r>
              <w:rPr>
                <w:rFonts w:ascii="Arial;Helvetica;Sans-Serif" w:hAnsi="Arial;Helvetica;Sans-Serif"/>
                <w:position w:val="5"/>
                <w:sz w:val="11"/>
                <w:sz w:val="14"/>
              </w:rPr>
              <w:t>(2)</w:t>
            </w:r>
          </w:p>
        </w:tc>
        <w:tc>
          <w:tcPr>
            <w:tcW w:w="835" w:type="dxa"/>
            <w:tcBorders>
              <w:left w:val="single" w:sz="8" w:space="0" w:color="E5F5FD"/>
              <w:bottom w:val="single" w:sz="8" w:space="0" w:color="E5F5FD"/>
            </w:tcBorders>
            <w:tcMar>
              <w:bottom w:w="60" w:type="dxa"/>
            </w:tcMar>
            <w:vAlign w:val="center"/>
          </w:tcPr>
          <w:p>
            <w:pPr>
              <w:pStyle w:val="TableContents"/>
              <w:bidi w:val="0"/>
              <w:spacing w:before="0" w:after="283"/>
              <w:jc w:val="right"/>
              <w:rPr/>
            </w:pPr>
            <w:r>
              <w:rPr/>
              <w:t>—</w:t>
            </w:r>
          </w:p>
        </w:tc>
        <w:tc>
          <w:tcPr>
            <w:tcW w:w="662" w:type="dxa"/>
            <w:tcBorders>
              <w:left w:val="single" w:sz="8" w:space="0" w:color="E5F5FD"/>
              <w:bottom w:val="single" w:sz="8" w:space="0" w:color="E5F5FD"/>
            </w:tcBorders>
            <w:tcMar>
              <w:bottom w:w="60" w:type="dxa"/>
            </w:tcMar>
            <w:vAlign w:val="center"/>
          </w:tcPr>
          <w:p>
            <w:pPr>
              <w:pStyle w:val="TableContents"/>
              <w:bidi w:val="0"/>
              <w:spacing w:before="0" w:after="283"/>
              <w:jc w:val="right"/>
              <w:rPr/>
            </w:pPr>
            <w:r>
              <w:rPr/>
              <w:t>—</w:t>
            </w:r>
          </w:p>
        </w:tc>
        <w:tc>
          <w:tcPr>
            <w:tcW w:w="817" w:type="dxa"/>
            <w:tcBorders>
              <w:left w:val="single" w:sz="8" w:space="0" w:color="E5F5FD"/>
              <w:bottom w:val="single" w:sz="8" w:space="0" w:color="E5F5FD"/>
            </w:tcBorders>
            <w:tcMar>
              <w:bottom w:w="60" w:type="dxa"/>
            </w:tcMar>
            <w:vAlign w:val="center"/>
          </w:tcPr>
          <w:p>
            <w:pPr>
              <w:pStyle w:val="TableContents"/>
              <w:bidi w:val="0"/>
              <w:spacing w:before="0" w:after="283"/>
              <w:jc w:val="right"/>
              <w:rPr/>
            </w:pPr>
            <w:r>
              <w:rPr/>
              <w:t>—</w:t>
            </w:r>
          </w:p>
        </w:tc>
        <w:tc>
          <w:tcPr>
            <w:tcW w:w="844" w:type="dxa"/>
            <w:tcBorders>
              <w:left w:val="single" w:sz="8" w:space="0" w:color="E5F5FD"/>
              <w:bottom w:val="single" w:sz="8" w:space="0" w:color="E5F5FD"/>
            </w:tcBorders>
            <w:tcMar>
              <w:bottom w:w="6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9,789</w:t>
            </w:r>
          </w:p>
        </w:tc>
        <w:tc>
          <w:tcPr>
            <w:tcW w:w="571" w:type="dxa"/>
            <w:tcBorders>
              <w:left w:val="single" w:sz="8" w:space="0" w:color="E5F5FD"/>
              <w:bottom w:val="single" w:sz="8" w:space="0" w:color="E5F5FD"/>
            </w:tcBorders>
            <w:tcMar>
              <w:bottom w:w="6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19,577</w:t>
            </w:r>
          </w:p>
        </w:tc>
        <w:tc>
          <w:tcPr>
            <w:tcW w:w="824" w:type="dxa"/>
            <w:tcBorders>
              <w:left w:val="single" w:sz="8" w:space="0" w:color="E5F5FD"/>
              <w:bottom w:val="single" w:sz="8" w:space="0" w:color="E5F5FD"/>
            </w:tcBorders>
            <w:tcMar>
              <w:bottom w:w="6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39,154</w:t>
            </w:r>
          </w:p>
        </w:tc>
        <w:tc>
          <w:tcPr>
            <w:tcW w:w="680" w:type="dxa"/>
            <w:tcBorders>
              <w:left w:val="single" w:sz="8" w:space="0" w:color="E5F5FD"/>
              <w:bottom w:val="single" w:sz="8" w:space="0" w:color="E5F5FD"/>
            </w:tcBorders>
            <w:tcMar>
              <w:bottom w:w="60" w:type="dxa"/>
            </w:tcMar>
            <w:vAlign w:val="center"/>
          </w:tcPr>
          <w:p>
            <w:pPr>
              <w:pStyle w:val="TableContents"/>
              <w:bidi w:val="0"/>
              <w:spacing w:before="0" w:after="283"/>
              <w:jc w:val="right"/>
              <w:rPr/>
            </w:pPr>
            <w:r>
              <w:rPr/>
              <w:t>—</w:t>
            </w:r>
          </w:p>
        </w:tc>
        <w:tc>
          <w:tcPr>
            <w:tcW w:w="725" w:type="dxa"/>
            <w:tcBorders>
              <w:left w:val="single" w:sz="8" w:space="0" w:color="E5F1E7"/>
              <w:bottom w:val="single" w:sz="8" w:space="0" w:color="E5F5FD"/>
            </w:tcBorders>
            <w:tcMar>
              <w:bottom w:w="6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500,000</w:t>
            </w:r>
          </w:p>
        </w:tc>
      </w:tr>
      <w:tr>
        <w:trPr/>
        <w:tc>
          <w:tcPr>
            <w:tcW w:w="1205" w:type="dxa"/>
            <w:tcBorders>
              <w:bottom w:val="single" w:sz="8" w:space="0" w:color="E5F5FD"/>
            </w:tcBorders>
            <w:shd w:fill="FFFFFF" w:val="clear"/>
            <w:tcMar>
              <w:left w:w="0" w:type="dxa"/>
              <w:bottom w:w="60" w:type="dxa"/>
            </w:tcMar>
            <w:vAlign w:val="center"/>
          </w:tcPr>
          <w:p>
            <w:pPr>
              <w:pStyle w:val="TableContents"/>
              <w:bidi w:val="0"/>
              <w:spacing w:before="0" w:after="283"/>
              <w:jc w:val="left"/>
              <w:rPr/>
            </w:pPr>
            <w:r>
              <w:rPr/>
              <w:t> </w:t>
            </w:r>
          </w:p>
        </w:tc>
        <w:tc>
          <w:tcPr>
            <w:tcW w:w="1265" w:type="dxa"/>
            <w:tcBorders>
              <w:left w:val="single" w:sz="8" w:space="0" w:color="E5F5FD"/>
              <w:bottom w:val="single" w:sz="8" w:space="0" w:color="E5F5FD"/>
            </w:tcBorders>
            <w:shd w:fill="EEF8FD" w:val="clear"/>
            <w:tcMar>
              <w:bottom w:w="6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November 1, 2024</w:t>
            </w:r>
            <w:r>
              <w:rPr>
                <w:rFonts w:ascii="Arial;Helvetica;Sans-Serif" w:hAnsi="Arial;Helvetica;Sans-Serif"/>
                <w:position w:val="5"/>
                <w:sz w:val="11"/>
                <w:sz w:val="14"/>
              </w:rPr>
              <w:t>(3)</w:t>
            </w:r>
          </w:p>
        </w:tc>
        <w:tc>
          <w:tcPr>
            <w:tcW w:w="835" w:type="dxa"/>
            <w:tcBorders>
              <w:left w:val="single" w:sz="8" w:space="0" w:color="E5F5FD"/>
              <w:bottom w:val="single" w:sz="8" w:space="0" w:color="E5F5FD"/>
            </w:tcBorders>
            <w:shd w:fill="EEF8FD" w:val="clear"/>
            <w:tcMar>
              <w:bottom w:w="6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269,625</w:t>
            </w:r>
          </w:p>
        </w:tc>
        <w:tc>
          <w:tcPr>
            <w:tcW w:w="662" w:type="dxa"/>
            <w:tcBorders>
              <w:left w:val="single" w:sz="8" w:space="0" w:color="E5F5FD"/>
              <w:bottom w:val="single" w:sz="8" w:space="0" w:color="E5F5FD"/>
            </w:tcBorders>
            <w:shd w:fill="EEF8FD" w:val="clear"/>
            <w:tcMar>
              <w:bottom w:w="6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539,250</w:t>
            </w:r>
          </w:p>
        </w:tc>
        <w:tc>
          <w:tcPr>
            <w:tcW w:w="817" w:type="dxa"/>
            <w:tcBorders>
              <w:left w:val="single" w:sz="8" w:space="0" w:color="E5F5FD"/>
              <w:bottom w:val="single" w:sz="8" w:space="0" w:color="E5F5FD"/>
            </w:tcBorders>
            <w:shd w:fill="EEF8FD" w:val="clear"/>
            <w:tcMar>
              <w:bottom w:w="6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1,078,500</w:t>
            </w:r>
          </w:p>
        </w:tc>
        <w:tc>
          <w:tcPr>
            <w:tcW w:w="844" w:type="dxa"/>
            <w:tcBorders>
              <w:left w:val="single" w:sz="8" w:space="0" w:color="E5F5FD"/>
              <w:bottom w:val="single" w:sz="8" w:space="0" w:color="E5F5FD"/>
            </w:tcBorders>
            <w:shd w:fill="EEF8FD" w:val="clear"/>
            <w:tcMar>
              <w:bottom w:w="60" w:type="dxa"/>
            </w:tcMar>
            <w:vAlign w:val="center"/>
          </w:tcPr>
          <w:p>
            <w:pPr>
              <w:pStyle w:val="TableContents"/>
              <w:bidi w:val="0"/>
              <w:spacing w:before="0" w:after="283"/>
              <w:jc w:val="right"/>
              <w:rPr/>
            </w:pPr>
            <w:r>
              <w:rPr/>
              <w:t>—</w:t>
            </w:r>
          </w:p>
        </w:tc>
        <w:tc>
          <w:tcPr>
            <w:tcW w:w="571" w:type="dxa"/>
            <w:tcBorders>
              <w:left w:val="single" w:sz="8" w:space="0" w:color="E5F5FD"/>
              <w:bottom w:val="single" w:sz="8" w:space="0" w:color="E5F5FD"/>
            </w:tcBorders>
            <w:shd w:fill="EEF8FD" w:val="clear"/>
            <w:tcMar>
              <w:bottom w:w="60" w:type="dxa"/>
            </w:tcMar>
            <w:vAlign w:val="center"/>
          </w:tcPr>
          <w:p>
            <w:pPr>
              <w:pStyle w:val="TableContents"/>
              <w:bidi w:val="0"/>
              <w:spacing w:before="0" w:after="283"/>
              <w:jc w:val="right"/>
              <w:rPr/>
            </w:pPr>
            <w:r>
              <w:rPr/>
              <w:t>—</w:t>
            </w:r>
          </w:p>
        </w:tc>
        <w:tc>
          <w:tcPr>
            <w:tcW w:w="824" w:type="dxa"/>
            <w:tcBorders>
              <w:left w:val="single" w:sz="8" w:space="0" w:color="E5F5FD"/>
              <w:bottom w:val="single" w:sz="8" w:space="0" w:color="E5F5FD"/>
            </w:tcBorders>
            <w:shd w:fill="EEF8FD" w:val="clear"/>
            <w:tcMar>
              <w:bottom w:w="60" w:type="dxa"/>
            </w:tcMar>
            <w:vAlign w:val="center"/>
          </w:tcPr>
          <w:p>
            <w:pPr>
              <w:pStyle w:val="TableContents"/>
              <w:bidi w:val="0"/>
              <w:spacing w:before="0" w:after="283"/>
              <w:jc w:val="right"/>
              <w:rPr/>
            </w:pPr>
            <w:r>
              <w:rPr/>
              <w:t>—</w:t>
            </w:r>
          </w:p>
        </w:tc>
        <w:tc>
          <w:tcPr>
            <w:tcW w:w="680" w:type="dxa"/>
            <w:tcBorders>
              <w:left w:val="single" w:sz="8" w:space="0" w:color="E5F5FD"/>
              <w:bottom w:val="single" w:sz="8" w:space="0" w:color="E5F5FD"/>
            </w:tcBorders>
            <w:shd w:fill="EEF8FD" w:val="clear"/>
            <w:tcMar>
              <w:bottom w:w="60" w:type="dxa"/>
            </w:tcMar>
            <w:vAlign w:val="center"/>
          </w:tcPr>
          <w:p>
            <w:pPr>
              <w:pStyle w:val="TableContents"/>
              <w:bidi w:val="0"/>
              <w:spacing w:before="0" w:after="283"/>
              <w:jc w:val="right"/>
              <w:rPr/>
            </w:pPr>
            <w:r>
              <w:rPr/>
              <w:t>—</w:t>
            </w:r>
          </w:p>
        </w:tc>
        <w:tc>
          <w:tcPr>
            <w:tcW w:w="725" w:type="dxa"/>
            <w:tcBorders>
              <w:left w:val="single" w:sz="8" w:space="0" w:color="E5F1E7"/>
              <w:bottom w:val="single" w:sz="8" w:space="0" w:color="E5F5FD"/>
            </w:tcBorders>
            <w:shd w:fill="EEF8FD" w:val="clear"/>
            <w:tcMar>
              <w:bottom w:w="60" w:type="dxa"/>
            </w:tcMar>
            <w:vAlign w:val="center"/>
          </w:tcPr>
          <w:p>
            <w:pPr>
              <w:pStyle w:val="TableContents"/>
              <w:bidi w:val="0"/>
              <w:spacing w:before="0" w:after="283"/>
              <w:jc w:val="right"/>
              <w:rPr/>
            </w:pPr>
            <w:r>
              <w:rPr/>
              <w:t>—</w:t>
            </w:r>
          </w:p>
        </w:tc>
      </w:tr>
      <w:tr>
        <w:trPr/>
        <w:tc>
          <w:tcPr>
            <w:tcW w:w="1205" w:type="dxa"/>
            <w:tcBorders/>
            <w:shd w:fill="FFFFFF" w:val="clear"/>
            <w:tcMar>
              <w:left w:w="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Mark Palamountain</w:t>
            </w:r>
          </w:p>
        </w:tc>
        <w:tc>
          <w:tcPr>
            <w:tcW w:w="1265" w:type="dxa"/>
            <w:tcBorders>
              <w:left w:val="single" w:sz="8" w:space="0" w:color="E5F5FD"/>
              <w:bottom w:val="single" w:sz="8" w:space="0" w:color="E5F5FD"/>
            </w:tcBorders>
            <w:tcMar>
              <w:bottom w:w="60" w:type="dxa"/>
            </w:tcMar>
            <w:vAlign w:val="center"/>
          </w:tcPr>
          <w:p>
            <w:pPr>
              <w:pStyle w:val="TableContents"/>
              <w:bidi w:val="0"/>
              <w:spacing w:before="0" w:after="283"/>
              <w:jc w:val="left"/>
              <w:rPr/>
            </w:pPr>
            <w:r>
              <w:rPr/>
              <w:t> </w:t>
            </w:r>
          </w:p>
        </w:tc>
        <w:tc>
          <w:tcPr>
            <w:tcW w:w="835" w:type="dxa"/>
            <w:tcBorders>
              <w:left w:val="single" w:sz="8" w:space="0" w:color="E5F5FD"/>
              <w:bottom w:val="single" w:sz="8" w:space="0" w:color="E5F5FD"/>
            </w:tcBorders>
            <w:tcMar>
              <w:bottom w:w="60" w:type="dxa"/>
            </w:tcMar>
            <w:vAlign w:val="center"/>
          </w:tcPr>
          <w:p>
            <w:pPr>
              <w:pStyle w:val="TableContents"/>
              <w:bidi w:val="0"/>
              <w:spacing w:before="0" w:after="283"/>
              <w:jc w:val="left"/>
              <w:rPr/>
            </w:pPr>
            <w:r>
              <w:rPr/>
              <w:t> </w:t>
            </w:r>
          </w:p>
        </w:tc>
        <w:tc>
          <w:tcPr>
            <w:tcW w:w="662" w:type="dxa"/>
            <w:tcBorders>
              <w:left w:val="single" w:sz="8" w:space="0" w:color="E5F5FD"/>
              <w:bottom w:val="single" w:sz="8" w:space="0" w:color="E5F5FD"/>
            </w:tcBorders>
            <w:tcMar>
              <w:bottom w:w="60" w:type="dxa"/>
            </w:tcMar>
            <w:vAlign w:val="center"/>
          </w:tcPr>
          <w:p>
            <w:pPr>
              <w:pStyle w:val="TableContents"/>
              <w:bidi w:val="0"/>
              <w:spacing w:before="0" w:after="283"/>
              <w:jc w:val="left"/>
              <w:rPr/>
            </w:pPr>
            <w:r>
              <w:rPr/>
              <w:t> </w:t>
            </w:r>
          </w:p>
        </w:tc>
        <w:tc>
          <w:tcPr>
            <w:tcW w:w="817" w:type="dxa"/>
            <w:tcBorders>
              <w:left w:val="single" w:sz="8" w:space="0" w:color="E5F5FD"/>
              <w:bottom w:val="single" w:sz="8" w:space="0" w:color="E5F5FD"/>
            </w:tcBorders>
            <w:tcMar>
              <w:bottom w:w="60" w:type="dxa"/>
            </w:tcMar>
            <w:vAlign w:val="center"/>
          </w:tcPr>
          <w:p>
            <w:pPr>
              <w:pStyle w:val="TableContents"/>
              <w:bidi w:val="0"/>
              <w:spacing w:before="0" w:after="283"/>
              <w:jc w:val="left"/>
              <w:rPr/>
            </w:pPr>
            <w:r>
              <w:rPr/>
              <w:t> </w:t>
            </w:r>
          </w:p>
        </w:tc>
        <w:tc>
          <w:tcPr>
            <w:tcW w:w="844" w:type="dxa"/>
            <w:tcBorders>
              <w:left w:val="single" w:sz="8" w:space="0" w:color="E5F5FD"/>
              <w:bottom w:val="single" w:sz="8" w:space="0" w:color="E5F5FD"/>
            </w:tcBorders>
            <w:tcMar>
              <w:bottom w:w="60" w:type="dxa"/>
            </w:tcMar>
            <w:vAlign w:val="center"/>
          </w:tcPr>
          <w:p>
            <w:pPr>
              <w:pStyle w:val="TableContents"/>
              <w:bidi w:val="0"/>
              <w:spacing w:before="0" w:after="283"/>
              <w:jc w:val="left"/>
              <w:rPr/>
            </w:pPr>
            <w:r>
              <w:rPr/>
              <w:t> </w:t>
            </w:r>
          </w:p>
        </w:tc>
        <w:tc>
          <w:tcPr>
            <w:tcW w:w="571" w:type="dxa"/>
            <w:tcBorders>
              <w:left w:val="single" w:sz="8" w:space="0" w:color="E5F5FD"/>
              <w:bottom w:val="single" w:sz="8" w:space="0" w:color="E5F5FD"/>
            </w:tcBorders>
            <w:tcMar>
              <w:bottom w:w="60" w:type="dxa"/>
            </w:tcMar>
            <w:vAlign w:val="center"/>
          </w:tcPr>
          <w:p>
            <w:pPr>
              <w:pStyle w:val="TableContents"/>
              <w:bidi w:val="0"/>
              <w:spacing w:before="0" w:after="283"/>
              <w:jc w:val="left"/>
              <w:rPr/>
            </w:pPr>
            <w:r>
              <w:rPr/>
              <w:t> </w:t>
            </w:r>
          </w:p>
        </w:tc>
        <w:tc>
          <w:tcPr>
            <w:tcW w:w="824" w:type="dxa"/>
            <w:tcBorders>
              <w:left w:val="single" w:sz="8" w:space="0" w:color="E5F5FD"/>
              <w:bottom w:val="single" w:sz="8" w:space="0" w:color="E5F5FD"/>
            </w:tcBorders>
            <w:tcMar>
              <w:bottom w:w="60" w:type="dxa"/>
            </w:tcMar>
            <w:vAlign w:val="center"/>
          </w:tcPr>
          <w:p>
            <w:pPr>
              <w:pStyle w:val="TableContents"/>
              <w:bidi w:val="0"/>
              <w:spacing w:before="0" w:after="283"/>
              <w:jc w:val="left"/>
              <w:rPr/>
            </w:pPr>
            <w:r>
              <w:rPr/>
              <w:t> </w:t>
            </w:r>
          </w:p>
        </w:tc>
        <w:tc>
          <w:tcPr>
            <w:tcW w:w="680" w:type="dxa"/>
            <w:tcBorders>
              <w:left w:val="single" w:sz="8" w:space="0" w:color="E5F5FD"/>
              <w:bottom w:val="single" w:sz="8" w:space="0" w:color="E5F5FD"/>
            </w:tcBorders>
            <w:tcMar>
              <w:bottom w:w="60" w:type="dxa"/>
            </w:tcMar>
            <w:vAlign w:val="center"/>
          </w:tcPr>
          <w:p>
            <w:pPr>
              <w:pStyle w:val="TableContents"/>
              <w:bidi w:val="0"/>
              <w:spacing w:before="0" w:after="283"/>
              <w:jc w:val="left"/>
              <w:rPr/>
            </w:pPr>
            <w:r>
              <w:rPr/>
              <w:t> </w:t>
            </w:r>
          </w:p>
        </w:tc>
        <w:tc>
          <w:tcPr>
            <w:tcW w:w="725" w:type="dxa"/>
            <w:tcBorders>
              <w:left w:val="single" w:sz="8" w:space="0" w:color="E5F1E7"/>
              <w:bottom w:val="single" w:sz="8" w:space="0" w:color="E5F5FD"/>
            </w:tcBorders>
            <w:tcMar>
              <w:bottom w:w="60" w:type="dxa"/>
            </w:tcMar>
            <w:vAlign w:val="center"/>
          </w:tcPr>
          <w:p>
            <w:pPr>
              <w:pStyle w:val="TableContents"/>
              <w:bidi w:val="0"/>
              <w:spacing w:before="0" w:after="283"/>
              <w:jc w:val="left"/>
              <w:rPr/>
            </w:pPr>
            <w:r>
              <w:rPr/>
              <w:t> </w:t>
            </w:r>
          </w:p>
        </w:tc>
      </w:tr>
      <w:tr>
        <w:trPr/>
        <w:tc>
          <w:tcPr>
            <w:tcW w:w="1205" w:type="dxa"/>
            <w:tcBorders/>
            <w:shd w:fill="FFFFFF" w:val="clear"/>
            <w:tcMar>
              <w:left w:w="0" w:type="dxa"/>
            </w:tcMar>
            <w:vAlign w:val="center"/>
          </w:tcPr>
          <w:p>
            <w:pPr>
              <w:pStyle w:val="TableContents"/>
              <w:bidi w:val="0"/>
              <w:spacing w:before="0" w:after="283"/>
              <w:jc w:val="left"/>
              <w:rPr/>
            </w:pPr>
            <w:r>
              <w:rPr/>
              <w:t> </w:t>
            </w:r>
          </w:p>
        </w:tc>
        <w:tc>
          <w:tcPr>
            <w:tcW w:w="1265" w:type="dxa"/>
            <w:tcBorders>
              <w:left w:val="single" w:sz="8" w:space="0" w:color="E5F5FD"/>
              <w:bottom w:val="single" w:sz="8" w:space="0" w:color="E5F5FD"/>
            </w:tcBorders>
            <w:shd w:fill="EEF8FD" w:val="clear"/>
            <w:tcMar>
              <w:bottom w:w="6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November 1, 2024</w:t>
            </w:r>
            <w:r>
              <w:rPr>
                <w:rFonts w:ascii="Arial;Helvetica;Sans-Serif" w:hAnsi="Arial;Helvetica;Sans-Serif"/>
                <w:position w:val="5"/>
                <w:sz w:val="11"/>
                <w:sz w:val="14"/>
              </w:rPr>
              <w:t>(1)</w:t>
            </w:r>
          </w:p>
        </w:tc>
        <w:tc>
          <w:tcPr>
            <w:tcW w:w="835" w:type="dxa"/>
            <w:tcBorders>
              <w:left w:val="single" w:sz="8" w:space="0" w:color="E5F5FD"/>
              <w:bottom w:val="single" w:sz="8" w:space="0" w:color="E5F5FD"/>
            </w:tcBorders>
            <w:shd w:fill="EEF8FD" w:val="clear"/>
            <w:tcMar>
              <w:bottom w:w="60" w:type="dxa"/>
            </w:tcMar>
            <w:vAlign w:val="center"/>
          </w:tcPr>
          <w:p>
            <w:pPr>
              <w:pStyle w:val="TableContents"/>
              <w:bidi w:val="0"/>
              <w:spacing w:before="0" w:after="283"/>
              <w:jc w:val="right"/>
              <w:rPr/>
            </w:pPr>
            <w:r>
              <w:rPr/>
              <w:t>—</w:t>
            </w:r>
          </w:p>
        </w:tc>
        <w:tc>
          <w:tcPr>
            <w:tcW w:w="662" w:type="dxa"/>
            <w:tcBorders>
              <w:left w:val="single" w:sz="8" w:space="0" w:color="E5F5FD"/>
              <w:bottom w:val="single" w:sz="8" w:space="0" w:color="E5F5FD"/>
            </w:tcBorders>
            <w:shd w:fill="EEF8FD" w:val="clear"/>
            <w:tcMar>
              <w:bottom w:w="60" w:type="dxa"/>
            </w:tcMar>
            <w:vAlign w:val="center"/>
          </w:tcPr>
          <w:p>
            <w:pPr>
              <w:pStyle w:val="TableContents"/>
              <w:bidi w:val="0"/>
              <w:spacing w:before="0" w:after="283"/>
              <w:jc w:val="right"/>
              <w:rPr/>
            </w:pPr>
            <w:r>
              <w:rPr/>
              <w:t>—</w:t>
            </w:r>
          </w:p>
        </w:tc>
        <w:tc>
          <w:tcPr>
            <w:tcW w:w="817" w:type="dxa"/>
            <w:tcBorders>
              <w:left w:val="single" w:sz="8" w:space="0" w:color="E5F5FD"/>
              <w:bottom w:val="single" w:sz="8" w:space="0" w:color="E5F5FD"/>
            </w:tcBorders>
            <w:shd w:fill="EEF8FD" w:val="clear"/>
            <w:tcMar>
              <w:bottom w:w="60" w:type="dxa"/>
            </w:tcMar>
            <w:vAlign w:val="center"/>
          </w:tcPr>
          <w:p>
            <w:pPr>
              <w:pStyle w:val="TableContents"/>
              <w:bidi w:val="0"/>
              <w:spacing w:before="0" w:after="283"/>
              <w:jc w:val="right"/>
              <w:rPr/>
            </w:pPr>
            <w:r>
              <w:rPr/>
              <w:t>—</w:t>
            </w:r>
          </w:p>
        </w:tc>
        <w:tc>
          <w:tcPr>
            <w:tcW w:w="844" w:type="dxa"/>
            <w:tcBorders>
              <w:left w:val="single" w:sz="8" w:space="0" w:color="E5F5FD"/>
              <w:bottom w:val="single" w:sz="8" w:space="0" w:color="E5F5FD"/>
            </w:tcBorders>
            <w:shd w:fill="EEF8FD" w:val="clear"/>
            <w:tcMar>
              <w:bottom w:w="60" w:type="dxa"/>
            </w:tcMar>
            <w:vAlign w:val="center"/>
          </w:tcPr>
          <w:p>
            <w:pPr>
              <w:pStyle w:val="TableContents"/>
              <w:bidi w:val="0"/>
              <w:spacing w:before="0" w:after="283"/>
              <w:jc w:val="right"/>
              <w:rPr/>
            </w:pPr>
            <w:r>
              <w:rPr/>
              <w:t>—</w:t>
            </w:r>
          </w:p>
        </w:tc>
        <w:tc>
          <w:tcPr>
            <w:tcW w:w="571" w:type="dxa"/>
            <w:tcBorders>
              <w:left w:val="single" w:sz="8" w:space="0" w:color="E5F5FD"/>
              <w:bottom w:val="single" w:sz="8" w:space="0" w:color="E5F5FD"/>
            </w:tcBorders>
            <w:shd w:fill="EEF8FD" w:val="clear"/>
            <w:tcMar>
              <w:bottom w:w="60" w:type="dxa"/>
            </w:tcMar>
            <w:vAlign w:val="center"/>
          </w:tcPr>
          <w:p>
            <w:pPr>
              <w:pStyle w:val="TableContents"/>
              <w:bidi w:val="0"/>
              <w:spacing w:before="0" w:after="283"/>
              <w:jc w:val="right"/>
              <w:rPr/>
            </w:pPr>
            <w:r>
              <w:rPr/>
              <w:t>—</w:t>
            </w:r>
          </w:p>
        </w:tc>
        <w:tc>
          <w:tcPr>
            <w:tcW w:w="824" w:type="dxa"/>
            <w:tcBorders>
              <w:left w:val="single" w:sz="8" w:space="0" w:color="E5F5FD"/>
              <w:bottom w:val="single" w:sz="8" w:space="0" w:color="E5F5FD"/>
            </w:tcBorders>
            <w:shd w:fill="EEF8FD" w:val="clear"/>
            <w:tcMar>
              <w:bottom w:w="60" w:type="dxa"/>
            </w:tcMar>
            <w:vAlign w:val="center"/>
          </w:tcPr>
          <w:p>
            <w:pPr>
              <w:pStyle w:val="TableContents"/>
              <w:bidi w:val="0"/>
              <w:spacing w:before="0" w:after="283"/>
              <w:jc w:val="right"/>
              <w:rPr/>
            </w:pPr>
            <w:r>
              <w:rPr/>
              <w:t>—</w:t>
            </w:r>
          </w:p>
        </w:tc>
        <w:tc>
          <w:tcPr>
            <w:tcW w:w="680" w:type="dxa"/>
            <w:tcBorders>
              <w:left w:val="single" w:sz="8" w:space="0" w:color="E5F5FD"/>
              <w:bottom w:val="single" w:sz="8" w:space="0" w:color="E5F5FD"/>
            </w:tcBorders>
            <w:shd w:fill="EEF8FD" w:val="clear"/>
            <w:tcMar>
              <w:bottom w:w="6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9,789</w:t>
            </w:r>
          </w:p>
        </w:tc>
        <w:tc>
          <w:tcPr>
            <w:tcW w:w="725" w:type="dxa"/>
            <w:tcBorders>
              <w:left w:val="single" w:sz="8" w:space="0" w:color="E5F1E7"/>
              <w:bottom w:val="single" w:sz="8" w:space="0" w:color="E5F5FD"/>
            </w:tcBorders>
            <w:shd w:fill="EEF8FD" w:val="clear"/>
            <w:tcMar>
              <w:bottom w:w="6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250,000</w:t>
            </w:r>
          </w:p>
        </w:tc>
      </w:tr>
      <w:tr>
        <w:trPr/>
        <w:tc>
          <w:tcPr>
            <w:tcW w:w="1205" w:type="dxa"/>
            <w:tcBorders/>
            <w:shd w:fill="FFFFFF" w:val="clear"/>
            <w:tcMar>
              <w:left w:w="0" w:type="dxa"/>
            </w:tcMar>
            <w:vAlign w:val="center"/>
          </w:tcPr>
          <w:p>
            <w:pPr>
              <w:pStyle w:val="TableContents"/>
              <w:bidi w:val="0"/>
              <w:spacing w:before="0" w:after="283"/>
              <w:jc w:val="left"/>
              <w:rPr/>
            </w:pPr>
            <w:r>
              <w:rPr/>
              <w:t> </w:t>
            </w:r>
          </w:p>
        </w:tc>
        <w:tc>
          <w:tcPr>
            <w:tcW w:w="1265" w:type="dxa"/>
            <w:tcBorders>
              <w:left w:val="single" w:sz="8" w:space="0" w:color="E5F5FD"/>
              <w:bottom w:val="single" w:sz="8" w:space="0" w:color="E5F5FD"/>
            </w:tcBorders>
            <w:tcMar>
              <w:bottom w:w="6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November 1, 2024</w:t>
            </w:r>
            <w:r>
              <w:rPr>
                <w:rFonts w:ascii="Arial;Helvetica;Sans-Serif" w:hAnsi="Arial;Helvetica;Sans-Serif"/>
                <w:position w:val="5"/>
                <w:sz w:val="11"/>
                <w:sz w:val="14"/>
              </w:rPr>
              <w:t>(2)</w:t>
            </w:r>
          </w:p>
        </w:tc>
        <w:tc>
          <w:tcPr>
            <w:tcW w:w="835" w:type="dxa"/>
            <w:tcBorders>
              <w:left w:val="single" w:sz="8" w:space="0" w:color="E5F5FD"/>
              <w:bottom w:val="single" w:sz="8" w:space="0" w:color="E5F5FD"/>
            </w:tcBorders>
            <w:tcMar>
              <w:bottom w:w="60" w:type="dxa"/>
            </w:tcMar>
            <w:vAlign w:val="center"/>
          </w:tcPr>
          <w:p>
            <w:pPr>
              <w:pStyle w:val="TableContents"/>
              <w:bidi w:val="0"/>
              <w:spacing w:before="0" w:after="283"/>
              <w:jc w:val="right"/>
              <w:rPr/>
            </w:pPr>
            <w:r>
              <w:rPr/>
              <w:t>—</w:t>
            </w:r>
          </w:p>
        </w:tc>
        <w:tc>
          <w:tcPr>
            <w:tcW w:w="662" w:type="dxa"/>
            <w:tcBorders>
              <w:left w:val="single" w:sz="8" w:space="0" w:color="E5F5FD"/>
              <w:bottom w:val="single" w:sz="8" w:space="0" w:color="E5F5FD"/>
            </w:tcBorders>
            <w:tcMar>
              <w:bottom w:w="60" w:type="dxa"/>
            </w:tcMar>
            <w:vAlign w:val="center"/>
          </w:tcPr>
          <w:p>
            <w:pPr>
              <w:pStyle w:val="TableContents"/>
              <w:bidi w:val="0"/>
              <w:spacing w:before="0" w:after="283"/>
              <w:jc w:val="right"/>
              <w:rPr/>
            </w:pPr>
            <w:r>
              <w:rPr/>
              <w:t>—</w:t>
            </w:r>
          </w:p>
        </w:tc>
        <w:tc>
          <w:tcPr>
            <w:tcW w:w="817" w:type="dxa"/>
            <w:tcBorders>
              <w:left w:val="single" w:sz="8" w:space="0" w:color="E5F5FD"/>
              <w:bottom w:val="single" w:sz="8" w:space="0" w:color="E5F5FD"/>
            </w:tcBorders>
            <w:tcMar>
              <w:bottom w:w="60" w:type="dxa"/>
            </w:tcMar>
            <w:vAlign w:val="center"/>
          </w:tcPr>
          <w:p>
            <w:pPr>
              <w:pStyle w:val="TableContents"/>
              <w:bidi w:val="0"/>
              <w:spacing w:before="0" w:after="283"/>
              <w:jc w:val="right"/>
              <w:rPr/>
            </w:pPr>
            <w:r>
              <w:rPr/>
              <w:t>—</w:t>
            </w:r>
          </w:p>
        </w:tc>
        <w:tc>
          <w:tcPr>
            <w:tcW w:w="844" w:type="dxa"/>
            <w:tcBorders>
              <w:left w:val="single" w:sz="8" w:space="0" w:color="E5F5FD"/>
              <w:bottom w:val="single" w:sz="8" w:space="0" w:color="E5F5FD"/>
            </w:tcBorders>
            <w:tcMar>
              <w:bottom w:w="6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4,894</w:t>
            </w:r>
          </w:p>
        </w:tc>
        <w:tc>
          <w:tcPr>
            <w:tcW w:w="571" w:type="dxa"/>
            <w:tcBorders>
              <w:left w:val="single" w:sz="8" w:space="0" w:color="E5F5FD"/>
              <w:bottom w:val="single" w:sz="8" w:space="0" w:color="E5F5FD"/>
            </w:tcBorders>
            <w:tcMar>
              <w:bottom w:w="6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9,789</w:t>
            </w:r>
          </w:p>
        </w:tc>
        <w:tc>
          <w:tcPr>
            <w:tcW w:w="824" w:type="dxa"/>
            <w:tcBorders>
              <w:left w:val="single" w:sz="8" w:space="0" w:color="E5F5FD"/>
              <w:bottom w:val="single" w:sz="8" w:space="0" w:color="E5F5FD"/>
            </w:tcBorders>
            <w:tcMar>
              <w:bottom w:w="6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19,577</w:t>
            </w:r>
          </w:p>
        </w:tc>
        <w:tc>
          <w:tcPr>
            <w:tcW w:w="680" w:type="dxa"/>
            <w:tcBorders>
              <w:left w:val="single" w:sz="8" w:space="0" w:color="E5F5FD"/>
              <w:bottom w:val="single" w:sz="8" w:space="0" w:color="E5F5FD"/>
            </w:tcBorders>
            <w:tcMar>
              <w:bottom w:w="60" w:type="dxa"/>
            </w:tcMar>
            <w:vAlign w:val="center"/>
          </w:tcPr>
          <w:p>
            <w:pPr>
              <w:pStyle w:val="TableContents"/>
              <w:bidi w:val="0"/>
              <w:spacing w:before="0" w:after="283"/>
              <w:jc w:val="left"/>
              <w:rPr/>
            </w:pPr>
            <w:r>
              <w:rPr/>
              <w:t> </w:t>
            </w:r>
          </w:p>
        </w:tc>
        <w:tc>
          <w:tcPr>
            <w:tcW w:w="725" w:type="dxa"/>
            <w:tcBorders>
              <w:left w:val="single" w:sz="8" w:space="0" w:color="E5F1E7"/>
              <w:bottom w:val="single" w:sz="8" w:space="0" w:color="E5F5FD"/>
            </w:tcBorders>
            <w:tcMar>
              <w:bottom w:w="6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250,000</w:t>
            </w:r>
          </w:p>
        </w:tc>
      </w:tr>
      <w:tr>
        <w:trPr/>
        <w:tc>
          <w:tcPr>
            <w:tcW w:w="1205" w:type="dxa"/>
            <w:tcBorders/>
            <w:shd w:fill="FFFFFF" w:val="clear"/>
            <w:tcMar>
              <w:left w:w="0" w:type="dxa"/>
            </w:tcMar>
            <w:vAlign w:val="center"/>
          </w:tcPr>
          <w:p>
            <w:pPr>
              <w:pStyle w:val="TableContents"/>
              <w:bidi w:val="0"/>
              <w:spacing w:before="0" w:after="283"/>
              <w:jc w:val="left"/>
              <w:rPr/>
            </w:pPr>
            <w:r>
              <w:rPr/>
              <w:t> </w:t>
            </w:r>
          </w:p>
        </w:tc>
        <w:tc>
          <w:tcPr>
            <w:tcW w:w="1265" w:type="dxa"/>
            <w:tcBorders>
              <w:left w:val="single" w:sz="8" w:space="0" w:color="E5F5FD"/>
              <w:bottom w:val="single" w:sz="8" w:space="0" w:color="E5F5FD"/>
            </w:tcBorders>
            <w:shd w:fill="EEF8FD" w:val="clear"/>
            <w:tcMar>
              <w:bottom w:w="60"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November 1, 2024</w:t>
            </w:r>
            <w:r>
              <w:rPr>
                <w:rFonts w:ascii="Arial;Helvetica;Sans-Serif" w:hAnsi="Arial;Helvetica;Sans-Serif"/>
                <w:position w:val="5"/>
                <w:sz w:val="11"/>
                <w:sz w:val="14"/>
              </w:rPr>
              <w:t>(3)</w:t>
            </w:r>
          </w:p>
        </w:tc>
        <w:tc>
          <w:tcPr>
            <w:tcW w:w="835" w:type="dxa"/>
            <w:tcBorders>
              <w:left w:val="single" w:sz="8" w:space="0" w:color="E5F5FD"/>
              <w:bottom w:val="single" w:sz="8" w:space="0" w:color="E5F5FD"/>
            </w:tcBorders>
            <w:shd w:fill="EEF8FD" w:val="clear"/>
            <w:tcMar>
              <w:bottom w:w="6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135,000</w:t>
            </w:r>
          </w:p>
        </w:tc>
        <w:tc>
          <w:tcPr>
            <w:tcW w:w="662" w:type="dxa"/>
            <w:tcBorders>
              <w:left w:val="single" w:sz="8" w:space="0" w:color="E5F5FD"/>
              <w:bottom w:val="single" w:sz="8" w:space="0" w:color="E5F5FD"/>
            </w:tcBorders>
            <w:shd w:fill="EEF8FD" w:val="clear"/>
            <w:tcMar>
              <w:bottom w:w="6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270,000</w:t>
            </w:r>
          </w:p>
        </w:tc>
        <w:tc>
          <w:tcPr>
            <w:tcW w:w="817" w:type="dxa"/>
            <w:tcBorders>
              <w:left w:val="single" w:sz="8" w:space="0" w:color="E5F5FD"/>
              <w:bottom w:val="single" w:sz="8" w:space="0" w:color="E5F5FD"/>
            </w:tcBorders>
            <w:shd w:fill="EEF8FD" w:val="clear"/>
            <w:tcMar>
              <w:bottom w:w="6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540,000</w:t>
            </w:r>
          </w:p>
        </w:tc>
        <w:tc>
          <w:tcPr>
            <w:tcW w:w="844" w:type="dxa"/>
            <w:tcBorders>
              <w:left w:val="single" w:sz="8" w:space="0" w:color="E5F5FD"/>
              <w:bottom w:val="single" w:sz="8" w:space="0" w:color="E5F5FD"/>
            </w:tcBorders>
            <w:shd w:fill="EEF8FD" w:val="clear"/>
            <w:tcMar>
              <w:bottom w:w="60" w:type="dxa"/>
            </w:tcMar>
            <w:vAlign w:val="center"/>
          </w:tcPr>
          <w:p>
            <w:pPr>
              <w:pStyle w:val="TableContents"/>
              <w:bidi w:val="0"/>
              <w:spacing w:before="0" w:after="283"/>
              <w:jc w:val="right"/>
              <w:rPr/>
            </w:pPr>
            <w:r>
              <w:rPr/>
              <w:t>—</w:t>
            </w:r>
          </w:p>
        </w:tc>
        <w:tc>
          <w:tcPr>
            <w:tcW w:w="571" w:type="dxa"/>
            <w:tcBorders>
              <w:left w:val="single" w:sz="8" w:space="0" w:color="E5F5FD"/>
              <w:bottom w:val="single" w:sz="8" w:space="0" w:color="E5F5FD"/>
            </w:tcBorders>
            <w:shd w:fill="EEF8FD" w:val="clear"/>
            <w:tcMar>
              <w:bottom w:w="60" w:type="dxa"/>
            </w:tcMar>
            <w:vAlign w:val="center"/>
          </w:tcPr>
          <w:p>
            <w:pPr>
              <w:pStyle w:val="TableContents"/>
              <w:bidi w:val="0"/>
              <w:spacing w:before="0" w:after="283"/>
              <w:jc w:val="right"/>
              <w:rPr/>
            </w:pPr>
            <w:r>
              <w:rPr/>
              <w:t>—</w:t>
            </w:r>
          </w:p>
        </w:tc>
        <w:tc>
          <w:tcPr>
            <w:tcW w:w="824" w:type="dxa"/>
            <w:tcBorders>
              <w:left w:val="single" w:sz="8" w:space="0" w:color="E5F5FD"/>
              <w:bottom w:val="single" w:sz="8" w:space="0" w:color="E5F5FD"/>
            </w:tcBorders>
            <w:shd w:fill="EEF8FD" w:val="clear"/>
            <w:tcMar>
              <w:bottom w:w="60" w:type="dxa"/>
            </w:tcMar>
            <w:vAlign w:val="center"/>
          </w:tcPr>
          <w:p>
            <w:pPr>
              <w:pStyle w:val="TableContents"/>
              <w:bidi w:val="0"/>
              <w:spacing w:before="0" w:after="283"/>
              <w:jc w:val="right"/>
              <w:rPr/>
            </w:pPr>
            <w:r>
              <w:rPr/>
              <w:t>—</w:t>
            </w:r>
          </w:p>
        </w:tc>
        <w:tc>
          <w:tcPr>
            <w:tcW w:w="680" w:type="dxa"/>
            <w:tcBorders>
              <w:left w:val="single" w:sz="8" w:space="0" w:color="E5F5FD"/>
              <w:bottom w:val="single" w:sz="8" w:space="0" w:color="E5F5FD"/>
            </w:tcBorders>
            <w:shd w:fill="EEF8FD" w:val="clear"/>
            <w:tcMar>
              <w:bottom w:w="60" w:type="dxa"/>
            </w:tcMar>
            <w:vAlign w:val="center"/>
          </w:tcPr>
          <w:p>
            <w:pPr>
              <w:pStyle w:val="TableContents"/>
              <w:bidi w:val="0"/>
              <w:spacing w:before="0" w:after="283"/>
              <w:jc w:val="right"/>
              <w:rPr/>
            </w:pPr>
            <w:r>
              <w:rPr/>
              <w:t>—</w:t>
            </w:r>
          </w:p>
        </w:tc>
        <w:tc>
          <w:tcPr>
            <w:tcW w:w="725" w:type="dxa"/>
            <w:tcBorders>
              <w:left w:val="single" w:sz="8" w:space="0" w:color="E5F1E7"/>
              <w:bottom w:val="single" w:sz="8" w:space="0" w:color="E5F5FD"/>
            </w:tcBorders>
            <w:shd w:fill="EEF8FD" w:val="clear"/>
            <w:tcMar>
              <w:bottom w:w="60" w:type="dxa"/>
            </w:tcMar>
            <w:vAlign w:val="center"/>
          </w:tcPr>
          <w:p>
            <w:pPr>
              <w:pStyle w:val="TableContents"/>
              <w:bidi w:val="0"/>
              <w:spacing w:before="0" w:after="283"/>
              <w:jc w:val="right"/>
              <w:rPr/>
            </w:pPr>
            <w:r>
              <w:rPr/>
              <w:t>—</w:t>
            </w:r>
          </w:p>
        </w:tc>
      </w:tr>
    </w:tbl>
    <w:p>
      <w:pPr>
        <w:pStyle w:val="TextBody"/>
        <w:bidi w:val="0"/>
        <w:spacing w:before="0" w:after="0"/>
        <w:jc w:val="left"/>
        <w:rPr>
          <w:caps w:val="false"/>
          <w:smallCaps w:val="false"/>
          <w:bdr w:val="single" w:sz="2" w:space="1" w:color="6ECBF3"/>
        </w:rPr>
      </w:pPr>
      <w:r>
        <w:rPr>
          <w:caps w:val="false"/>
          <w:smallCaps w:val="false"/>
          <w:bdr w:val="single" w:sz="2" w:space="1" w:color="6ECBF3"/>
        </w:rPr>
        <w:t> </w:t>
      </w:r>
    </w:p>
    <w:p>
      <w:pPr>
        <w:pStyle w:val="TextBody"/>
        <w:bidi w:val="0"/>
        <w:spacing w:before="0" w:after="283"/>
        <w:jc w:val="left"/>
        <w:rPr/>
      </w:pPr>
      <w:r>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47</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bdr w:val="single" w:sz="8" w:space="1" w:color="2872A8"/>
        </w:rPr>
      </w:pPr>
      <w:r>
        <w:rPr>
          <w:bdr w:val="single" w:sz="8" w:space="1" w:color="2872A8"/>
        </w:rPr>
        <w:t> </w:t>
      </w:r>
    </w:p>
    <w:tbl>
      <w:tblPr>
        <w:tblW w:w="10205" w:type="dxa"/>
        <w:jc w:val="left"/>
        <w:tblInd w:w="0" w:type="dxa"/>
        <w:tblLayout w:type="fixed"/>
        <w:tblCellMar>
          <w:top w:w="0" w:type="dxa"/>
          <w:left w:w="0" w:type="dxa"/>
          <w:bottom w:w="0" w:type="dxa"/>
          <w:right w:w="0" w:type="dxa"/>
        </w:tblCellMar>
      </w:tblPr>
      <w:tblGrid>
        <w:gridCol w:w="38"/>
        <w:gridCol w:w="120"/>
        <w:gridCol w:w="10047"/>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10047" w:type="dxa"/>
            <w:tcBorders/>
            <w:vAlign w:val="center"/>
          </w:tcPr>
          <w:p>
            <w:pPr>
              <w:pStyle w:val="TableContents"/>
              <w:bidi w:val="0"/>
              <w:spacing w:before="0" w:after="283"/>
              <w:jc w:val="both"/>
              <w:rPr>
                <w:rFonts w:ascii="Arial;Helvetica;Sans-Serif" w:hAnsi="Arial;Helvetica;Sans-Serif"/>
                <w:sz w:val="14"/>
              </w:rPr>
            </w:pPr>
            <w:r>
              <w:rPr>
                <w:rFonts w:ascii="Arial;Helvetica;Sans-Serif" w:hAnsi="Arial;Helvetica;Sans-Serif"/>
                <w:sz w:val="14"/>
              </w:rPr>
              <w:t xml:space="preserve">See page 39 under “Elements of Compensation - Annual Equity Incentive Awards - Restricted Share Awards”. This award represents a plan based equity incentive award pursuant to the 2022 Plan granted and issued on November 1, 2024 at the market closing price of $25.54. </w:t>
            </w:r>
          </w:p>
        </w:tc>
      </w:tr>
    </w:tbl>
    <w:tbl>
      <w:tblPr>
        <w:tblW w:w="10205" w:type="dxa"/>
        <w:jc w:val="left"/>
        <w:tblInd w:w="0" w:type="dxa"/>
        <w:tblLayout w:type="fixed"/>
        <w:tblCellMar>
          <w:top w:w="0" w:type="dxa"/>
          <w:left w:w="0" w:type="dxa"/>
          <w:bottom w:w="0" w:type="dxa"/>
          <w:right w:w="0" w:type="dxa"/>
        </w:tblCellMar>
      </w:tblPr>
      <w:tblGrid>
        <w:gridCol w:w="38"/>
        <w:gridCol w:w="106"/>
        <w:gridCol w:w="10061"/>
      </w:tblGrid>
      <w:tr>
        <w:trPr/>
        <w:tc>
          <w:tcPr>
            <w:tcW w:w="38"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14"/>
              </w:rPr>
            </w:pPr>
            <w:r>
              <w:rPr>
                <w:sz w:val="14"/>
              </w:rPr>
              <w:t>2.</w:t>
            </w:r>
          </w:p>
        </w:tc>
        <w:tc>
          <w:tcPr>
            <w:tcW w:w="10061" w:type="dxa"/>
            <w:tcBorders/>
            <w:vAlign w:val="center"/>
          </w:tcPr>
          <w:p>
            <w:pPr>
              <w:pStyle w:val="TableContents"/>
              <w:bidi w:val="0"/>
              <w:spacing w:before="0" w:after="283"/>
              <w:jc w:val="both"/>
              <w:rPr>
                <w:sz w:val="14"/>
              </w:rPr>
            </w:pPr>
            <w:r>
              <w:rPr>
                <w:sz w:val="14"/>
              </w:rPr>
              <w:t>As described on page 39 under “Elements of Compensation - Performance Share-Based Awards.” These performance-based restricted shares were granted pursuant to the 2022 Plan but have not been issued. These performance-based restricted shares are subject to Limoneira’s achievement of a three-fiscal year CAGR of at least 2% during the performance period from November 1, 2024 and ending on October 31, 2027.</w:t>
            </w:r>
          </w:p>
        </w:tc>
      </w:tr>
    </w:tbl>
    <w:tbl>
      <w:tblPr>
        <w:tblW w:w="10205" w:type="dxa"/>
        <w:jc w:val="left"/>
        <w:tblInd w:w="0" w:type="dxa"/>
        <w:tblLayout w:type="fixed"/>
        <w:tblCellMar>
          <w:top w:w="0" w:type="dxa"/>
          <w:left w:w="0" w:type="dxa"/>
          <w:bottom w:w="0" w:type="dxa"/>
          <w:right w:w="0" w:type="dxa"/>
        </w:tblCellMar>
      </w:tblPr>
      <w:tblGrid>
        <w:gridCol w:w="38"/>
        <w:gridCol w:w="104"/>
        <w:gridCol w:w="10063"/>
      </w:tblGrid>
      <w:tr>
        <w:trPr/>
        <w:tc>
          <w:tcPr>
            <w:tcW w:w="38"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14"/>
              </w:rPr>
            </w:pPr>
            <w:r>
              <w:rPr>
                <w:sz w:val="14"/>
              </w:rPr>
              <w:t>3.</w:t>
            </w:r>
          </w:p>
        </w:tc>
        <w:tc>
          <w:tcPr>
            <w:tcW w:w="10063" w:type="dxa"/>
            <w:tcBorders/>
            <w:vAlign w:val="center"/>
          </w:tcPr>
          <w:p>
            <w:pPr>
              <w:pStyle w:val="TableContents"/>
              <w:bidi w:val="0"/>
              <w:spacing w:before="0" w:after="283"/>
              <w:jc w:val="both"/>
              <w:rPr>
                <w:sz w:val="14"/>
              </w:rPr>
            </w:pPr>
            <w:r>
              <w:rPr>
                <w:sz w:val="14"/>
              </w:rPr>
              <w:t>As described on page 37 under “Elements of Compensation - Annual Performance Compensation Award.” This award represents a plan based non-equity award based on Participant’s annual base salary in effect on December 31, 2024 multiped by a payout scale percentage with seventy percent weighting associated with Adjusted EBITDA during the fiscal year, and thirty percent weighting associated with individual Performance Goals. There was no Annual Performance Compensation earned for fiscal year 2025.</w:t>
            </w:r>
          </w:p>
        </w:tc>
      </w:tr>
    </w:tbl>
    <w:tbl>
      <w:tblPr>
        <w:tblW w:w="10205" w:type="dxa"/>
        <w:jc w:val="left"/>
        <w:tblInd w:w="0" w:type="dxa"/>
        <w:tblLayout w:type="fixed"/>
        <w:tblCellMar>
          <w:top w:w="0" w:type="dxa"/>
          <w:left w:w="0" w:type="dxa"/>
          <w:bottom w:w="0" w:type="dxa"/>
          <w:right w:w="0" w:type="dxa"/>
        </w:tblCellMar>
      </w:tblPr>
      <w:tblGrid>
        <w:gridCol w:w="38"/>
        <w:gridCol w:w="106"/>
        <w:gridCol w:w="10061"/>
      </w:tblGrid>
      <w:tr>
        <w:trPr/>
        <w:tc>
          <w:tcPr>
            <w:tcW w:w="38"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14"/>
              </w:rPr>
            </w:pPr>
            <w:r>
              <w:rPr>
                <w:sz w:val="14"/>
              </w:rPr>
              <w:t>4.</w:t>
            </w:r>
          </w:p>
        </w:tc>
        <w:tc>
          <w:tcPr>
            <w:tcW w:w="10061" w:type="dxa"/>
            <w:tcBorders/>
            <w:vAlign w:val="center"/>
          </w:tcPr>
          <w:p>
            <w:pPr>
              <w:pStyle w:val="TableContents"/>
              <w:bidi w:val="0"/>
              <w:spacing w:before="0" w:after="283"/>
              <w:jc w:val="both"/>
              <w:rPr>
                <w:sz w:val="14"/>
              </w:rPr>
            </w:pPr>
            <w:r>
              <w:rPr>
                <w:sz w:val="14"/>
              </w:rPr>
              <w:t>These columns represent the potential cash incentives for each NEO under their respective Award Agreements pursuant to the 2022 Plan with respect to fiscal year 2025 performance. Threshold, Target and Maximum amounts represent 38%, 75% and 150% of Mr. Edwards’ base salary as of December 31, 2024. Threshold, Target and Maximum amounts represent 30%, 60% and 120% of Mr. Palamountain’s base salary as of December 31, 2024.</w:t>
            </w:r>
          </w:p>
        </w:tc>
      </w:tr>
    </w:tbl>
    <w:tbl>
      <w:tblPr>
        <w:tblW w:w="10205" w:type="dxa"/>
        <w:jc w:val="left"/>
        <w:tblInd w:w="0" w:type="dxa"/>
        <w:tblLayout w:type="fixed"/>
        <w:tblCellMar>
          <w:top w:w="0" w:type="dxa"/>
          <w:left w:w="0" w:type="dxa"/>
          <w:bottom w:w="0" w:type="dxa"/>
          <w:right w:w="0" w:type="dxa"/>
        </w:tblCellMar>
      </w:tblPr>
      <w:tblGrid>
        <w:gridCol w:w="38"/>
        <w:gridCol w:w="117"/>
        <w:gridCol w:w="10050"/>
      </w:tblGrid>
      <w:tr>
        <w:trPr/>
        <w:tc>
          <w:tcPr>
            <w:tcW w:w="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14"/>
              </w:rPr>
            </w:pPr>
            <w:r>
              <w:rPr>
                <w:sz w:val="14"/>
              </w:rPr>
              <w:t>5.</w:t>
            </w:r>
          </w:p>
        </w:tc>
        <w:tc>
          <w:tcPr>
            <w:tcW w:w="10050" w:type="dxa"/>
            <w:tcBorders/>
            <w:vAlign w:val="center"/>
          </w:tcPr>
          <w:p>
            <w:pPr>
              <w:pStyle w:val="TableContents"/>
              <w:bidi w:val="0"/>
              <w:spacing w:before="0" w:after="283"/>
              <w:jc w:val="both"/>
              <w:rPr>
                <w:sz w:val="14"/>
              </w:rPr>
            </w:pPr>
            <w:r>
              <w:rPr>
                <w:sz w:val="14"/>
              </w:rPr>
              <w:t>All such restricted shares, whether vested or unvested, are considered issued and outstanding on the date of issuance, and our NEOs have voting rights with respect to, and receive any dividends on, such restricted shares issued to them.</w:t>
            </w:r>
          </w:p>
        </w:tc>
      </w:tr>
    </w:tbl>
    <w:tbl>
      <w:tblPr>
        <w:tblW w:w="10205" w:type="dxa"/>
        <w:jc w:val="left"/>
        <w:tblInd w:w="0" w:type="dxa"/>
        <w:tblLayout w:type="fixed"/>
        <w:tblCellMar>
          <w:top w:w="0" w:type="dxa"/>
          <w:left w:w="0" w:type="dxa"/>
          <w:bottom w:w="0" w:type="dxa"/>
          <w:right w:w="0" w:type="dxa"/>
        </w:tblCellMar>
      </w:tblPr>
      <w:tblGrid>
        <w:gridCol w:w="38"/>
        <w:gridCol w:w="105"/>
        <w:gridCol w:w="10062"/>
      </w:tblGrid>
      <w:tr>
        <w:trPr/>
        <w:tc>
          <w:tcPr>
            <w:tcW w:w="38"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14"/>
              </w:rPr>
            </w:pPr>
            <w:r>
              <w:rPr>
                <w:sz w:val="14"/>
              </w:rPr>
              <w:t>6.</w:t>
            </w:r>
          </w:p>
        </w:tc>
        <w:tc>
          <w:tcPr>
            <w:tcW w:w="10062" w:type="dxa"/>
            <w:tcBorders/>
            <w:vAlign w:val="center"/>
          </w:tcPr>
          <w:p>
            <w:pPr>
              <w:pStyle w:val="TableContents"/>
              <w:bidi w:val="0"/>
              <w:spacing w:before="0" w:after="283"/>
              <w:jc w:val="both"/>
              <w:rPr>
                <w:sz w:val="14"/>
              </w:rPr>
            </w:pPr>
            <w:r>
              <w:rPr>
                <w:sz w:val="14"/>
              </w:rPr>
              <w:t>The value of equity incentive awards is the aggregate grant date fair value computed in accordance with FASB ASC Topic 718, Compensation - Stock Compensation, as described on page 39 in this proxy statement under “Elements of Compensation” - “Restricted Share Awards” and “Performance Share-Based Awards.” The value of the shares was calculated using the market closing price on the issue date. The market closing price on November 1, 2024 was $25.54.</w:t>
            </w:r>
          </w:p>
        </w:tc>
      </w:tr>
    </w:tbl>
    <w:p>
      <w:pPr>
        <w:pStyle w:val="TextBody"/>
        <w:bidi w:val="0"/>
        <w:spacing w:before="0" w:after="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color w:val="008DCF"/>
          <w:sz w:val="24"/>
          <w:bdr w:val="single" w:sz="8" w:space="1" w:color="2872A8"/>
        </w:rPr>
      </w:pPr>
      <w:bookmarkStart w:id="85" w:name="lmnrdef14aa081"/>
      <w:bookmarkEnd w:id="85"/>
      <w:r>
        <w:rPr>
          <w:rFonts w:ascii="Arial;Helvetica;Sans-Serif" w:hAnsi="Arial;Helvetica;Sans-Serif"/>
          <w:b/>
          <w:i w:val="false"/>
          <w:caps w:val="false"/>
          <w:smallCaps w:val="false"/>
          <w:color w:val="008DCF"/>
          <w:sz w:val="24"/>
          <w:bdr w:val="single" w:sz="8" w:space="1" w:color="2872A8"/>
        </w:rPr>
        <w:t>Outstanding Equity Awards at 2025 Fiscal Year End</w:t>
      </w:r>
    </w:p>
    <w:p>
      <w:pPr>
        <w:pStyle w:val="TextBody"/>
        <w:bidi w:val="0"/>
        <w:spacing w:before="0" w:after="0"/>
        <w:ind w:left="0" w:right="0" w:hanging="0"/>
        <w:jc w:val="left"/>
        <w:rPr>
          <w:caps w:val="false"/>
          <w:smallCaps w:val="false"/>
          <w:color w:val="008DCF"/>
          <w:bdr w:val="single" w:sz="8" w:space="1" w:color="2872A8"/>
        </w:rPr>
      </w:pPr>
      <w:r>
        <w:rPr>
          <w:caps w:val="false"/>
          <w:smallCaps w:val="false"/>
          <w:color w:val="008DCF"/>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following table summarizes the total outstanding equity awards as of October 31, 2025, for each NEO.</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8155" w:type="dxa"/>
        <w:jc w:val="left"/>
        <w:tblInd w:w="0" w:type="dxa"/>
        <w:tblLayout w:type="fixed"/>
        <w:tblCellMar>
          <w:top w:w="0" w:type="dxa"/>
          <w:left w:w="0" w:type="dxa"/>
          <w:bottom w:w="0" w:type="dxa"/>
          <w:right w:w="100" w:type="dxa"/>
        </w:tblCellMar>
      </w:tblPr>
      <w:tblGrid>
        <w:gridCol w:w="1595"/>
        <w:gridCol w:w="1655"/>
        <w:gridCol w:w="1445"/>
        <w:gridCol w:w="1730"/>
        <w:gridCol w:w="1730"/>
      </w:tblGrid>
      <w:tr>
        <w:trPr/>
        <w:tc>
          <w:tcPr>
            <w:tcW w:w="1595" w:type="dxa"/>
            <w:tcBorders>
              <w:right w:val="single" w:sz="8" w:space="0" w:color="FFFFFF"/>
            </w:tcBorders>
            <w:shd w:fill="D2D6E4" w:val="cle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Name</w:t>
            </w:r>
          </w:p>
        </w:tc>
        <w:tc>
          <w:tcPr>
            <w:tcW w:w="1655" w:type="dxa"/>
            <w:tcBorders>
              <w:right w:val="single" w:sz="8" w:space="0" w:color="FFFFFF"/>
            </w:tcBorders>
            <w:shd w:fill="D2D6E4"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b/>
                <w:sz w:val="16"/>
              </w:rPr>
              <w:t>Number of Shares or</w:t>
            </w:r>
            <w:r>
              <w:rPr>
                <w:rFonts w:ascii="Arial;Helvetica;Sans-Serif" w:hAnsi="Arial;Helvetica;Sans-Serif"/>
                <w:sz w:val="16"/>
              </w:rPr>
              <w:br/>
            </w:r>
            <w:r>
              <w:rPr>
                <w:rFonts w:ascii="Arial;Helvetica;Sans-Serif" w:hAnsi="Arial;Helvetica;Sans-Serif"/>
                <w:b/>
                <w:sz w:val="16"/>
              </w:rPr>
              <w:t>Units of Stock That</w:t>
            </w:r>
            <w:r>
              <w:rPr>
                <w:rFonts w:ascii="Arial;Helvetica;Sans-Serif" w:hAnsi="Arial;Helvetica;Sans-Serif"/>
                <w:sz w:val="16"/>
              </w:rPr>
              <w:br/>
            </w:r>
            <w:r>
              <w:rPr>
                <w:rFonts w:ascii="Arial;Helvetica;Sans-Serif" w:hAnsi="Arial;Helvetica;Sans-Serif"/>
                <w:b/>
                <w:sz w:val="16"/>
              </w:rPr>
              <w:t>Have Not Vested</w:t>
            </w:r>
            <w:r>
              <w:rPr>
                <w:rFonts w:ascii="Arial;Helvetica;Sans-Serif" w:hAnsi="Arial;Helvetica;Sans-Serif"/>
                <w:sz w:val="16"/>
              </w:rPr>
              <w:br/>
            </w:r>
            <w:r>
              <w:rPr>
                <w:rFonts w:ascii="Arial;Helvetica;Sans-Serif" w:hAnsi="Arial;Helvetica;Sans-Serif"/>
                <w:b/>
                <w:sz w:val="16"/>
              </w:rPr>
              <w:t>(#)</w:t>
            </w:r>
          </w:p>
        </w:tc>
        <w:tc>
          <w:tcPr>
            <w:tcW w:w="1445" w:type="dxa"/>
            <w:tcBorders>
              <w:right w:val="single" w:sz="8" w:space="0" w:color="FFFFFF"/>
            </w:tcBorders>
            <w:shd w:fill="D2D6E4"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b/>
                <w:sz w:val="16"/>
              </w:rPr>
              <w:t>Market Value</w:t>
            </w:r>
            <w:r>
              <w:rPr>
                <w:rFonts w:ascii="Arial;Helvetica;Sans-Serif" w:hAnsi="Arial;Helvetica;Sans-Serif"/>
                <w:sz w:val="16"/>
              </w:rPr>
              <w:br/>
            </w:r>
            <w:r>
              <w:rPr>
                <w:rFonts w:ascii="Arial;Helvetica;Sans-Serif" w:hAnsi="Arial;Helvetica;Sans-Serif"/>
                <w:b/>
                <w:sz w:val="16"/>
              </w:rPr>
              <w:t>of Shares or Units</w:t>
            </w:r>
            <w:r>
              <w:rPr>
                <w:rFonts w:ascii="Arial;Helvetica;Sans-Serif" w:hAnsi="Arial;Helvetica;Sans-Serif"/>
                <w:sz w:val="16"/>
              </w:rPr>
              <w:br/>
            </w:r>
            <w:r>
              <w:rPr>
                <w:rFonts w:ascii="Arial;Helvetica;Sans-Serif" w:hAnsi="Arial;Helvetica;Sans-Serif"/>
                <w:b/>
                <w:sz w:val="16"/>
              </w:rPr>
              <w:t>That Have</w:t>
            </w:r>
            <w:r>
              <w:rPr>
                <w:rFonts w:ascii="Arial;Helvetica;Sans-Serif" w:hAnsi="Arial;Helvetica;Sans-Serif"/>
                <w:sz w:val="16"/>
              </w:rPr>
              <w:br/>
            </w:r>
            <w:r>
              <w:rPr>
                <w:rFonts w:ascii="Arial;Helvetica;Sans-Serif" w:hAnsi="Arial;Helvetica;Sans-Serif"/>
                <w:b/>
                <w:sz w:val="16"/>
              </w:rPr>
              <w:t>Not Vested</w:t>
            </w:r>
            <w:r>
              <w:rPr>
                <w:rFonts w:ascii="Arial;Helvetica;Sans-Serif" w:hAnsi="Arial;Helvetica;Sans-Serif"/>
                <w:b/>
                <w:position w:val="5"/>
                <w:sz w:val="13"/>
                <w:sz w:val="16"/>
              </w:rPr>
              <w:t>(1)</w:t>
            </w:r>
            <w:r>
              <w:rPr>
                <w:rFonts w:ascii="Arial;Helvetica;Sans-Serif" w:hAnsi="Arial;Helvetica;Sans-Serif"/>
                <w:sz w:val="16"/>
              </w:rPr>
              <w:br/>
            </w:r>
            <w:r>
              <w:rPr>
                <w:rFonts w:ascii="Arial;Helvetica;Sans-Serif" w:hAnsi="Arial;Helvetica;Sans-Serif"/>
                <w:b/>
                <w:sz w:val="16"/>
              </w:rPr>
              <w:t>($)</w:t>
            </w:r>
          </w:p>
        </w:tc>
        <w:tc>
          <w:tcPr>
            <w:tcW w:w="1730" w:type="dxa"/>
            <w:tcBorders>
              <w:right w:val="single" w:sz="8" w:space="0" w:color="FFFFFF"/>
            </w:tcBorders>
            <w:shd w:fill="D2D6E4" w:val="cle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b/>
                <w:sz w:val="16"/>
              </w:rPr>
              <w:t>Equity Incentive Plan</w:t>
            </w:r>
            <w:r>
              <w:rPr>
                <w:rFonts w:ascii="Arial;Helvetica;Sans-Serif" w:hAnsi="Arial;Helvetica;Sans-Serif"/>
                <w:sz w:val="16"/>
              </w:rPr>
              <w:br/>
            </w:r>
            <w:r>
              <w:rPr>
                <w:rFonts w:ascii="Arial;Helvetica;Sans-Serif" w:hAnsi="Arial;Helvetica;Sans-Serif"/>
                <w:b/>
                <w:sz w:val="16"/>
              </w:rPr>
              <w:t>Awards: Number of</w:t>
            </w:r>
            <w:r>
              <w:rPr>
                <w:rFonts w:ascii="Arial;Helvetica;Sans-Serif" w:hAnsi="Arial;Helvetica;Sans-Serif"/>
                <w:sz w:val="16"/>
              </w:rPr>
              <w:br/>
            </w:r>
            <w:r>
              <w:rPr>
                <w:rFonts w:ascii="Arial;Helvetica;Sans-Serif" w:hAnsi="Arial;Helvetica;Sans-Serif"/>
                <w:b/>
                <w:sz w:val="16"/>
              </w:rPr>
              <w:t>Unearned Shares,</w:t>
            </w:r>
            <w:r>
              <w:rPr>
                <w:rFonts w:ascii="Arial;Helvetica;Sans-Serif" w:hAnsi="Arial;Helvetica;Sans-Serif"/>
                <w:sz w:val="16"/>
              </w:rPr>
              <w:br/>
            </w:r>
            <w:r>
              <w:rPr>
                <w:rFonts w:ascii="Arial;Helvetica;Sans-Serif" w:hAnsi="Arial;Helvetica;Sans-Serif"/>
                <w:b/>
                <w:sz w:val="16"/>
              </w:rPr>
              <w:t>Units or Other Rights</w:t>
            </w:r>
            <w:r>
              <w:rPr>
                <w:rFonts w:ascii="Arial;Helvetica;Sans-Serif" w:hAnsi="Arial;Helvetica;Sans-Serif"/>
                <w:sz w:val="16"/>
              </w:rPr>
              <w:br/>
            </w:r>
            <w:r>
              <w:rPr>
                <w:rFonts w:ascii="Arial;Helvetica;Sans-Serif" w:hAnsi="Arial;Helvetica;Sans-Serif"/>
                <w:b/>
                <w:sz w:val="16"/>
              </w:rPr>
              <w:t>That Have Not Vested</w:t>
            </w:r>
            <w:r>
              <w:rPr>
                <w:rFonts w:ascii="Arial;Helvetica;Sans-Serif" w:hAnsi="Arial;Helvetica;Sans-Serif"/>
                <w:sz w:val="16"/>
              </w:rPr>
              <w:br/>
            </w:r>
            <w:r>
              <w:rPr>
                <w:rFonts w:ascii="Arial;Helvetica;Sans-Serif" w:hAnsi="Arial;Helvetica;Sans-Serif"/>
                <w:b/>
                <w:sz w:val="16"/>
              </w:rPr>
              <w:t>(#)</w:t>
            </w:r>
          </w:p>
        </w:tc>
        <w:tc>
          <w:tcPr>
            <w:tcW w:w="1730" w:type="dxa"/>
            <w:tcBorders/>
            <w:shd w:fill="D2D6E4" w:val="clear"/>
            <w:tcMar>
              <w:righ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b/>
                <w:sz w:val="16"/>
              </w:rPr>
              <w:t>Equity Incentive Plan</w:t>
            </w:r>
            <w:r>
              <w:rPr>
                <w:rFonts w:ascii="Arial;Helvetica;Sans-Serif" w:hAnsi="Arial;Helvetica;Sans-Serif"/>
                <w:sz w:val="16"/>
              </w:rPr>
              <w:br/>
            </w:r>
            <w:r>
              <w:rPr>
                <w:rFonts w:ascii="Arial;Helvetica;Sans-Serif" w:hAnsi="Arial;Helvetica;Sans-Serif"/>
                <w:b/>
                <w:sz w:val="16"/>
              </w:rPr>
              <w:t>Award: Market or</w:t>
            </w:r>
            <w:r>
              <w:rPr>
                <w:rFonts w:ascii="Arial;Helvetica;Sans-Serif" w:hAnsi="Arial;Helvetica;Sans-Serif"/>
                <w:sz w:val="16"/>
              </w:rPr>
              <w:br/>
            </w:r>
            <w:r>
              <w:rPr>
                <w:rFonts w:ascii="Arial;Helvetica;Sans-Serif" w:hAnsi="Arial;Helvetica;Sans-Serif"/>
                <w:b/>
                <w:sz w:val="16"/>
              </w:rPr>
              <w:t>Payout Value of</w:t>
            </w:r>
            <w:r>
              <w:rPr>
                <w:rFonts w:ascii="Arial;Helvetica;Sans-Serif" w:hAnsi="Arial;Helvetica;Sans-Serif"/>
                <w:sz w:val="16"/>
              </w:rPr>
              <w:br/>
            </w:r>
            <w:r>
              <w:rPr>
                <w:rFonts w:ascii="Arial;Helvetica;Sans-Serif" w:hAnsi="Arial;Helvetica;Sans-Serif"/>
                <w:b/>
                <w:sz w:val="16"/>
              </w:rPr>
              <w:t>Unearned Shares,</w:t>
            </w:r>
            <w:r>
              <w:rPr>
                <w:rFonts w:ascii="Arial;Helvetica;Sans-Serif" w:hAnsi="Arial;Helvetica;Sans-Serif"/>
                <w:sz w:val="16"/>
              </w:rPr>
              <w:br/>
            </w:r>
            <w:r>
              <w:rPr>
                <w:rFonts w:ascii="Arial;Helvetica;Sans-Serif" w:hAnsi="Arial;Helvetica;Sans-Serif"/>
                <w:b/>
                <w:sz w:val="16"/>
              </w:rPr>
              <w:t>Units or Other Rights</w:t>
            </w:r>
            <w:r>
              <w:rPr>
                <w:rFonts w:ascii="Arial;Helvetica;Sans-Serif" w:hAnsi="Arial;Helvetica;Sans-Serif"/>
                <w:sz w:val="16"/>
              </w:rPr>
              <w:br/>
            </w:r>
            <w:r>
              <w:rPr>
                <w:rFonts w:ascii="Arial;Helvetica;Sans-Serif" w:hAnsi="Arial;Helvetica;Sans-Serif"/>
                <w:b/>
                <w:sz w:val="16"/>
              </w:rPr>
              <w:t>That Have Not</w:t>
            </w:r>
            <w:r>
              <w:rPr>
                <w:rFonts w:ascii="Arial;Helvetica;Sans-Serif" w:hAnsi="Arial;Helvetica;Sans-Serif"/>
                <w:sz w:val="16"/>
              </w:rPr>
              <w:br/>
            </w:r>
            <w:r>
              <w:rPr>
                <w:rFonts w:ascii="Arial;Helvetica;Sans-Serif" w:hAnsi="Arial;Helvetica;Sans-Serif"/>
                <w:b/>
                <w:sz w:val="16"/>
              </w:rPr>
              <w:t>Vested</w:t>
            </w:r>
            <w:r>
              <w:rPr>
                <w:rFonts w:ascii="Arial;Helvetica;Sans-Serif" w:hAnsi="Arial;Helvetica;Sans-Serif"/>
                <w:b/>
                <w:position w:val="5"/>
                <w:sz w:val="13"/>
                <w:sz w:val="16"/>
              </w:rPr>
              <w:t>(1)</w:t>
            </w:r>
            <w:r>
              <w:rPr>
                <w:rFonts w:ascii="Arial;Helvetica;Sans-Serif" w:hAnsi="Arial;Helvetica;Sans-Serif"/>
                <w:sz w:val="16"/>
              </w:rPr>
              <w:br/>
            </w:r>
            <w:r>
              <w:rPr>
                <w:rFonts w:ascii="Arial;Helvetica;Sans-Serif" w:hAnsi="Arial;Helvetica;Sans-Serif"/>
                <w:b/>
                <w:sz w:val="16"/>
              </w:rPr>
              <w:t>($)</w:t>
            </w:r>
          </w:p>
        </w:tc>
      </w:tr>
      <w:tr>
        <w:trPr/>
        <w:tc>
          <w:tcPr>
            <w:tcW w:w="1595" w:type="dxa"/>
            <w:tcBorders>
              <w:bottom w:val="single" w:sz="8" w:space="0" w:color="E5F5FD"/>
              <w:right w:val="single" w:sz="8" w:space="0" w:color="E5F5FD"/>
            </w:tcBorders>
            <w:tcMar>
              <w:bottom w:w="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Harold S. Edwards</w:t>
            </w:r>
            <w:r>
              <w:rPr>
                <w:rFonts w:ascii="Arial;Helvetica;Sans-Serif" w:hAnsi="Arial;Helvetica;Sans-Serif"/>
                <w:position w:val="5"/>
                <w:sz w:val="13"/>
                <w:sz w:val="16"/>
              </w:rPr>
              <w:t>(2)</w:t>
            </w:r>
          </w:p>
        </w:tc>
        <w:tc>
          <w:tcPr>
            <w:tcW w:w="1655" w:type="dxa"/>
            <w:tcBorders>
              <w:bottom w:val="single" w:sz="8" w:space="0" w:color="E5F5FD"/>
              <w:right w:val="single" w:sz="8" w:space="0" w:color="E5F5FD"/>
            </w:tcBorders>
            <w:tcMar>
              <w:bottom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1445" w:type="dxa"/>
            <w:tcBorders>
              <w:bottom w:val="single" w:sz="8" w:space="0" w:color="E5F5FD"/>
              <w:right w:val="single" w:sz="8" w:space="0" w:color="E5F5FD"/>
            </w:tcBorders>
            <w:tcMar>
              <w:bottom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141,300</w:t>
            </w:r>
          </w:p>
        </w:tc>
        <w:tc>
          <w:tcPr>
            <w:tcW w:w="1730" w:type="dxa"/>
            <w:tcBorders>
              <w:bottom w:val="single" w:sz="8" w:space="0" w:color="E5F5FD"/>
              <w:right w:val="single" w:sz="8" w:space="0" w:color="E3F2E7"/>
            </w:tcBorders>
            <w:tcMar>
              <w:bottom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39,152</w:t>
            </w:r>
          </w:p>
        </w:tc>
        <w:tc>
          <w:tcPr>
            <w:tcW w:w="1730" w:type="dxa"/>
            <w:tcBorders>
              <w:bottom w:val="single" w:sz="8" w:space="0" w:color="E5F5FD"/>
            </w:tcBorders>
            <w:tcMar>
              <w:bottom w:w="60" w:type="dxa"/>
              <w:righ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553,218</w:t>
            </w:r>
          </w:p>
        </w:tc>
      </w:tr>
      <w:tr>
        <w:trPr/>
        <w:tc>
          <w:tcPr>
            <w:tcW w:w="1595" w:type="dxa"/>
            <w:tcBorders>
              <w:bottom w:val="single" w:sz="8" w:space="0" w:color="E5F5FD"/>
              <w:right w:val="single" w:sz="8" w:space="0" w:color="E5F5FD"/>
            </w:tcBorders>
            <w:shd w:fill="E6F5FD" w:val="clear"/>
            <w:tcMar>
              <w:bottom w:w="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Mark Palamountain</w:t>
            </w:r>
            <w:r>
              <w:rPr>
                <w:rFonts w:ascii="Arial;Helvetica;Sans-Serif" w:hAnsi="Arial;Helvetica;Sans-Serif"/>
                <w:position w:val="5"/>
                <w:sz w:val="13"/>
                <w:sz w:val="16"/>
              </w:rPr>
              <w:t>(3)</w:t>
            </w:r>
          </w:p>
        </w:tc>
        <w:tc>
          <w:tcPr>
            <w:tcW w:w="1655" w:type="dxa"/>
            <w:tcBorders>
              <w:bottom w:val="single" w:sz="8" w:space="0" w:color="E5F5FD"/>
              <w:right w:val="single" w:sz="8" w:space="0" w:color="E5F5FD"/>
            </w:tcBorders>
            <w:shd w:fill="E6F5FD" w:val="clear"/>
            <w:tcMar>
              <w:bottom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1445" w:type="dxa"/>
            <w:tcBorders>
              <w:bottom w:val="single" w:sz="8" w:space="0" w:color="E5F5FD"/>
              <w:right w:val="single" w:sz="8" w:space="0" w:color="E5F5FD"/>
            </w:tcBorders>
            <w:shd w:fill="E6F5FD" w:val="clear"/>
            <w:tcMar>
              <w:bottom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70,650</w:t>
            </w:r>
          </w:p>
        </w:tc>
        <w:tc>
          <w:tcPr>
            <w:tcW w:w="1730" w:type="dxa"/>
            <w:tcBorders>
              <w:bottom w:val="single" w:sz="8" w:space="0" w:color="E5F5FD"/>
              <w:right w:val="single" w:sz="8" w:space="0" w:color="E3F2E7"/>
            </w:tcBorders>
            <w:shd w:fill="E6F5FD" w:val="clear"/>
            <w:tcMar>
              <w:bottom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20,254</w:t>
            </w:r>
          </w:p>
        </w:tc>
        <w:tc>
          <w:tcPr>
            <w:tcW w:w="1730" w:type="dxa"/>
            <w:tcBorders>
              <w:bottom w:val="single" w:sz="8" w:space="0" w:color="E5F5FD"/>
            </w:tcBorders>
            <w:shd w:fill="E6F5FD" w:val="clear"/>
            <w:tcMar>
              <w:bottom w:w="60" w:type="dxa"/>
              <w:righ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286,189</w:t>
            </w:r>
          </w:p>
        </w:tc>
      </w:tr>
    </w:tbl>
    <w:p>
      <w:pPr>
        <w:pStyle w:val="TextBody"/>
        <w:bidi w:val="0"/>
        <w:jc w:val="left"/>
        <w:rPr>
          <w:bdr w:val="single" w:sz="8" w:space="1" w:color="2872A8"/>
        </w:rPr>
      </w:pPr>
      <w:r>
        <w:rPr>
          <w:bdr w:val="single" w:sz="8" w:space="1" w:color="2872A8"/>
        </w:rPr>
        <w:t> </w:t>
      </w:r>
    </w:p>
    <w:tbl>
      <w:tblPr>
        <w:tblW w:w="5478" w:type="dxa"/>
        <w:jc w:val="left"/>
        <w:tblInd w:w="0" w:type="dxa"/>
        <w:tblLayout w:type="fixed"/>
        <w:tblCellMar>
          <w:top w:w="0" w:type="dxa"/>
          <w:left w:w="0" w:type="dxa"/>
          <w:bottom w:w="0" w:type="dxa"/>
          <w:right w:w="0" w:type="dxa"/>
        </w:tblCellMar>
      </w:tblPr>
      <w:tblGrid>
        <w:gridCol w:w="38"/>
        <w:gridCol w:w="185"/>
        <w:gridCol w:w="525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14"/>
              </w:rPr>
            </w:pPr>
            <w:r>
              <w:rPr>
                <w:sz w:val="14"/>
              </w:rPr>
              <w:t>(1)</w:t>
            </w:r>
          </w:p>
        </w:tc>
        <w:tc>
          <w:tcPr>
            <w:tcW w:w="5255" w:type="dxa"/>
            <w:tcBorders/>
            <w:vAlign w:val="center"/>
          </w:tcPr>
          <w:p>
            <w:pPr>
              <w:pStyle w:val="TableContents"/>
              <w:bidi w:val="0"/>
              <w:spacing w:before="0" w:after="283"/>
              <w:jc w:val="left"/>
              <w:rPr>
                <w:sz w:val="14"/>
              </w:rPr>
            </w:pPr>
            <w:r>
              <w:rPr>
                <w:sz w:val="14"/>
              </w:rPr>
              <w:t>Based on a fair market value of the Common Stock on October 31, 2025 at $14.13 per share.</w:t>
            </w:r>
          </w:p>
        </w:tc>
      </w:tr>
    </w:tbl>
    <w:tbl>
      <w:tblPr>
        <w:tblW w:w="4893" w:type="dxa"/>
        <w:jc w:val="left"/>
        <w:tblInd w:w="0" w:type="dxa"/>
        <w:tblLayout w:type="fixed"/>
        <w:tblCellMar>
          <w:top w:w="0" w:type="dxa"/>
          <w:left w:w="0" w:type="dxa"/>
          <w:bottom w:w="0" w:type="dxa"/>
          <w:right w:w="0" w:type="dxa"/>
        </w:tblCellMar>
      </w:tblPr>
      <w:tblGrid>
        <w:gridCol w:w="38"/>
        <w:gridCol w:w="185"/>
        <w:gridCol w:w="467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14"/>
              </w:rPr>
            </w:pPr>
            <w:r>
              <w:rPr>
                <w:sz w:val="14"/>
              </w:rPr>
              <w:t>(2)</w:t>
            </w:r>
          </w:p>
        </w:tc>
        <w:tc>
          <w:tcPr>
            <w:tcW w:w="4670" w:type="dxa"/>
            <w:tcBorders/>
            <w:vAlign w:val="center"/>
          </w:tcPr>
          <w:p>
            <w:pPr>
              <w:pStyle w:val="TableContents"/>
              <w:bidi w:val="0"/>
              <w:spacing w:before="0" w:after="283"/>
              <w:jc w:val="left"/>
              <w:rPr>
                <w:sz w:val="14"/>
              </w:rPr>
            </w:pPr>
            <w:r>
              <w:rPr>
                <w:sz w:val="14"/>
              </w:rPr>
              <w:t>Mr. Edwards has one (1) outstanding equity-based discretionary retention award:</w:t>
            </w:r>
          </w:p>
        </w:tc>
      </w:tr>
    </w:tbl>
    <w:p>
      <w:pPr>
        <w:pStyle w:val="TextBody"/>
        <w:bidi w:val="0"/>
        <w:spacing w:before="0" w:after="0"/>
        <w:ind w:left="360" w:right="460" w:hanging="0"/>
        <w:jc w:val="left"/>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On December 20, 2022, we issued 30,000 restricted shares that are equity-based incentive awards to vest in three (3) equal annual tranches on December 20, 2023; December 20, 2024; and December 20, 2025. At 2025 fiscal year end, 10,000 shares remained unvested from that grant. Mr. Edwards has four (4) outstanding plan-based equity incentive awards:</w:t>
      </w:r>
    </w:p>
    <w:p>
      <w:pPr>
        <w:pStyle w:val="TextBody"/>
        <w:bidi w:val="0"/>
        <w:spacing w:before="0" w:after="0"/>
        <w:ind w:left="360" w:right="280" w:hanging="0"/>
        <w:jc w:val="left"/>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On November 1, 2023, Mr. Edwards received an annual Restricted Share Award for fiscal year 2024. We issued 35,385 restricted shares to vest in three (3) equal annual tranches on October 31, 2024; October 31, 2025; and October 31, 2026. At 2025 fiscal year end, 11,795 shares remained unvested from that grant. </w:t>
      </w:r>
    </w:p>
    <w:p>
      <w:pPr>
        <w:pStyle w:val="TextBody"/>
        <w:bidi w:val="0"/>
        <w:spacing w:before="0" w:after="0"/>
        <w:ind w:left="360" w:right="80" w:hanging="0"/>
        <w:jc w:val="left"/>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On December 18, 2023, Mr. Edwards received an annual equity-based incentive award for fiscal year 2023 performance. We issued 12,588 restricted shares to vest in two (2) equal annual tranches on December 18, 2024; and December 18, 2025. At 2025 fiscal year end, 6,294 shares remained unvested from that grant.</w:t>
      </w:r>
    </w:p>
    <w:p>
      <w:pPr>
        <w:pStyle w:val="TextBody"/>
        <w:bidi w:val="0"/>
        <w:spacing w:before="0" w:after="0"/>
        <w:ind w:left="360" w:right="120" w:hanging="0"/>
        <w:jc w:val="left"/>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On November 1, 2024, Mr. Edwards received an annual Restricted Share Award for fiscal year 2025. We issued 19,577 restricted shares to vest in three (3) equal annual tranches on November 1, 2025; November 1, 2026; and November 1, 2027. At 2025 fiscal year end all 19,577 reamined unvest from that grant.</w:t>
      </w:r>
    </w:p>
    <w:p>
      <w:pPr>
        <w:pStyle w:val="TextBody"/>
        <w:bidi w:val="0"/>
        <w:spacing w:before="0" w:after="0"/>
        <w:ind w:left="360" w:right="60" w:hanging="0"/>
        <w:jc w:val="both"/>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On December 20, 2024, Mr. Edwards earned a SSP Bonus in connection with Harvest Equity Earnings for fiscal year 2024. We issued 1,486 restriced shares to vest on December 20, 2025. At 2025 fiscal year end, all 1,486 shares remained unvested from that grant.</w:t>
      </w:r>
    </w:p>
    <w:tbl>
      <w:tblPr>
        <w:tblW w:w="5208" w:type="dxa"/>
        <w:jc w:val="left"/>
        <w:tblInd w:w="0" w:type="dxa"/>
        <w:tblLayout w:type="fixed"/>
        <w:tblCellMar>
          <w:top w:w="0" w:type="dxa"/>
          <w:left w:w="0" w:type="dxa"/>
          <w:bottom w:w="0" w:type="dxa"/>
          <w:right w:w="0" w:type="dxa"/>
        </w:tblCellMar>
      </w:tblPr>
      <w:tblGrid>
        <w:gridCol w:w="38"/>
        <w:gridCol w:w="185"/>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14"/>
              </w:rPr>
            </w:pPr>
            <w:r>
              <w:rPr>
                <w:sz w:val="14"/>
              </w:rPr>
              <w:t>(3)</w:t>
            </w:r>
          </w:p>
        </w:tc>
        <w:tc>
          <w:tcPr>
            <w:tcW w:w="4985" w:type="dxa"/>
            <w:tcBorders/>
            <w:vAlign w:val="center"/>
          </w:tcPr>
          <w:p>
            <w:pPr>
              <w:pStyle w:val="TableContents"/>
              <w:bidi w:val="0"/>
              <w:spacing w:before="0" w:after="283"/>
              <w:jc w:val="left"/>
              <w:rPr>
                <w:sz w:val="14"/>
              </w:rPr>
            </w:pPr>
            <w:r>
              <w:rPr>
                <w:sz w:val="14"/>
              </w:rPr>
              <w:t>Mr. Palamountain has one (1) outstanding equity-based discretionary retention award:</w:t>
            </w:r>
          </w:p>
        </w:tc>
      </w:tr>
    </w:tbl>
    <w:p>
      <w:pPr>
        <w:pStyle w:val="TextBody"/>
        <w:bidi w:val="0"/>
        <w:spacing w:before="0" w:after="0"/>
        <w:ind w:left="360" w:right="0" w:hanging="0"/>
        <w:jc w:val="both"/>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On December 20, 2022, we issued 15,000 restricted shares to vest in three (3) equal annual tranches on December 20, 2023; December 20, 2024; and December 20, 2025. At 2025 fiscal year end, 5,000 shares remained unvested from that grant. </w:t>
      </w:r>
    </w:p>
    <w:p>
      <w:pPr>
        <w:pStyle w:val="TextBody"/>
        <w:bidi w:val="0"/>
        <w:spacing w:before="0" w:after="0"/>
        <w:ind w:left="360" w:right="0" w:hanging="0"/>
        <w:jc w:val="both"/>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Mr. Palamountain has four (4) outstanding plan-based equity incentive awards: </w:t>
      </w:r>
    </w:p>
    <w:p>
      <w:pPr>
        <w:pStyle w:val="TextBody"/>
        <w:bidi w:val="0"/>
        <w:spacing w:before="0" w:after="0"/>
        <w:ind w:left="360" w:right="220" w:hanging="0"/>
        <w:jc w:val="left"/>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On November 1, 2023, Mr. Palamountain received an annual Restricted Share Award for fiscal year 2024. We issued 17,693 restricted shares to vest in three (3) equal annual tranches on October 31, 2024; October 31, 2025; and October 31, 2026. At 2025 fiscal year end, 5,898 shares remained unvested from that grant.</w:t>
      </w:r>
    </w:p>
    <w:p>
      <w:pPr>
        <w:pStyle w:val="TextBody"/>
        <w:bidi w:val="0"/>
        <w:spacing w:before="0" w:after="0"/>
        <w:ind w:left="360" w:right="400" w:hanging="0"/>
        <w:jc w:val="both"/>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On December 18, 2023, Mr. Palamountain received an annual equity-based incentive award for fiscal year 2023 performance. We issued 7,351 restricted shares to vest in two (2) equal annual tranches on December 18, 2024; and December 18, 2025. At 2025 fiscal year end, 3,675 shares remained unvested from that grant.</w:t>
      </w:r>
    </w:p>
    <w:p>
      <w:pPr>
        <w:pStyle w:val="TextBody"/>
        <w:bidi w:val="0"/>
        <w:spacing w:before="0" w:after="0"/>
        <w:ind w:left="360" w:right="40" w:hanging="0"/>
        <w:jc w:val="left"/>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On November 1, 2024, Mr. Palamountain received an annual Restricted Share Award for fiscal year 2025. We issued 9,789 restricted shares to vest in three (3) equal annual tranches on November 1, 2025; November 1, 2026; and November 1, 2027. At 2025 fiscal year end all 9,789 shares remained unvest from that grant.</w:t>
      </w:r>
    </w:p>
    <w:p>
      <w:pPr>
        <w:pStyle w:val="TextBody"/>
        <w:bidi w:val="0"/>
        <w:spacing w:before="0" w:after="0"/>
        <w:ind w:left="360" w:right="440" w:hanging="0"/>
        <w:jc w:val="both"/>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On December 20, 2024, Mr. Palamountain earned a SSP Bonus in connection with Harvest Equity Earnings for fiscal year 2024. We issued 892 restriced shares to vest on December 20, 2025. At 2025 fiscal year end, all 892 shares remained unvested from that grant.</w:t>
      </w:r>
    </w:p>
    <w:p>
      <w:pPr>
        <w:pStyle w:val="TextBody"/>
        <w:bidi w:val="0"/>
        <w:spacing w:before="0" w:after="0"/>
        <w:ind w:left="240" w:right="440" w:hanging="0"/>
        <w:jc w:val="both"/>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48</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40" w:right="440" w:hanging="0"/>
        <w:jc w:val="both"/>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color w:val="008DCF"/>
          <w:sz w:val="24"/>
          <w:bdr w:val="single" w:sz="8" w:space="1" w:color="2872A8"/>
        </w:rPr>
      </w:pPr>
      <w:bookmarkStart w:id="86" w:name="lmnrdef14aa082"/>
      <w:bookmarkEnd w:id="86"/>
      <w:r>
        <w:rPr>
          <w:rFonts w:ascii="Arial;Helvetica;Sans-Serif" w:hAnsi="Arial;Helvetica;Sans-Serif"/>
          <w:b/>
          <w:i w:val="false"/>
          <w:caps w:val="false"/>
          <w:smallCaps w:val="false"/>
          <w:color w:val="008DCF"/>
          <w:sz w:val="24"/>
          <w:bdr w:val="single" w:sz="8" w:space="1" w:color="2872A8"/>
        </w:rPr>
        <w:t>Outstanding Exercises and Stock Vested at 2025 Fiscal Year End</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following table sets forth information about vesting of restricted stock held by our NEOs during fiscal year 2025:</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8585" w:type="dxa"/>
        <w:jc w:val="left"/>
        <w:tblInd w:w="0" w:type="dxa"/>
        <w:tblLayout w:type="fixed"/>
        <w:tblCellMar>
          <w:top w:w="0" w:type="dxa"/>
          <w:left w:w="0" w:type="dxa"/>
          <w:bottom w:w="0" w:type="dxa"/>
          <w:right w:w="100" w:type="dxa"/>
        </w:tblCellMar>
      </w:tblPr>
      <w:tblGrid>
        <w:gridCol w:w="1595"/>
        <w:gridCol w:w="995"/>
        <w:gridCol w:w="1025"/>
        <w:gridCol w:w="1070"/>
        <w:gridCol w:w="1280"/>
        <w:gridCol w:w="1220"/>
        <w:gridCol w:w="1400"/>
      </w:tblGrid>
      <w:tr>
        <w:trPr/>
        <w:tc>
          <w:tcPr>
            <w:tcW w:w="1595" w:type="dxa"/>
            <w:tcBorders>
              <w:right w:val="single" w:sz="8" w:space="0" w:color="FFFFFF"/>
            </w:tcBorders>
            <w:shd w:fill="D2D6E4" w:val="clear"/>
            <w:vAlign w:val="center"/>
          </w:tcPr>
          <w:p>
            <w:pPr>
              <w:pStyle w:val="TableContents"/>
              <w:bidi w:val="0"/>
              <w:spacing w:before="0" w:after="283"/>
              <w:jc w:val="left"/>
              <w:rPr/>
            </w:pPr>
            <w:r>
              <w:rPr/>
              <w:t> </w:t>
            </w:r>
          </w:p>
        </w:tc>
        <w:tc>
          <w:tcPr>
            <w:tcW w:w="2020" w:type="dxa"/>
            <w:gridSpan w:val="2"/>
            <w:tcBorders>
              <w:right w:val="single" w:sz="8" w:space="0" w:color="FFFFFF"/>
            </w:tcBorders>
            <w:shd w:fill="D2D6E4" w:val="cle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Option Awards</w:t>
            </w:r>
          </w:p>
        </w:tc>
        <w:tc>
          <w:tcPr>
            <w:tcW w:w="4970" w:type="dxa"/>
            <w:gridSpan w:val="4"/>
            <w:tcBorders/>
            <w:shd w:fill="D2D6E4" w:val="clear"/>
            <w:tcMar>
              <w:right w:w="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Stock Awards</w:t>
            </w:r>
          </w:p>
        </w:tc>
      </w:tr>
      <w:tr>
        <w:trPr/>
        <w:tc>
          <w:tcPr>
            <w:tcW w:w="1595" w:type="dxa"/>
            <w:tcBorders>
              <w:right w:val="single" w:sz="8" w:space="0" w:color="FFFFFF"/>
            </w:tcBorders>
            <w:shd w:fill="D2D6E4"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Name</w:t>
            </w:r>
          </w:p>
        </w:tc>
        <w:tc>
          <w:tcPr>
            <w:tcW w:w="995" w:type="dxa"/>
            <w:tcBorders>
              <w:right w:val="single" w:sz="8" w:space="0" w:color="FFFFFF"/>
            </w:tcBorders>
            <w:shd w:fill="D2D6E4" w:val="clear"/>
            <w:vAlign w:val="center"/>
          </w:tcPr>
          <w:p>
            <w:pPr>
              <w:pStyle w:val="TableContents"/>
              <w:bidi w:val="0"/>
              <w:spacing w:before="0" w:after="283"/>
              <w:jc w:val="center"/>
              <w:rPr/>
            </w:pPr>
            <w:r>
              <w:rPr>
                <w:rFonts w:ascii="Arial;Helvetica;Sans-Serif" w:hAnsi="Arial;Helvetica;Sans-Serif"/>
                <w:b/>
                <w:sz w:val="16"/>
              </w:rPr>
              <w:t>Number of</w:t>
            </w:r>
            <w:r>
              <w:rPr>
                <w:sz w:val="16"/>
              </w:rPr>
              <w:br/>
            </w:r>
            <w:r>
              <w:rPr>
                <w:rFonts w:ascii="Arial;Helvetica;Sans-Serif" w:hAnsi="Arial;Helvetica;Sans-Serif"/>
                <w:b/>
                <w:sz w:val="16"/>
              </w:rPr>
              <w:t>Securities</w:t>
            </w:r>
            <w:r>
              <w:rPr>
                <w:sz w:val="16"/>
              </w:rPr>
              <w:br/>
            </w:r>
            <w:r>
              <w:rPr>
                <w:rFonts w:ascii="Arial;Helvetica;Sans-Serif" w:hAnsi="Arial;Helvetica;Sans-Serif"/>
                <w:b/>
                <w:sz w:val="16"/>
              </w:rPr>
              <w:t>Acquired on</w:t>
            </w:r>
            <w:r>
              <w:rPr>
                <w:sz w:val="16"/>
              </w:rPr>
              <w:br/>
            </w:r>
            <w:r>
              <w:rPr>
                <w:rFonts w:ascii="Arial;Helvetica;Sans-Serif" w:hAnsi="Arial;Helvetica;Sans-Serif"/>
                <w:b/>
                <w:sz w:val="16"/>
              </w:rPr>
              <w:t>Exercise</w:t>
            </w:r>
            <w:r>
              <w:rPr>
                <w:rFonts w:ascii="Arial;Helvetica;Sans-Serif" w:hAnsi="Arial;Helvetica;Sans-Serif"/>
                <w:b/>
                <w:position w:val="5"/>
                <w:sz w:val="13"/>
                <w:sz w:val="16"/>
              </w:rPr>
              <w:t>(4)</w:t>
            </w:r>
            <w:r>
              <w:rPr>
                <w:sz w:val="16"/>
              </w:rPr>
              <w:br/>
            </w:r>
            <w:r>
              <w:rPr>
                <w:rFonts w:ascii="Arial;Helvetica;Sans-Serif" w:hAnsi="Arial;Helvetica;Sans-Serif"/>
                <w:b/>
                <w:sz w:val="16"/>
              </w:rPr>
              <w:t>(#)</w:t>
            </w:r>
          </w:p>
        </w:tc>
        <w:tc>
          <w:tcPr>
            <w:tcW w:w="1025" w:type="dxa"/>
            <w:tcBorders>
              <w:right w:val="single" w:sz="8" w:space="0" w:color="FFFFFF"/>
            </w:tcBorders>
            <w:shd w:fill="D2D6E4" w:val="clear"/>
            <w:vAlign w:val="center"/>
          </w:tcPr>
          <w:p>
            <w:pPr>
              <w:pStyle w:val="TableContents"/>
              <w:bidi w:val="0"/>
              <w:spacing w:before="0" w:after="283"/>
              <w:jc w:val="center"/>
              <w:rPr/>
            </w:pPr>
            <w:r>
              <w:rPr>
                <w:rFonts w:ascii="Arial;Helvetica;Sans-Serif" w:hAnsi="Arial;Helvetica;Sans-Serif"/>
                <w:b/>
                <w:sz w:val="16"/>
              </w:rPr>
              <w:t>Market Value</w:t>
            </w:r>
            <w:r>
              <w:rPr>
                <w:sz w:val="16"/>
              </w:rPr>
              <w:br/>
            </w:r>
            <w:r>
              <w:rPr>
                <w:rFonts w:ascii="Arial;Helvetica;Sans-Serif" w:hAnsi="Arial;Helvetica;Sans-Serif"/>
                <w:b/>
                <w:sz w:val="16"/>
              </w:rPr>
              <w:t>Realized on</w:t>
            </w:r>
            <w:r>
              <w:rPr>
                <w:sz w:val="16"/>
              </w:rPr>
              <w:br/>
            </w:r>
            <w:r>
              <w:rPr>
                <w:rFonts w:ascii="Arial;Helvetica;Sans-Serif" w:hAnsi="Arial;Helvetica;Sans-Serif"/>
                <w:b/>
                <w:sz w:val="16"/>
              </w:rPr>
              <w:t>Exercise</w:t>
            </w:r>
            <w:r>
              <w:rPr>
                <w:rFonts w:ascii="Arial;Helvetica;Sans-Serif" w:hAnsi="Arial;Helvetica;Sans-Serif"/>
                <w:b/>
                <w:position w:val="5"/>
                <w:sz w:val="13"/>
                <w:sz w:val="16"/>
              </w:rPr>
              <w:t>(4)</w:t>
            </w:r>
            <w:r>
              <w:rPr>
                <w:sz w:val="16"/>
              </w:rPr>
              <w:br/>
            </w:r>
            <w:r>
              <w:rPr>
                <w:rFonts w:ascii="Arial;Helvetica;Sans-Serif" w:hAnsi="Arial;Helvetica;Sans-Serif"/>
                <w:b/>
                <w:sz w:val="16"/>
              </w:rPr>
              <w:t>($)</w:t>
            </w:r>
          </w:p>
        </w:tc>
        <w:tc>
          <w:tcPr>
            <w:tcW w:w="1070" w:type="dxa"/>
            <w:tcBorders>
              <w:right w:val="single" w:sz="8" w:space="0" w:color="FFFFFF"/>
            </w:tcBorders>
            <w:shd w:fill="D2D6E4" w:val="clear"/>
            <w:vAlign w:val="center"/>
          </w:tcPr>
          <w:p>
            <w:pPr>
              <w:pStyle w:val="TableContents"/>
              <w:bidi w:val="0"/>
              <w:spacing w:before="0" w:after="283"/>
              <w:jc w:val="center"/>
              <w:rPr/>
            </w:pPr>
            <w:r>
              <w:rPr>
                <w:rFonts w:ascii="Arial;Helvetica;Sans-Serif" w:hAnsi="Arial;Helvetica;Sans-Serif"/>
                <w:b/>
                <w:sz w:val="16"/>
              </w:rPr>
              <w:t>Discretionary</w:t>
            </w:r>
            <w:r>
              <w:rPr>
                <w:sz w:val="16"/>
              </w:rPr>
              <w:br/>
            </w:r>
            <w:r>
              <w:rPr>
                <w:rFonts w:ascii="Arial;Helvetica;Sans-Serif" w:hAnsi="Arial;Helvetica;Sans-Serif"/>
                <w:b/>
                <w:sz w:val="16"/>
              </w:rPr>
              <w:t>Awards That</w:t>
            </w:r>
            <w:r>
              <w:rPr>
                <w:sz w:val="16"/>
              </w:rPr>
              <w:br/>
            </w:r>
            <w:r>
              <w:rPr>
                <w:rFonts w:ascii="Arial;Helvetica;Sans-Serif" w:hAnsi="Arial;Helvetica;Sans-Serif"/>
                <w:b/>
                <w:sz w:val="16"/>
              </w:rPr>
              <w:t>Vested FY</w:t>
            </w:r>
            <w:r>
              <w:rPr>
                <w:sz w:val="16"/>
              </w:rPr>
              <w:br/>
            </w:r>
            <w:r>
              <w:rPr>
                <w:rFonts w:ascii="Arial;Helvetica;Sans-Serif" w:hAnsi="Arial;Helvetica;Sans-Serif"/>
                <w:b/>
                <w:sz w:val="16"/>
              </w:rPr>
              <w:t>2025</w:t>
            </w:r>
            <w:r>
              <w:rPr>
                <w:sz w:val="16"/>
              </w:rPr>
              <w:br/>
            </w:r>
            <w:r>
              <w:rPr>
                <w:rFonts w:ascii="Arial;Helvetica;Sans-Serif" w:hAnsi="Arial;Helvetica;Sans-Serif"/>
                <w:b/>
                <w:sz w:val="16"/>
              </w:rPr>
              <w:t>(#)</w:t>
            </w:r>
          </w:p>
        </w:tc>
        <w:tc>
          <w:tcPr>
            <w:tcW w:w="1280" w:type="dxa"/>
            <w:tcBorders>
              <w:right w:val="single" w:sz="8" w:space="0" w:color="FFFFFF"/>
            </w:tcBorders>
            <w:shd w:fill="D2D6E4" w:val="clear"/>
            <w:vAlign w:val="center"/>
          </w:tcPr>
          <w:p>
            <w:pPr>
              <w:pStyle w:val="TableContents"/>
              <w:bidi w:val="0"/>
              <w:spacing w:before="0" w:after="283"/>
              <w:jc w:val="center"/>
              <w:rPr/>
            </w:pPr>
            <w:r>
              <w:rPr>
                <w:rFonts w:ascii="Arial;Helvetica;Sans-Serif" w:hAnsi="Arial;Helvetica;Sans-Serif"/>
                <w:b/>
                <w:sz w:val="16"/>
              </w:rPr>
              <w:t>Market Value</w:t>
            </w:r>
            <w:r>
              <w:rPr>
                <w:sz w:val="16"/>
              </w:rPr>
              <w:br/>
            </w:r>
            <w:r>
              <w:rPr>
                <w:rFonts w:ascii="Arial;Helvetica;Sans-Serif" w:hAnsi="Arial;Helvetica;Sans-Serif"/>
                <w:b/>
                <w:sz w:val="16"/>
              </w:rPr>
              <w:t>of Discretionary</w:t>
            </w:r>
            <w:r>
              <w:rPr>
                <w:sz w:val="16"/>
              </w:rPr>
              <w:br/>
            </w:r>
            <w:r>
              <w:rPr>
                <w:rFonts w:ascii="Arial;Helvetica;Sans-Serif" w:hAnsi="Arial;Helvetica;Sans-Serif"/>
                <w:b/>
                <w:sz w:val="16"/>
              </w:rPr>
              <w:t>Award Shares</w:t>
            </w:r>
            <w:r>
              <w:rPr>
                <w:sz w:val="16"/>
              </w:rPr>
              <w:br/>
            </w:r>
            <w:r>
              <w:rPr>
                <w:rFonts w:ascii="Arial;Helvetica;Sans-Serif" w:hAnsi="Arial;Helvetica;Sans-Serif"/>
                <w:b/>
                <w:sz w:val="16"/>
              </w:rPr>
              <w:t>That Vested</w:t>
            </w:r>
            <w:r>
              <w:rPr>
                <w:sz w:val="16"/>
              </w:rPr>
              <w:br/>
            </w:r>
            <w:r>
              <w:rPr>
                <w:rFonts w:ascii="Arial;Helvetica;Sans-Serif" w:hAnsi="Arial;Helvetica;Sans-Serif"/>
                <w:b/>
                <w:sz w:val="16"/>
              </w:rPr>
              <w:t>FY 2025</w:t>
            </w:r>
            <w:r>
              <w:rPr>
                <w:rFonts w:ascii="Arial;Helvetica;Sans-Serif" w:hAnsi="Arial;Helvetica;Sans-Serif"/>
                <w:b/>
                <w:position w:val="5"/>
                <w:sz w:val="13"/>
                <w:sz w:val="16"/>
              </w:rPr>
              <w:t>(1)</w:t>
            </w:r>
            <w:r>
              <w:rPr>
                <w:sz w:val="16"/>
              </w:rPr>
              <w:br/>
            </w:r>
            <w:r>
              <w:rPr>
                <w:rFonts w:ascii="Arial;Helvetica;Sans-Serif" w:hAnsi="Arial;Helvetica;Sans-Serif"/>
                <w:b/>
                <w:sz w:val="16"/>
              </w:rPr>
              <w:t>($)</w:t>
            </w:r>
          </w:p>
        </w:tc>
        <w:tc>
          <w:tcPr>
            <w:tcW w:w="1220" w:type="dxa"/>
            <w:tcBorders>
              <w:right w:val="single" w:sz="8" w:space="0" w:color="FFFFFF"/>
            </w:tcBorders>
            <w:shd w:fill="D2D6E4" w:val="clear"/>
            <w:vAlign w:val="center"/>
          </w:tcPr>
          <w:p>
            <w:pPr>
              <w:pStyle w:val="TableContents"/>
              <w:bidi w:val="0"/>
              <w:spacing w:before="0" w:after="283"/>
              <w:jc w:val="center"/>
              <w:rPr/>
            </w:pPr>
            <w:r>
              <w:rPr>
                <w:rFonts w:ascii="Arial;Helvetica;Sans-Serif" w:hAnsi="Arial;Helvetica;Sans-Serif"/>
                <w:b/>
                <w:sz w:val="16"/>
              </w:rPr>
              <w:t>Incentive</w:t>
            </w:r>
            <w:r>
              <w:rPr>
                <w:sz w:val="16"/>
              </w:rPr>
              <w:br/>
            </w:r>
            <w:r>
              <w:rPr>
                <w:rFonts w:ascii="Arial;Helvetica;Sans-Serif" w:hAnsi="Arial;Helvetica;Sans-Serif"/>
                <w:b/>
                <w:sz w:val="16"/>
              </w:rPr>
              <w:t>Equity Plan</w:t>
            </w:r>
            <w:r>
              <w:rPr>
                <w:sz w:val="16"/>
              </w:rPr>
              <w:br/>
            </w:r>
            <w:r>
              <w:rPr>
                <w:rFonts w:ascii="Arial;Helvetica;Sans-Serif" w:hAnsi="Arial;Helvetica;Sans-Serif"/>
                <w:b/>
                <w:sz w:val="16"/>
              </w:rPr>
              <w:t>Awards That</w:t>
            </w:r>
            <w:r>
              <w:rPr>
                <w:sz w:val="16"/>
              </w:rPr>
              <w:br/>
            </w:r>
            <w:r>
              <w:rPr>
                <w:rFonts w:ascii="Arial;Helvetica;Sans-Serif" w:hAnsi="Arial;Helvetica;Sans-Serif"/>
                <w:b/>
                <w:sz w:val="16"/>
              </w:rPr>
              <w:t>Vested FY 2025</w:t>
            </w:r>
            <w:r>
              <w:rPr>
                <w:sz w:val="16"/>
              </w:rPr>
              <w:br/>
            </w:r>
            <w:r>
              <w:rPr>
                <w:rFonts w:ascii="Arial;Helvetica;Sans-Serif" w:hAnsi="Arial;Helvetica;Sans-Serif"/>
                <w:b/>
                <w:sz w:val="16"/>
              </w:rPr>
              <w:t>(#)</w:t>
            </w:r>
          </w:p>
        </w:tc>
        <w:tc>
          <w:tcPr>
            <w:tcW w:w="1400" w:type="dxa"/>
            <w:tcBorders/>
            <w:shd w:fill="D2D6E4" w:val="clear"/>
            <w:tcMar>
              <w:right w:w="0" w:type="dxa"/>
            </w:tcMar>
            <w:vAlign w:val="center"/>
          </w:tcPr>
          <w:p>
            <w:pPr>
              <w:pStyle w:val="TableContents"/>
              <w:bidi w:val="0"/>
              <w:spacing w:before="0" w:after="283"/>
              <w:jc w:val="center"/>
              <w:rPr/>
            </w:pPr>
            <w:r>
              <w:rPr>
                <w:rFonts w:ascii="Arial;Helvetica;Sans-Serif" w:hAnsi="Arial;Helvetica;Sans-Serif"/>
                <w:b/>
                <w:sz w:val="16"/>
              </w:rPr>
              <w:t>Market Value of</w:t>
            </w:r>
            <w:r>
              <w:rPr>
                <w:sz w:val="16"/>
              </w:rPr>
              <w:br/>
            </w:r>
            <w:r>
              <w:rPr>
                <w:rFonts w:ascii="Arial;Helvetica;Sans-Serif" w:hAnsi="Arial;Helvetica;Sans-Serif"/>
                <w:b/>
                <w:sz w:val="16"/>
              </w:rPr>
              <w:t>Incentive Equity</w:t>
            </w:r>
            <w:r>
              <w:rPr>
                <w:sz w:val="16"/>
              </w:rPr>
              <w:br/>
            </w:r>
            <w:r>
              <w:rPr>
                <w:rFonts w:ascii="Arial;Helvetica;Sans-Serif" w:hAnsi="Arial;Helvetica;Sans-Serif"/>
                <w:b/>
                <w:sz w:val="16"/>
              </w:rPr>
              <w:t>Plan Award</w:t>
            </w:r>
            <w:r>
              <w:rPr>
                <w:sz w:val="16"/>
              </w:rPr>
              <w:br/>
            </w:r>
            <w:r>
              <w:rPr>
                <w:rFonts w:ascii="Arial;Helvetica;Sans-Serif" w:hAnsi="Arial;Helvetica;Sans-Serif"/>
                <w:b/>
                <w:sz w:val="16"/>
              </w:rPr>
              <w:t>Shares That</w:t>
            </w:r>
            <w:r>
              <w:rPr>
                <w:sz w:val="16"/>
              </w:rPr>
              <w:br/>
            </w:r>
            <w:r>
              <w:rPr>
                <w:rFonts w:ascii="Arial;Helvetica;Sans-Serif" w:hAnsi="Arial;Helvetica;Sans-Serif"/>
                <w:b/>
                <w:sz w:val="16"/>
              </w:rPr>
              <w:t>Vested FY 2025</w:t>
            </w:r>
            <w:r>
              <w:rPr>
                <w:rFonts w:ascii="Arial;Helvetica;Sans-Serif" w:hAnsi="Arial;Helvetica;Sans-Serif"/>
                <w:b/>
                <w:position w:val="5"/>
                <w:sz w:val="13"/>
                <w:sz w:val="16"/>
              </w:rPr>
              <w:t>(1)</w:t>
            </w:r>
            <w:r>
              <w:rPr>
                <w:sz w:val="16"/>
              </w:rPr>
              <w:br/>
            </w:r>
            <w:r>
              <w:rPr>
                <w:rFonts w:ascii="Arial;Helvetica;Sans-Serif" w:hAnsi="Arial;Helvetica;Sans-Serif"/>
                <w:b/>
                <w:sz w:val="16"/>
              </w:rPr>
              <w:t>($)</w:t>
            </w:r>
          </w:p>
        </w:tc>
      </w:tr>
      <w:tr>
        <w:trPr/>
        <w:tc>
          <w:tcPr>
            <w:tcW w:w="1595" w:type="dxa"/>
            <w:tcBorders>
              <w:bottom w:val="single" w:sz="8" w:space="0" w:color="E5F5FD"/>
              <w:right w:val="single" w:sz="8" w:space="0" w:color="E6F5FD"/>
            </w:tcBorders>
            <w:tcMar>
              <w:bottom w:w="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Harold S. Edwards</w:t>
            </w:r>
            <w:r>
              <w:rPr>
                <w:rFonts w:ascii="Arial;Helvetica;Sans-Serif" w:hAnsi="Arial;Helvetica;Sans-Serif"/>
                <w:position w:val="5"/>
                <w:sz w:val="13"/>
                <w:sz w:val="16"/>
              </w:rPr>
              <w:t>(2)</w:t>
            </w:r>
          </w:p>
        </w:tc>
        <w:tc>
          <w:tcPr>
            <w:tcW w:w="995" w:type="dxa"/>
            <w:tcBorders>
              <w:bottom w:val="single" w:sz="8" w:space="0" w:color="E5F5FD"/>
              <w:right w:val="single" w:sz="8" w:space="0" w:color="E6F5FD"/>
            </w:tcBorders>
            <w:tcMar>
              <w:bottom w:w="60" w:type="dxa"/>
            </w:tcMar>
            <w:vAlign w:val="center"/>
          </w:tcPr>
          <w:p>
            <w:pPr>
              <w:pStyle w:val="TableContents"/>
              <w:bidi w:val="0"/>
              <w:spacing w:before="0" w:after="283"/>
              <w:jc w:val="center"/>
              <w:rPr/>
            </w:pPr>
            <w:r>
              <w:rPr/>
              <w:t>—</w:t>
            </w:r>
          </w:p>
        </w:tc>
        <w:tc>
          <w:tcPr>
            <w:tcW w:w="1025" w:type="dxa"/>
            <w:tcBorders>
              <w:bottom w:val="single" w:sz="8" w:space="0" w:color="E5F5FD"/>
              <w:right w:val="single" w:sz="8" w:space="0" w:color="E6F5FD"/>
            </w:tcBorders>
            <w:tcMar>
              <w:bottom w:w="60" w:type="dxa"/>
            </w:tcMar>
            <w:vAlign w:val="center"/>
          </w:tcPr>
          <w:p>
            <w:pPr>
              <w:pStyle w:val="TableContents"/>
              <w:bidi w:val="0"/>
              <w:spacing w:before="0" w:after="283"/>
              <w:jc w:val="center"/>
              <w:rPr/>
            </w:pPr>
            <w:r>
              <w:rPr/>
              <w:t>—</w:t>
            </w:r>
          </w:p>
        </w:tc>
        <w:tc>
          <w:tcPr>
            <w:tcW w:w="1070" w:type="dxa"/>
            <w:tcBorders>
              <w:bottom w:val="single" w:sz="8" w:space="0" w:color="E5F5FD"/>
              <w:right w:val="single" w:sz="8" w:space="0" w:color="E6F5FD"/>
            </w:tcBorders>
            <w:tcMar>
              <w:bottom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10,000</w:t>
            </w:r>
          </w:p>
        </w:tc>
        <w:tc>
          <w:tcPr>
            <w:tcW w:w="1280" w:type="dxa"/>
            <w:tcBorders>
              <w:bottom w:val="single" w:sz="8" w:space="0" w:color="E5F5FD"/>
              <w:right w:val="single" w:sz="8" w:space="0" w:color="E6F5FD"/>
            </w:tcBorders>
            <w:tcMar>
              <w:bottom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263,000</w:t>
            </w:r>
          </w:p>
        </w:tc>
        <w:tc>
          <w:tcPr>
            <w:tcW w:w="1220" w:type="dxa"/>
            <w:tcBorders>
              <w:bottom w:val="single" w:sz="8" w:space="0" w:color="E5F5FD"/>
              <w:right w:val="single" w:sz="8" w:space="0" w:color="E3F2E7"/>
            </w:tcBorders>
            <w:tcMar>
              <w:bottom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59,195</w:t>
            </w:r>
          </w:p>
        </w:tc>
        <w:tc>
          <w:tcPr>
            <w:tcW w:w="1400" w:type="dxa"/>
            <w:tcBorders>
              <w:bottom w:val="single" w:sz="8" w:space="0" w:color="E5F5FD"/>
            </w:tcBorders>
            <w:tcMar>
              <w:bottom w:w="60" w:type="dxa"/>
              <w:righ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1,171,818</w:t>
            </w:r>
          </w:p>
        </w:tc>
      </w:tr>
      <w:tr>
        <w:trPr/>
        <w:tc>
          <w:tcPr>
            <w:tcW w:w="1595" w:type="dxa"/>
            <w:tcBorders>
              <w:bottom w:val="single" w:sz="8" w:space="0" w:color="E5F5FD"/>
              <w:right w:val="single" w:sz="8" w:space="0" w:color="E6F5FD"/>
            </w:tcBorders>
            <w:shd w:fill="E6F5FD" w:val="clear"/>
            <w:tcMar>
              <w:bottom w:w="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Mark Palamountain</w:t>
            </w:r>
            <w:r>
              <w:rPr>
                <w:rFonts w:ascii="Arial;Helvetica;Sans-Serif" w:hAnsi="Arial;Helvetica;Sans-Serif"/>
                <w:position w:val="5"/>
                <w:sz w:val="13"/>
                <w:sz w:val="16"/>
              </w:rPr>
              <w:t>(3)</w:t>
            </w:r>
          </w:p>
        </w:tc>
        <w:tc>
          <w:tcPr>
            <w:tcW w:w="995" w:type="dxa"/>
            <w:tcBorders>
              <w:bottom w:val="single" w:sz="8" w:space="0" w:color="E5F5FD"/>
              <w:right w:val="single" w:sz="8" w:space="0" w:color="E6F5FD"/>
            </w:tcBorders>
            <w:shd w:fill="E6F5FD" w:val="clear"/>
            <w:tcMar>
              <w:bottom w:w="60" w:type="dxa"/>
            </w:tcMar>
            <w:vAlign w:val="center"/>
          </w:tcPr>
          <w:p>
            <w:pPr>
              <w:pStyle w:val="TableContents"/>
              <w:bidi w:val="0"/>
              <w:spacing w:before="0" w:after="283"/>
              <w:jc w:val="center"/>
              <w:rPr/>
            </w:pPr>
            <w:r>
              <w:rPr/>
              <w:t>—</w:t>
            </w:r>
          </w:p>
        </w:tc>
        <w:tc>
          <w:tcPr>
            <w:tcW w:w="1025" w:type="dxa"/>
            <w:tcBorders>
              <w:bottom w:val="single" w:sz="8" w:space="0" w:color="E5F5FD"/>
              <w:right w:val="single" w:sz="8" w:space="0" w:color="E6F5FD"/>
            </w:tcBorders>
            <w:shd w:fill="E6F5FD" w:val="clear"/>
            <w:tcMar>
              <w:bottom w:w="60" w:type="dxa"/>
            </w:tcMar>
            <w:vAlign w:val="center"/>
          </w:tcPr>
          <w:p>
            <w:pPr>
              <w:pStyle w:val="TableContents"/>
              <w:bidi w:val="0"/>
              <w:spacing w:before="0" w:after="283"/>
              <w:jc w:val="center"/>
              <w:rPr/>
            </w:pPr>
            <w:r>
              <w:rPr/>
              <w:t>—</w:t>
            </w:r>
          </w:p>
        </w:tc>
        <w:tc>
          <w:tcPr>
            <w:tcW w:w="1070" w:type="dxa"/>
            <w:tcBorders>
              <w:bottom w:val="single" w:sz="8" w:space="0" w:color="E5F5FD"/>
              <w:right w:val="single" w:sz="8" w:space="0" w:color="E6F5FD"/>
            </w:tcBorders>
            <w:shd w:fill="E6F5FD" w:val="clear"/>
            <w:tcMar>
              <w:bottom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5,000</w:t>
            </w:r>
          </w:p>
        </w:tc>
        <w:tc>
          <w:tcPr>
            <w:tcW w:w="1280" w:type="dxa"/>
            <w:tcBorders>
              <w:bottom w:val="single" w:sz="8" w:space="0" w:color="E5F5FD"/>
              <w:right w:val="single" w:sz="8" w:space="0" w:color="E6F5FD"/>
            </w:tcBorders>
            <w:shd w:fill="E6F5FD" w:val="clear"/>
            <w:tcMar>
              <w:bottom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131,500</w:t>
            </w:r>
          </w:p>
        </w:tc>
        <w:tc>
          <w:tcPr>
            <w:tcW w:w="1220" w:type="dxa"/>
            <w:tcBorders>
              <w:bottom w:val="single" w:sz="8" w:space="0" w:color="E5F5FD"/>
              <w:right w:val="single" w:sz="8" w:space="0" w:color="E3F2E7"/>
            </w:tcBorders>
            <w:shd w:fill="E6F5FD" w:val="clear"/>
            <w:tcMar>
              <w:bottom w:w="6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33,998</w:t>
            </w:r>
          </w:p>
        </w:tc>
        <w:tc>
          <w:tcPr>
            <w:tcW w:w="1400" w:type="dxa"/>
            <w:tcBorders>
              <w:bottom w:val="single" w:sz="8" w:space="0" w:color="E5F5FD"/>
            </w:tcBorders>
            <w:shd w:fill="E6F5FD" w:val="clear"/>
            <w:tcMar>
              <w:bottom w:w="60" w:type="dxa"/>
              <w:right w:w="0"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677,576</w:t>
            </w:r>
          </w:p>
        </w:tc>
      </w:tr>
    </w:tbl>
    <w:p>
      <w:pPr>
        <w:pStyle w:val="TextBody"/>
        <w:bidi w:val="0"/>
        <w:jc w:val="left"/>
        <w:rPr>
          <w:bdr w:val="single" w:sz="8" w:space="1" w:color="2872A8"/>
        </w:rPr>
      </w:pPr>
      <w:r>
        <w:rPr>
          <w:bdr w:val="single" w:sz="8" w:space="1" w:color="2872A8"/>
        </w:rPr>
        <w:t> </w:t>
      </w:r>
    </w:p>
    <w:tbl>
      <w:tblPr>
        <w:tblW w:w="8733" w:type="dxa"/>
        <w:jc w:val="left"/>
        <w:tblInd w:w="0" w:type="dxa"/>
        <w:tblLayout w:type="fixed"/>
        <w:tblCellMar>
          <w:top w:w="0" w:type="dxa"/>
          <w:left w:w="0" w:type="dxa"/>
          <w:bottom w:w="0" w:type="dxa"/>
          <w:right w:w="0" w:type="dxa"/>
        </w:tblCellMar>
      </w:tblPr>
      <w:tblGrid>
        <w:gridCol w:w="38"/>
        <w:gridCol w:w="185"/>
        <w:gridCol w:w="851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14"/>
              </w:rPr>
            </w:pPr>
            <w:r>
              <w:rPr>
                <w:sz w:val="14"/>
              </w:rPr>
              <w:t>(1)</w:t>
            </w:r>
          </w:p>
        </w:tc>
        <w:tc>
          <w:tcPr>
            <w:tcW w:w="8510" w:type="dxa"/>
            <w:tcBorders/>
            <w:vAlign w:val="center"/>
          </w:tcPr>
          <w:p>
            <w:pPr>
              <w:pStyle w:val="TableContents"/>
              <w:bidi w:val="0"/>
              <w:spacing w:before="0" w:after="283"/>
              <w:jc w:val="left"/>
              <w:rPr>
                <w:sz w:val="14"/>
              </w:rPr>
            </w:pPr>
            <w:r>
              <w:rPr>
                <w:sz w:val="14"/>
              </w:rPr>
              <w:t>Based on a fair market value of the Common Stock on the date of vesting. Mr. Edwards and Mr. Palamountain had shares vest on the following dates:</w:t>
            </w:r>
          </w:p>
        </w:tc>
      </w:tr>
    </w:tbl>
    <w:p>
      <w:pPr>
        <w:pStyle w:val="TextBody"/>
        <w:bidi w:val="0"/>
        <w:spacing w:before="0" w:after="0"/>
        <w:ind w:left="360" w:right="7100" w:hanging="0"/>
        <w:jc w:val="both"/>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December 18, 2024 at $25.36 per share.</w:t>
      </w:r>
    </w:p>
    <w:p>
      <w:pPr>
        <w:pStyle w:val="TextBody"/>
        <w:bidi w:val="0"/>
        <w:spacing w:before="0" w:after="0"/>
        <w:ind w:left="360" w:right="7100" w:hanging="0"/>
        <w:jc w:val="both"/>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December 20, 2024 at $26.30 per share.</w:t>
      </w:r>
    </w:p>
    <w:p>
      <w:pPr>
        <w:pStyle w:val="TextBody"/>
        <w:bidi w:val="0"/>
        <w:spacing w:before="0" w:after="0"/>
        <w:ind w:left="360" w:right="0" w:hanging="0"/>
        <w:jc w:val="both"/>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June 5, 2025 at $15.08 per share.</w:t>
      </w:r>
    </w:p>
    <w:p>
      <w:pPr>
        <w:pStyle w:val="TextBody"/>
        <w:bidi w:val="0"/>
        <w:spacing w:before="0" w:after="0"/>
        <w:ind w:left="360" w:right="0" w:hanging="0"/>
        <w:jc w:val="both"/>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October 31, 2025 at $14.13 per share.</w:t>
      </w:r>
    </w:p>
    <w:tbl>
      <w:tblPr>
        <w:tblW w:w="6378" w:type="dxa"/>
        <w:jc w:val="left"/>
        <w:tblInd w:w="0" w:type="dxa"/>
        <w:tblLayout w:type="fixed"/>
        <w:tblCellMar>
          <w:top w:w="0" w:type="dxa"/>
          <w:left w:w="0" w:type="dxa"/>
          <w:bottom w:w="0" w:type="dxa"/>
          <w:right w:w="0" w:type="dxa"/>
        </w:tblCellMar>
      </w:tblPr>
      <w:tblGrid>
        <w:gridCol w:w="38"/>
        <w:gridCol w:w="185"/>
        <w:gridCol w:w="615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14"/>
              </w:rPr>
            </w:pPr>
            <w:r>
              <w:rPr>
                <w:sz w:val="14"/>
              </w:rPr>
              <w:t>(2)</w:t>
            </w:r>
          </w:p>
        </w:tc>
        <w:tc>
          <w:tcPr>
            <w:tcW w:w="6155" w:type="dxa"/>
            <w:tcBorders/>
            <w:vAlign w:val="center"/>
          </w:tcPr>
          <w:p>
            <w:pPr>
              <w:pStyle w:val="TableContents"/>
              <w:bidi w:val="0"/>
              <w:spacing w:before="0" w:after="283"/>
              <w:jc w:val="left"/>
              <w:rPr>
                <w:sz w:val="14"/>
              </w:rPr>
            </w:pPr>
            <w:r>
              <w:rPr>
                <w:sz w:val="14"/>
              </w:rPr>
              <w:t>Mr. Edwards had 10,000 shares vest in connection with one (1) equity-based discretionary retention award:</w:t>
            </w:r>
          </w:p>
        </w:tc>
      </w:tr>
    </w:tbl>
    <w:p>
      <w:pPr>
        <w:pStyle w:val="TextBody"/>
        <w:bidi w:val="0"/>
        <w:spacing w:before="0" w:after="0"/>
        <w:ind w:left="360" w:right="3180" w:hanging="0"/>
        <w:jc w:val="both"/>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10,000 shares vested on December 20, 2024, in connection with an award issued December 20, 2022.</w:t>
      </w:r>
    </w:p>
    <w:p>
      <w:pPr>
        <w:pStyle w:val="TextBody"/>
        <w:bidi w:val="0"/>
        <w:spacing w:before="0" w:after="0"/>
        <w:ind w:left="360" w:right="3180" w:hanging="0"/>
        <w:jc w:val="both"/>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Mr. Edwards had 59,195 shares vest in connection with five (5) equity-based incentive awards:</w:t>
      </w:r>
    </w:p>
    <w:p>
      <w:pPr>
        <w:pStyle w:val="TextBody"/>
        <w:bidi w:val="0"/>
        <w:spacing w:before="0" w:after="0"/>
        <w:ind w:left="360" w:right="3180" w:hanging="0"/>
        <w:jc w:val="left"/>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6,294 shares vested on December 18, 2024, in connection with an award issued December 18, 2023.</w:t>
      </w:r>
    </w:p>
    <w:p>
      <w:pPr>
        <w:pStyle w:val="TextBody"/>
        <w:bidi w:val="0"/>
        <w:spacing w:before="0" w:after="0"/>
        <w:ind w:left="360" w:right="3180" w:hanging="0"/>
        <w:jc w:val="left"/>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6,362 shares vested on December 18,2024, in connection with an award issued December 18, 2023.</w:t>
      </w:r>
    </w:p>
    <w:p>
      <w:pPr>
        <w:pStyle w:val="TextBody"/>
        <w:bidi w:val="0"/>
        <w:spacing w:before="0" w:after="0"/>
        <w:ind w:left="360" w:right="3180" w:hanging="0"/>
        <w:jc w:val="left"/>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14,282 shares vested on December 20, 2024, in connection with an award issued December 20, 2022.</w:t>
      </w:r>
    </w:p>
    <w:p>
      <w:pPr>
        <w:pStyle w:val="TextBody"/>
        <w:bidi w:val="0"/>
        <w:spacing w:before="0" w:after="0"/>
        <w:ind w:left="360" w:right="3180" w:hanging="0"/>
        <w:jc w:val="left"/>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20,463 shares vested on June 5, 2025, in connection with an award issued June 6, 2024.</w:t>
      </w:r>
    </w:p>
    <w:p>
      <w:pPr>
        <w:pStyle w:val="TextBody"/>
        <w:bidi w:val="0"/>
        <w:spacing w:before="0" w:after="0"/>
        <w:ind w:left="360" w:right="0" w:hanging="0"/>
        <w:jc w:val="both"/>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11,795 shares vested on October 31, 2025, in connection with an award issued November 1, 2023.</w:t>
      </w:r>
    </w:p>
    <w:tbl>
      <w:tblPr>
        <w:tblW w:w="6648" w:type="dxa"/>
        <w:jc w:val="left"/>
        <w:tblInd w:w="0" w:type="dxa"/>
        <w:tblLayout w:type="fixed"/>
        <w:tblCellMar>
          <w:top w:w="0" w:type="dxa"/>
          <w:left w:w="0" w:type="dxa"/>
          <w:bottom w:w="0" w:type="dxa"/>
          <w:right w:w="0" w:type="dxa"/>
        </w:tblCellMar>
      </w:tblPr>
      <w:tblGrid>
        <w:gridCol w:w="38"/>
        <w:gridCol w:w="185"/>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14"/>
              </w:rPr>
            </w:pPr>
            <w:r>
              <w:rPr>
                <w:sz w:val="14"/>
              </w:rPr>
              <w:t>(3)</w:t>
            </w:r>
          </w:p>
        </w:tc>
        <w:tc>
          <w:tcPr>
            <w:tcW w:w="6425" w:type="dxa"/>
            <w:tcBorders/>
            <w:vAlign w:val="center"/>
          </w:tcPr>
          <w:p>
            <w:pPr>
              <w:pStyle w:val="TableContents"/>
              <w:bidi w:val="0"/>
              <w:spacing w:before="0" w:after="283"/>
              <w:jc w:val="left"/>
              <w:rPr>
                <w:sz w:val="14"/>
              </w:rPr>
            </w:pPr>
            <w:r>
              <w:rPr>
                <w:sz w:val="14"/>
              </w:rPr>
              <w:t xml:space="preserve">Mr. Palamountain had 5,000 shares vest in connection with one (1) equity-based discretionary retention award: </w:t>
            </w:r>
          </w:p>
        </w:tc>
      </w:tr>
    </w:tbl>
    <w:p>
      <w:pPr>
        <w:pStyle w:val="TextBody"/>
        <w:bidi w:val="0"/>
        <w:spacing w:before="0" w:after="0"/>
        <w:ind w:left="360" w:right="3240" w:hanging="0"/>
        <w:jc w:val="both"/>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5,000 shares vested on December 20, 2024, in connection with an award issued December 20, 2022.</w:t>
      </w:r>
    </w:p>
    <w:p>
      <w:pPr>
        <w:pStyle w:val="TextBody"/>
        <w:bidi w:val="0"/>
        <w:spacing w:before="0" w:after="0"/>
        <w:ind w:left="360" w:right="3240" w:hanging="0"/>
        <w:jc w:val="both"/>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Mr. Palamountain had 33,998 shares vest in connection with five (5) equity-based incentive awards:</w:t>
      </w:r>
    </w:p>
    <w:p>
      <w:pPr>
        <w:pStyle w:val="TextBody"/>
        <w:bidi w:val="0"/>
        <w:spacing w:before="0" w:after="0"/>
        <w:ind w:left="360" w:right="3240" w:hanging="0"/>
        <w:jc w:val="both"/>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3,676 shares vested on December 18, 2024, in connection with an award issued December 18, 2023.</w:t>
      </w:r>
    </w:p>
    <w:p>
      <w:pPr>
        <w:pStyle w:val="TextBody"/>
        <w:bidi w:val="0"/>
        <w:spacing w:before="0" w:after="0"/>
        <w:ind w:left="360" w:right="3240" w:hanging="0"/>
        <w:jc w:val="both"/>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3,807 shares vested on December 18,2024, in connection with an award issued December 18, 2023.</w:t>
      </w:r>
    </w:p>
    <w:p>
      <w:pPr>
        <w:pStyle w:val="TextBody"/>
        <w:bidi w:val="0"/>
        <w:spacing w:before="0" w:after="0"/>
        <w:ind w:left="360" w:right="3240" w:hanging="0"/>
        <w:jc w:val="both"/>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8,339 shares vested on December 20, 2024, in connection with an award issued December 20, 2022.</w:t>
      </w:r>
    </w:p>
    <w:p>
      <w:pPr>
        <w:pStyle w:val="TextBody"/>
        <w:bidi w:val="0"/>
        <w:spacing w:before="0" w:after="0"/>
        <w:ind w:left="360" w:right="3240" w:hanging="0"/>
        <w:jc w:val="both"/>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12,278 shares vested on June 5, 2025, in connection with an award issued June 6, 2024.</w:t>
      </w:r>
    </w:p>
    <w:p>
      <w:pPr>
        <w:pStyle w:val="TextBody"/>
        <w:bidi w:val="0"/>
        <w:spacing w:before="0" w:after="0"/>
        <w:ind w:left="360" w:right="0" w:hanging="0"/>
        <w:jc w:val="both"/>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5,898 shares vested on October 31, 2025, in connection with an award issued November 1, 2023.</w:t>
      </w:r>
    </w:p>
    <w:tbl>
      <w:tblPr>
        <w:tblW w:w="4383" w:type="dxa"/>
        <w:jc w:val="left"/>
        <w:tblInd w:w="0" w:type="dxa"/>
        <w:tblLayout w:type="fixed"/>
        <w:tblCellMar>
          <w:top w:w="0" w:type="dxa"/>
          <w:left w:w="0" w:type="dxa"/>
          <w:bottom w:w="0" w:type="dxa"/>
          <w:right w:w="0" w:type="dxa"/>
        </w:tblCellMar>
      </w:tblPr>
      <w:tblGrid>
        <w:gridCol w:w="38"/>
        <w:gridCol w:w="185"/>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14"/>
              </w:rPr>
            </w:pPr>
            <w:r>
              <w:rPr>
                <w:sz w:val="14"/>
              </w:rPr>
              <w:t>(4)</w:t>
            </w:r>
          </w:p>
        </w:tc>
        <w:tc>
          <w:tcPr>
            <w:tcW w:w="4160" w:type="dxa"/>
            <w:tcBorders/>
            <w:vAlign w:val="center"/>
          </w:tcPr>
          <w:p>
            <w:pPr>
              <w:pStyle w:val="TableContents"/>
              <w:bidi w:val="0"/>
              <w:spacing w:before="0" w:after="283"/>
              <w:jc w:val="left"/>
              <w:rPr>
                <w:sz w:val="14"/>
              </w:rPr>
            </w:pPr>
            <w:r>
              <w:rPr>
                <w:sz w:val="14"/>
              </w:rPr>
              <w:t>The Company does not issue stock options or stock appreciation rights.</w:t>
            </w:r>
          </w:p>
        </w:tc>
      </w:tr>
    </w:tbl>
    <w:p>
      <w:pPr>
        <w:pStyle w:val="TextBody"/>
        <w:bidi w:val="0"/>
        <w:spacing w:before="0" w:after="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color w:val="008DCF"/>
          <w:sz w:val="24"/>
          <w:bdr w:val="single" w:sz="8" w:space="1" w:color="2872A8"/>
        </w:rPr>
      </w:pPr>
      <w:bookmarkStart w:id="87" w:name="lmnrdef14aa083"/>
      <w:bookmarkStart w:id="88" w:name="xdx_807_eecd--PvpTableTextBlock_dU_gL1PT"/>
      <w:bookmarkEnd w:id="87"/>
      <w:bookmarkEnd w:id="88"/>
      <w:r>
        <w:rPr>
          <w:rFonts w:ascii="Arial;Helvetica;Sans-Serif" w:hAnsi="Arial;Helvetica;Sans-Serif"/>
          <w:b/>
          <w:i w:val="false"/>
          <w:caps w:val="false"/>
          <w:smallCaps w:val="false"/>
          <w:color w:val="008DCF"/>
          <w:sz w:val="24"/>
          <w:bdr w:val="single" w:sz="8" w:space="1" w:color="2872A8"/>
        </w:rPr>
        <w:t>Pay Versus Performance (PVP)</w:t>
      </w:r>
    </w:p>
    <w:p>
      <w:pPr>
        <w:pStyle w:val="TextBody"/>
        <w:bidi w:val="0"/>
        <w:spacing w:before="0" w:after="0"/>
        <w:ind w:left="0" w:right="0" w:hanging="0"/>
        <w:jc w:val="left"/>
        <w:rPr>
          <w:caps w:val="false"/>
          <w:smallCaps w:val="false"/>
          <w:color w:val="008DCF"/>
          <w:bdr w:val="single" w:sz="8" w:space="1" w:color="2872A8"/>
        </w:rPr>
      </w:pPr>
      <w:r>
        <w:rPr>
          <w:caps w:val="false"/>
          <w:smallCaps w:val="false"/>
          <w:color w:val="008DCF"/>
          <w:bdr w:val="single" w:sz="8" w:space="1" w:color="2872A8"/>
        </w:rPr>
        <w:t> </w:t>
      </w:r>
    </w:p>
    <w:tbl>
      <w:tblPr>
        <w:tblW w:w="10170" w:type="dxa"/>
        <w:jc w:val="left"/>
        <w:tblInd w:w="0" w:type="dxa"/>
        <w:tblLayout w:type="fixed"/>
        <w:tblCellMar>
          <w:top w:w="0" w:type="dxa"/>
          <w:left w:w="0" w:type="dxa"/>
          <w:bottom w:w="0" w:type="dxa"/>
          <w:right w:w="100" w:type="dxa"/>
        </w:tblCellMar>
      </w:tblPr>
      <w:tblGrid>
        <w:gridCol w:w="395"/>
        <w:gridCol w:w="1190"/>
        <w:gridCol w:w="1430"/>
        <w:gridCol w:w="1190"/>
        <w:gridCol w:w="1190"/>
        <w:gridCol w:w="1220"/>
        <w:gridCol w:w="980"/>
        <w:gridCol w:w="950"/>
        <w:gridCol w:w="1625"/>
      </w:tblGrid>
      <w:tr>
        <w:trPr/>
        <w:tc>
          <w:tcPr>
            <w:tcW w:w="395" w:type="dxa"/>
            <w:tcBorders>
              <w:right w:val="single" w:sz="8" w:space="0" w:color="FFFFFF"/>
            </w:tcBorders>
            <w:shd w:fill="D2D6E4" w:val="clear"/>
            <w:vAlign w:val="center"/>
          </w:tcPr>
          <w:p>
            <w:pPr>
              <w:pStyle w:val="TableContents"/>
              <w:bidi w:val="0"/>
              <w:spacing w:before="0" w:after="283"/>
              <w:jc w:val="left"/>
              <w:rPr/>
            </w:pPr>
            <w:r>
              <w:rPr/>
              <w:t> </w:t>
            </w:r>
          </w:p>
        </w:tc>
        <w:tc>
          <w:tcPr>
            <w:tcW w:w="1190" w:type="dxa"/>
            <w:tcBorders>
              <w:right w:val="single" w:sz="8" w:space="0" w:color="FFFFFF"/>
            </w:tcBorders>
            <w:shd w:fill="D2D6E4" w:val="clear"/>
            <w:vAlign w:val="center"/>
          </w:tcPr>
          <w:p>
            <w:pPr>
              <w:pStyle w:val="TableContents"/>
              <w:bidi w:val="0"/>
              <w:spacing w:before="0" w:after="283"/>
              <w:jc w:val="left"/>
              <w:rPr/>
            </w:pPr>
            <w:r>
              <w:rPr/>
              <w:t> </w:t>
            </w:r>
          </w:p>
        </w:tc>
        <w:tc>
          <w:tcPr>
            <w:tcW w:w="1430" w:type="dxa"/>
            <w:tcBorders>
              <w:right w:val="single" w:sz="8" w:space="0" w:color="FFFFFF"/>
            </w:tcBorders>
            <w:shd w:fill="D2D6E4" w:val="clear"/>
            <w:vAlign w:val="center"/>
          </w:tcPr>
          <w:p>
            <w:pPr>
              <w:pStyle w:val="TableContents"/>
              <w:bidi w:val="0"/>
              <w:spacing w:before="0" w:after="283"/>
              <w:jc w:val="left"/>
              <w:rPr/>
            </w:pPr>
            <w:r>
              <w:rPr/>
              <w:t> </w:t>
            </w:r>
          </w:p>
        </w:tc>
        <w:tc>
          <w:tcPr>
            <w:tcW w:w="1190" w:type="dxa"/>
            <w:tcBorders>
              <w:right w:val="single" w:sz="8" w:space="0" w:color="FFFFFF"/>
            </w:tcBorders>
            <w:shd w:fill="D2D6E4" w:val="clear"/>
            <w:vAlign w:val="center"/>
          </w:tcPr>
          <w:p>
            <w:pPr>
              <w:pStyle w:val="TableContents"/>
              <w:bidi w:val="0"/>
              <w:spacing w:before="0" w:after="283"/>
              <w:jc w:val="left"/>
              <w:rPr/>
            </w:pPr>
            <w:r>
              <w:rPr/>
              <w:t> </w:t>
            </w:r>
          </w:p>
        </w:tc>
        <w:tc>
          <w:tcPr>
            <w:tcW w:w="1190" w:type="dxa"/>
            <w:tcBorders>
              <w:right w:val="single" w:sz="8" w:space="0" w:color="FFFFFF"/>
            </w:tcBorders>
            <w:shd w:fill="D2D6E4" w:val="clear"/>
            <w:vAlign w:val="center"/>
          </w:tcPr>
          <w:p>
            <w:pPr>
              <w:pStyle w:val="TableContents"/>
              <w:bidi w:val="0"/>
              <w:spacing w:before="0" w:after="283"/>
              <w:jc w:val="left"/>
              <w:rPr/>
            </w:pPr>
            <w:r>
              <w:rPr/>
              <w:t> </w:t>
            </w:r>
          </w:p>
        </w:tc>
        <w:tc>
          <w:tcPr>
            <w:tcW w:w="2200" w:type="dxa"/>
            <w:gridSpan w:val="2"/>
            <w:tcBorders>
              <w:bottom w:val="single" w:sz="8" w:space="0" w:color="FFFFFF"/>
              <w:right w:val="single" w:sz="8" w:space="0" w:color="FFFFFF"/>
            </w:tcBorders>
            <w:shd w:fill="D2D6E4" w:val="clear"/>
            <w:tcMar>
              <w:bottom w:w="28" w:type="dxa"/>
            </w:tcMar>
            <w:vAlign w:val="center"/>
          </w:tcPr>
          <w:p>
            <w:pPr>
              <w:pStyle w:val="TableContents"/>
              <w:bidi w:val="0"/>
              <w:spacing w:before="0" w:after="283"/>
              <w:jc w:val="center"/>
              <w:rPr/>
            </w:pPr>
            <w:r>
              <w:rPr>
                <w:rFonts w:ascii="Arial;Helvetica;Sans-Serif" w:hAnsi="Arial;Helvetica;Sans-Serif"/>
                <w:b/>
                <w:sz w:val="16"/>
              </w:rPr>
              <w:t>Value of Initial</w:t>
            </w:r>
            <w:r>
              <w:rPr>
                <w:sz w:val="16"/>
              </w:rPr>
              <w:br/>
            </w:r>
            <w:r>
              <w:rPr>
                <w:rFonts w:ascii="Arial;Helvetica;Sans-Serif" w:hAnsi="Arial;Helvetica;Sans-Serif"/>
                <w:b/>
                <w:sz w:val="16"/>
              </w:rPr>
              <w:t>Fixed $100 Investment</w:t>
            </w:r>
            <w:r>
              <w:rPr>
                <w:sz w:val="16"/>
              </w:rPr>
              <w:br/>
            </w:r>
            <w:r>
              <w:rPr>
                <w:rFonts w:ascii="Arial;Helvetica;Sans-Serif" w:hAnsi="Arial;Helvetica;Sans-Serif"/>
                <w:b/>
                <w:sz w:val="16"/>
              </w:rPr>
              <w:t>Based on:</w:t>
            </w:r>
          </w:p>
        </w:tc>
        <w:tc>
          <w:tcPr>
            <w:tcW w:w="950" w:type="dxa"/>
            <w:tcBorders>
              <w:right w:val="single" w:sz="8" w:space="0" w:color="FFFFFF"/>
            </w:tcBorders>
            <w:shd w:fill="D2D6E4" w:val="clear"/>
            <w:vAlign w:val="center"/>
          </w:tcPr>
          <w:p>
            <w:pPr>
              <w:pStyle w:val="TableContents"/>
              <w:bidi w:val="0"/>
              <w:spacing w:before="0" w:after="283"/>
              <w:jc w:val="left"/>
              <w:rPr/>
            </w:pPr>
            <w:r>
              <w:rPr/>
              <w:t> </w:t>
            </w:r>
          </w:p>
        </w:tc>
        <w:tc>
          <w:tcPr>
            <w:tcW w:w="1625" w:type="dxa"/>
            <w:tcBorders/>
            <w:shd w:fill="D2D6E4" w:val="clear"/>
            <w:tcMar>
              <w:right w:w="0" w:type="dxa"/>
            </w:tcMar>
            <w:vAlign w:val="center"/>
          </w:tcPr>
          <w:p>
            <w:pPr>
              <w:pStyle w:val="TableContents"/>
              <w:bidi w:val="0"/>
              <w:spacing w:before="0" w:after="283"/>
              <w:jc w:val="left"/>
              <w:rPr/>
            </w:pPr>
            <w:r>
              <w:rPr/>
              <w:t> </w:t>
            </w:r>
          </w:p>
        </w:tc>
      </w:tr>
      <w:tr>
        <w:trPr/>
        <w:tc>
          <w:tcPr>
            <w:tcW w:w="395" w:type="dxa"/>
            <w:tcBorders>
              <w:right w:val="single" w:sz="8" w:space="0" w:color="FFFFFF"/>
            </w:tcBorders>
            <w:shd w:fill="D2D6E4"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Year</w:t>
            </w:r>
          </w:p>
        </w:tc>
        <w:tc>
          <w:tcPr>
            <w:tcW w:w="1190" w:type="dxa"/>
            <w:tcBorders>
              <w:right w:val="single" w:sz="8" w:space="0" w:color="FFFFFF"/>
            </w:tcBorders>
            <w:shd w:fill="D2D6E4" w:val="clear"/>
            <w:vAlign w:val="center"/>
          </w:tcPr>
          <w:p>
            <w:pPr>
              <w:pStyle w:val="TableContents"/>
              <w:bidi w:val="0"/>
              <w:spacing w:before="0" w:after="283"/>
              <w:jc w:val="center"/>
              <w:rPr/>
            </w:pPr>
            <w:r>
              <w:rPr>
                <w:rFonts w:ascii="Arial;Helvetica;Sans-Serif" w:hAnsi="Arial;Helvetica;Sans-Serif"/>
                <w:b/>
                <w:sz w:val="16"/>
              </w:rPr>
              <w:t>Summary</w:t>
            </w:r>
            <w:r>
              <w:rPr>
                <w:sz w:val="16"/>
              </w:rPr>
              <w:br/>
            </w:r>
            <w:r>
              <w:rPr>
                <w:rFonts w:ascii="Arial;Helvetica;Sans-Serif" w:hAnsi="Arial;Helvetica;Sans-Serif"/>
                <w:b/>
                <w:sz w:val="16"/>
              </w:rPr>
              <w:t>Compensation</w:t>
            </w:r>
            <w:r>
              <w:rPr>
                <w:sz w:val="16"/>
              </w:rPr>
              <w:br/>
            </w:r>
            <w:r>
              <w:rPr>
                <w:rFonts w:ascii="Arial;Helvetica;Sans-Serif" w:hAnsi="Arial;Helvetica;Sans-Serif"/>
                <w:b/>
                <w:sz w:val="16"/>
              </w:rPr>
              <w:t>Table Total for</w:t>
            </w:r>
            <w:r>
              <w:rPr>
                <w:sz w:val="16"/>
              </w:rPr>
              <w:br/>
            </w:r>
            <w:r>
              <w:rPr>
                <w:rFonts w:ascii="Arial;Helvetica;Sans-Serif" w:hAnsi="Arial;Helvetica;Sans-Serif"/>
                <w:b/>
                <w:sz w:val="16"/>
              </w:rPr>
              <w:t>CEO</w:t>
            </w:r>
            <w:r>
              <w:rPr>
                <w:rFonts w:ascii="Arial;Helvetica;Sans-Serif" w:hAnsi="Arial;Helvetica;Sans-Serif"/>
                <w:b/>
                <w:position w:val="5"/>
                <w:sz w:val="13"/>
                <w:sz w:val="16"/>
              </w:rPr>
              <w:t>(1)</w:t>
            </w:r>
            <w:r>
              <w:rPr>
                <w:sz w:val="16"/>
              </w:rPr>
              <w:br/>
            </w:r>
            <w:r>
              <w:rPr>
                <w:rFonts w:ascii="Arial;Helvetica;Sans-Serif" w:hAnsi="Arial;Helvetica;Sans-Serif"/>
                <w:b/>
                <w:sz w:val="16"/>
              </w:rPr>
              <w:t>($)</w:t>
            </w:r>
          </w:p>
        </w:tc>
        <w:tc>
          <w:tcPr>
            <w:tcW w:w="1430" w:type="dxa"/>
            <w:tcBorders>
              <w:right w:val="single" w:sz="8" w:space="0" w:color="FFFFFF"/>
            </w:tcBorders>
            <w:shd w:fill="D2D6E4" w:val="clear"/>
            <w:vAlign w:val="center"/>
          </w:tcPr>
          <w:p>
            <w:pPr>
              <w:pStyle w:val="TableContents"/>
              <w:bidi w:val="0"/>
              <w:spacing w:before="0" w:after="283"/>
              <w:jc w:val="center"/>
              <w:rPr/>
            </w:pPr>
            <w:r>
              <w:rPr>
                <w:rFonts w:ascii="Arial;Helvetica;Sans-Serif" w:hAnsi="Arial;Helvetica;Sans-Serif"/>
                <w:b/>
                <w:sz w:val="16"/>
              </w:rPr>
              <w:t>Compensation</w:t>
            </w:r>
            <w:r>
              <w:rPr>
                <w:sz w:val="16"/>
              </w:rPr>
              <w:br/>
            </w:r>
            <w:r>
              <w:rPr>
                <w:rFonts w:ascii="Arial;Helvetica;Sans-Serif" w:hAnsi="Arial;Helvetica;Sans-Serif"/>
                <w:b/>
                <w:sz w:val="16"/>
              </w:rPr>
              <w:t>Actually Paid</w:t>
            </w:r>
            <w:r>
              <w:rPr>
                <w:sz w:val="16"/>
              </w:rPr>
              <w:br/>
            </w:r>
            <w:r>
              <w:rPr>
                <w:rFonts w:ascii="Arial;Helvetica;Sans-Serif" w:hAnsi="Arial;Helvetica;Sans-Serif"/>
                <w:b/>
                <w:sz w:val="16"/>
              </w:rPr>
              <w:t>(CAP) to CEO</w:t>
            </w:r>
            <w:r>
              <w:rPr>
                <w:rFonts w:ascii="Arial;Helvetica;Sans-Serif" w:hAnsi="Arial;Helvetica;Sans-Serif"/>
                <w:b/>
                <w:position w:val="5"/>
                <w:sz w:val="13"/>
                <w:sz w:val="16"/>
              </w:rPr>
              <w:t>(1)(2)</w:t>
            </w:r>
            <w:r>
              <w:rPr>
                <w:sz w:val="16"/>
              </w:rPr>
              <w:br/>
            </w:r>
            <w:r>
              <w:rPr>
                <w:rFonts w:ascii="Arial;Helvetica;Sans-Serif" w:hAnsi="Arial;Helvetica;Sans-Serif"/>
                <w:b/>
                <w:sz w:val="16"/>
              </w:rPr>
              <w:t>($)</w:t>
            </w:r>
          </w:p>
        </w:tc>
        <w:tc>
          <w:tcPr>
            <w:tcW w:w="1190" w:type="dxa"/>
            <w:tcBorders>
              <w:right w:val="single" w:sz="8" w:space="0" w:color="FFFFFF"/>
            </w:tcBorders>
            <w:shd w:fill="D2D6E4" w:val="clear"/>
            <w:vAlign w:val="center"/>
          </w:tcPr>
          <w:p>
            <w:pPr>
              <w:pStyle w:val="TableContents"/>
              <w:bidi w:val="0"/>
              <w:spacing w:before="0" w:after="283"/>
              <w:jc w:val="center"/>
              <w:rPr/>
            </w:pPr>
            <w:r>
              <w:rPr>
                <w:rFonts w:ascii="Arial;Helvetica;Sans-Serif" w:hAnsi="Arial;Helvetica;Sans-Serif"/>
                <w:b/>
                <w:sz w:val="16"/>
              </w:rPr>
              <w:t>Average</w:t>
            </w:r>
            <w:r>
              <w:rPr>
                <w:sz w:val="16"/>
              </w:rPr>
              <w:br/>
            </w:r>
            <w:r>
              <w:rPr>
                <w:rFonts w:ascii="Arial;Helvetica;Sans-Serif" w:hAnsi="Arial;Helvetica;Sans-Serif"/>
                <w:b/>
                <w:sz w:val="16"/>
              </w:rPr>
              <w:t>Summary</w:t>
            </w:r>
            <w:r>
              <w:rPr>
                <w:sz w:val="16"/>
              </w:rPr>
              <w:br/>
            </w:r>
            <w:r>
              <w:rPr>
                <w:rFonts w:ascii="Arial;Helvetica;Sans-Serif" w:hAnsi="Arial;Helvetica;Sans-Serif"/>
                <w:b/>
                <w:sz w:val="16"/>
              </w:rPr>
              <w:t>Compensation</w:t>
            </w:r>
            <w:r>
              <w:rPr>
                <w:sz w:val="16"/>
              </w:rPr>
              <w:br/>
            </w:r>
            <w:r>
              <w:rPr>
                <w:rFonts w:ascii="Arial;Helvetica;Sans-Serif" w:hAnsi="Arial;Helvetica;Sans-Serif"/>
                <w:b/>
                <w:sz w:val="16"/>
              </w:rPr>
              <w:t>Table Total for</w:t>
            </w:r>
            <w:r>
              <w:rPr>
                <w:sz w:val="16"/>
              </w:rPr>
              <w:br/>
            </w:r>
            <w:r>
              <w:rPr>
                <w:rFonts w:ascii="Arial;Helvetica;Sans-Serif" w:hAnsi="Arial;Helvetica;Sans-Serif"/>
                <w:b/>
                <w:sz w:val="16"/>
              </w:rPr>
              <w:t>Non-CEO</w:t>
            </w:r>
            <w:r>
              <w:rPr>
                <w:sz w:val="16"/>
              </w:rPr>
              <w:br/>
            </w:r>
            <w:r>
              <w:rPr>
                <w:rFonts w:ascii="Arial;Helvetica;Sans-Serif" w:hAnsi="Arial;Helvetica;Sans-Serif"/>
                <w:b/>
                <w:sz w:val="16"/>
              </w:rPr>
              <w:t>NEOs</w:t>
            </w:r>
            <w:r>
              <w:rPr>
                <w:rFonts w:ascii="Arial;Helvetica;Sans-Serif" w:hAnsi="Arial;Helvetica;Sans-Serif"/>
                <w:b/>
                <w:position w:val="5"/>
                <w:sz w:val="13"/>
                <w:sz w:val="16"/>
              </w:rPr>
              <w:t>(3)</w:t>
            </w:r>
            <w:r>
              <w:rPr>
                <w:sz w:val="16"/>
              </w:rPr>
              <w:br/>
            </w:r>
            <w:r>
              <w:rPr>
                <w:rFonts w:ascii="Arial;Helvetica;Sans-Serif" w:hAnsi="Arial;Helvetica;Sans-Serif"/>
                <w:b/>
                <w:sz w:val="16"/>
              </w:rPr>
              <w:t>($)</w:t>
            </w:r>
          </w:p>
        </w:tc>
        <w:tc>
          <w:tcPr>
            <w:tcW w:w="1190" w:type="dxa"/>
            <w:tcBorders>
              <w:right w:val="single" w:sz="8" w:space="0" w:color="FFFFFF"/>
            </w:tcBorders>
            <w:shd w:fill="D2D6E4" w:val="clear"/>
            <w:vAlign w:val="center"/>
          </w:tcPr>
          <w:p>
            <w:pPr>
              <w:pStyle w:val="TableContents"/>
              <w:bidi w:val="0"/>
              <w:spacing w:before="0" w:after="283"/>
              <w:jc w:val="center"/>
              <w:rPr/>
            </w:pPr>
            <w:r>
              <w:rPr>
                <w:rFonts w:ascii="Arial;Helvetica;Sans-Serif" w:hAnsi="Arial;Helvetica;Sans-Serif"/>
                <w:b/>
                <w:sz w:val="16"/>
              </w:rPr>
              <w:t>Average</w:t>
            </w:r>
            <w:r>
              <w:rPr>
                <w:sz w:val="16"/>
              </w:rPr>
              <w:br/>
            </w:r>
            <w:r>
              <w:rPr>
                <w:rFonts w:ascii="Arial;Helvetica;Sans-Serif" w:hAnsi="Arial;Helvetica;Sans-Serif"/>
                <w:b/>
                <w:sz w:val="16"/>
              </w:rPr>
              <w:t>Compensation</w:t>
            </w:r>
            <w:r>
              <w:rPr>
                <w:sz w:val="16"/>
              </w:rPr>
              <w:br/>
            </w:r>
            <w:r>
              <w:rPr>
                <w:rFonts w:ascii="Arial;Helvetica;Sans-Serif" w:hAnsi="Arial;Helvetica;Sans-Serif"/>
                <w:b/>
                <w:sz w:val="16"/>
              </w:rPr>
              <w:t>Actually Paid</w:t>
            </w:r>
            <w:r>
              <w:rPr>
                <w:sz w:val="16"/>
              </w:rPr>
              <w:br/>
            </w:r>
            <w:r>
              <w:rPr>
                <w:rFonts w:ascii="Arial;Helvetica;Sans-Serif" w:hAnsi="Arial;Helvetica;Sans-Serif"/>
                <w:b/>
                <w:sz w:val="16"/>
              </w:rPr>
              <w:t>to Non-CEO</w:t>
            </w:r>
            <w:r>
              <w:rPr>
                <w:sz w:val="16"/>
              </w:rPr>
              <w:br/>
            </w:r>
            <w:r>
              <w:rPr>
                <w:rFonts w:ascii="Arial;Helvetica;Sans-Serif" w:hAnsi="Arial;Helvetica;Sans-Serif"/>
                <w:b/>
                <w:sz w:val="16"/>
              </w:rPr>
              <w:t>NEOs</w:t>
            </w:r>
            <w:r>
              <w:rPr>
                <w:rFonts w:ascii="Arial;Helvetica;Sans-Serif" w:hAnsi="Arial;Helvetica;Sans-Serif"/>
                <w:b/>
                <w:position w:val="5"/>
                <w:sz w:val="13"/>
                <w:sz w:val="16"/>
              </w:rPr>
              <w:t>(2)(3)</w:t>
            </w:r>
            <w:r>
              <w:rPr>
                <w:sz w:val="16"/>
              </w:rPr>
              <w:br/>
            </w:r>
            <w:r>
              <w:rPr>
                <w:rFonts w:ascii="Arial;Helvetica;Sans-Serif" w:hAnsi="Arial;Helvetica;Sans-Serif"/>
                <w:b/>
                <w:sz w:val="16"/>
              </w:rPr>
              <w:t>($)</w:t>
            </w:r>
          </w:p>
        </w:tc>
        <w:tc>
          <w:tcPr>
            <w:tcW w:w="1220" w:type="dxa"/>
            <w:tcBorders>
              <w:right w:val="single" w:sz="8" w:space="0" w:color="FFFFFF"/>
            </w:tcBorders>
            <w:shd w:fill="D2D6E4" w:val="clear"/>
            <w:vAlign w:val="center"/>
          </w:tcPr>
          <w:p>
            <w:pPr>
              <w:pStyle w:val="TableContents"/>
              <w:bidi w:val="0"/>
              <w:spacing w:before="0" w:after="283"/>
              <w:jc w:val="center"/>
              <w:rPr/>
            </w:pPr>
            <w:r>
              <w:rPr>
                <w:rFonts w:ascii="Arial;Helvetica;Sans-Serif" w:hAnsi="Arial;Helvetica;Sans-Serif"/>
                <w:b/>
                <w:sz w:val="16"/>
              </w:rPr>
              <w:t>Total</w:t>
            </w:r>
            <w:r>
              <w:rPr>
                <w:sz w:val="16"/>
              </w:rPr>
              <w:br/>
            </w:r>
            <w:r>
              <w:rPr>
                <w:rFonts w:ascii="Arial;Helvetica;Sans-Serif" w:hAnsi="Arial;Helvetica;Sans-Serif"/>
                <w:b/>
                <w:sz w:val="16"/>
              </w:rPr>
              <w:t>Shareholder</w:t>
            </w:r>
            <w:r>
              <w:rPr>
                <w:sz w:val="16"/>
              </w:rPr>
              <w:br/>
            </w:r>
            <w:r>
              <w:rPr>
                <w:rFonts w:ascii="Arial;Helvetica;Sans-Serif" w:hAnsi="Arial;Helvetica;Sans-Serif"/>
                <w:b/>
                <w:sz w:val="16"/>
              </w:rPr>
              <w:t>Return (TSR)</w:t>
            </w:r>
            <w:r>
              <w:rPr>
                <w:rFonts w:ascii="Arial;Helvetica;Sans-Serif" w:hAnsi="Arial;Helvetica;Sans-Serif"/>
                <w:b/>
                <w:position w:val="5"/>
                <w:sz w:val="13"/>
                <w:sz w:val="16"/>
              </w:rPr>
              <w:t>(4)</w:t>
            </w:r>
            <w:r>
              <w:rPr>
                <w:sz w:val="16"/>
              </w:rPr>
              <w:br/>
            </w:r>
            <w:r>
              <w:rPr>
                <w:rFonts w:ascii="Arial;Helvetica;Sans-Serif" w:hAnsi="Arial;Helvetica;Sans-Serif"/>
                <w:b/>
                <w:sz w:val="16"/>
              </w:rPr>
              <w:t>($)</w:t>
            </w:r>
          </w:p>
        </w:tc>
        <w:tc>
          <w:tcPr>
            <w:tcW w:w="980" w:type="dxa"/>
            <w:tcBorders>
              <w:right w:val="single" w:sz="8" w:space="0" w:color="FFFFFF"/>
            </w:tcBorders>
            <w:shd w:fill="D2D6E4" w:val="clear"/>
            <w:vAlign w:val="center"/>
          </w:tcPr>
          <w:p>
            <w:pPr>
              <w:pStyle w:val="TableContents"/>
              <w:bidi w:val="0"/>
              <w:spacing w:before="0" w:after="283"/>
              <w:jc w:val="center"/>
              <w:rPr/>
            </w:pPr>
            <w:r>
              <w:rPr>
                <w:rFonts w:ascii="Arial;Helvetica;Sans-Serif" w:hAnsi="Arial;Helvetica;Sans-Serif"/>
                <w:b/>
                <w:sz w:val="16"/>
              </w:rPr>
              <w:t>Peer Group</w:t>
            </w:r>
            <w:r>
              <w:rPr>
                <w:sz w:val="16"/>
              </w:rPr>
              <w:br/>
            </w:r>
            <w:r>
              <w:rPr>
                <w:rFonts w:ascii="Arial;Helvetica;Sans-Serif" w:hAnsi="Arial;Helvetica;Sans-Serif"/>
                <w:b/>
                <w:sz w:val="16"/>
              </w:rPr>
              <w:t>Total</w:t>
            </w:r>
            <w:r>
              <w:rPr>
                <w:sz w:val="16"/>
              </w:rPr>
              <w:br/>
            </w:r>
            <w:r>
              <w:rPr>
                <w:rFonts w:ascii="Arial;Helvetica;Sans-Serif" w:hAnsi="Arial;Helvetica;Sans-Serif"/>
                <w:b/>
                <w:sz w:val="16"/>
              </w:rPr>
              <w:t>Shareholder</w:t>
            </w:r>
            <w:r>
              <w:rPr>
                <w:sz w:val="16"/>
              </w:rPr>
              <w:br/>
            </w:r>
            <w:r>
              <w:rPr>
                <w:rFonts w:ascii="Arial;Helvetica;Sans-Serif" w:hAnsi="Arial;Helvetica;Sans-Serif"/>
                <w:b/>
                <w:sz w:val="16"/>
              </w:rPr>
              <w:t>Return</w:t>
            </w:r>
            <w:r>
              <w:rPr>
                <w:rFonts w:ascii="Arial;Helvetica;Sans-Serif" w:hAnsi="Arial;Helvetica;Sans-Serif"/>
                <w:b/>
                <w:position w:val="5"/>
                <w:sz w:val="13"/>
                <w:sz w:val="16"/>
              </w:rPr>
              <w:t>(5)</w:t>
            </w:r>
            <w:r>
              <w:rPr>
                <w:sz w:val="16"/>
              </w:rPr>
              <w:br/>
            </w:r>
            <w:r>
              <w:rPr>
                <w:rFonts w:ascii="Arial;Helvetica;Sans-Serif" w:hAnsi="Arial;Helvetica;Sans-Serif"/>
                <w:b/>
                <w:sz w:val="16"/>
              </w:rPr>
              <w:t>($)</w:t>
            </w:r>
          </w:p>
        </w:tc>
        <w:tc>
          <w:tcPr>
            <w:tcW w:w="950" w:type="dxa"/>
            <w:tcBorders>
              <w:right w:val="single" w:sz="8" w:space="0" w:color="FFFFFF"/>
            </w:tcBorders>
            <w:shd w:fill="D2D6E4" w:val="clear"/>
            <w:vAlign w:val="center"/>
          </w:tcPr>
          <w:p>
            <w:pPr>
              <w:pStyle w:val="TableContents"/>
              <w:bidi w:val="0"/>
              <w:spacing w:before="0" w:after="283"/>
              <w:jc w:val="center"/>
              <w:rPr/>
            </w:pPr>
            <w:r>
              <w:rPr>
                <w:rFonts w:ascii="Arial;Helvetica;Sans-Serif" w:hAnsi="Arial;Helvetica;Sans-Serif"/>
                <w:b/>
                <w:sz w:val="16"/>
              </w:rPr>
              <w:t>Net Income</w:t>
            </w:r>
            <w:r>
              <w:rPr>
                <w:sz w:val="16"/>
              </w:rPr>
              <w:br/>
            </w:r>
            <w:r>
              <w:rPr>
                <w:rFonts w:ascii="Arial;Helvetica;Sans-Serif" w:hAnsi="Arial;Helvetica;Sans-Serif"/>
                <w:b/>
                <w:sz w:val="16"/>
              </w:rPr>
              <w:t>(Loss)</w:t>
            </w:r>
            <w:r>
              <w:rPr>
                <w:rFonts w:ascii="Arial;Helvetica;Sans-Serif" w:hAnsi="Arial;Helvetica;Sans-Serif"/>
                <w:b/>
                <w:position w:val="5"/>
                <w:sz w:val="13"/>
                <w:sz w:val="16"/>
              </w:rPr>
              <w:t>(6)</w:t>
            </w:r>
            <w:r>
              <w:rPr>
                <w:sz w:val="16"/>
              </w:rPr>
              <w:br/>
            </w:r>
            <w:r>
              <w:rPr>
                <w:rFonts w:ascii="Arial;Helvetica;Sans-Serif" w:hAnsi="Arial;Helvetica;Sans-Serif"/>
                <w:b/>
                <w:sz w:val="16"/>
              </w:rPr>
              <w:t>($)</w:t>
            </w:r>
          </w:p>
        </w:tc>
        <w:tc>
          <w:tcPr>
            <w:tcW w:w="1625" w:type="dxa"/>
            <w:tcBorders/>
            <w:shd w:fill="D2D6E4" w:val="clear"/>
            <w:tcMar>
              <w:right w:w="0" w:type="dxa"/>
            </w:tcMar>
            <w:vAlign w:val="center"/>
          </w:tcPr>
          <w:p>
            <w:pPr>
              <w:pStyle w:val="TableContents"/>
              <w:bidi w:val="0"/>
              <w:spacing w:before="0" w:after="283"/>
              <w:jc w:val="center"/>
              <w:rPr/>
            </w:pPr>
            <w:bookmarkStart w:id="89" w:name="xdx_90D_eecd--CoSelectedMeasureName_c202"/>
            <w:bookmarkEnd w:id="89"/>
            <w:r>
              <w:rPr>
                <w:rFonts w:ascii="Arial;Helvetica;Sans-Serif" w:hAnsi="Arial;Helvetica;Sans-Serif"/>
                <w:b/>
                <w:sz w:val="16"/>
              </w:rPr>
              <w:t>Adjusted EBITDA</w:t>
            </w:r>
            <w:r>
              <w:rPr>
                <w:rFonts w:ascii="Arial;Helvetica;Sans-Serif" w:hAnsi="Arial;Helvetica;Sans-Serif"/>
                <w:sz w:val="16"/>
              </w:rPr>
              <w:t xml:space="preserve"> </w:t>
            </w:r>
            <w:r>
              <w:rPr>
                <w:rFonts w:ascii="Arial;Helvetica;Sans-Serif" w:hAnsi="Arial;Helvetica;Sans-Serif"/>
                <w:b/>
                <w:position w:val="5"/>
                <w:sz w:val="13"/>
                <w:sz w:val="16"/>
              </w:rPr>
              <w:t>(7)</w:t>
            </w:r>
            <w:r>
              <w:rPr/>
              <w:br/>
            </w:r>
            <w:r>
              <w:rPr>
                <w:rFonts w:ascii="Arial;Helvetica;Sans-Serif" w:hAnsi="Arial;Helvetica;Sans-Serif"/>
                <w:b/>
              </w:rPr>
              <w:t>($)</w:t>
            </w:r>
          </w:p>
        </w:tc>
      </w:tr>
      <w:tr>
        <w:trPr/>
        <w:tc>
          <w:tcPr>
            <w:tcW w:w="395" w:type="dxa"/>
            <w:tcBorders>
              <w:bottom w:val="single" w:sz="8" w:space="0" w:color="E5F5FD"/>
              <w:right w:val="single" w:sz="8" w:space="0" w:color="E6F5FD"/>
            </w:tcBorders>
            <w:tcMar>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2025</w:t>
            </w:r>
            <w:bookmarkStart w:id="90" w:name="xdx_981_eecd--PeoTotalCompAmt_c20241101_"/>
            <w:bookmarkEnd w:id="90"/>
          </w:p>
        </w:tc>
        <w:tc>
          <w:tcPr>
            <w:tcW w:w="1190" w:type="dxa"/>
            <w:tcBorders>
              <w:bottom w:val="single" w:sz="8" w:space="0" w:color="E5F5FD"/>
              <w:right w:val="single" w:sz="8" w:space="0" w:color="E6F5FD"/>
            </w:tcBorders>
            <w:tcMar>
              <w:bottom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1,277,951</w:t>
            </w:r>
            <w:bookmarkStart w:id="91" w:name="xdx_986_eecd--PeoActuallyPaidCompAmt_c20"/>
            <w:bookmarkEnd w:id="91"/>
          </w:p>
        </w:tc>
        <w:tc>
          <w:tcPr>
            <w:tcW w:w="1430" w:type="dxa"/>
            <w:tcBorders>
              <w:bottom w:val="single" w:sz="8" w:space="0" w:color="E5F5FD"/>
              <w:right w:val="single" w:sz="8" w:space="0" w:color="E6F5FD"/>
            </w:tcBorders>
            <w:tcMar>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412,902</w:t>
            </w:r>
            <w:bookmarkStart w:id="92" w:name="xdx_98B_eecd--NonPeoNeoAvgTotalCompAmt_c"/>
            <w:bookmarkEnd w:id="92"/>
          </w:p>
        </w:tc>
        <w:tc>
          <w:tcPr>
            <w:tcW w:w="1190" w:type="dxa"/>
            <w:tcBorders>
              <w:bottom w:val="single" w:sz="8" w:space="0" w:color="E5F5FD"/>
              <w:right w:val="single" w:sz="8" w:space="0" w:color="E6F5FD"/>
            </w:tcBorders>
            <w:tcMar>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742,805</w:t>
            </w:r>
            <w:bookmarkStart w:id="93" w:name="xdx_982_eecd--NonPeoNeoAvgCompActuallyPa"/>
            <w:bookmarkEnd w:id="93"/>
          </w:p>
        </w:tc>
        <w:tc>
          <w:tcPr>
            <w:tcW w:w="1190" w:type="dxa"/>
            <w:tcBorders>
              <w:bottom w:val="single" w:sz="8" w:space="0" w:color="E5F5FD"/>
              <w:right w:val="single" w:sz="8" w:space="0" w:color="E6F5FD"/>
            </w:tcBorders>
            <w:tcMar>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285,160</w:t>
            </w:r>
            <w:bookmarkStart w:id="94" w:name="xdx_985_eecd--TotalShareholderRtnAmt_c20"/>
            <w:bookmarkEnd w:id="94"/>
          </w:p>
        </w:tc>
        <w:tc>
          <w:tcPr>
            <w:tcW w:w="1220" w:type="dxa"/>
            <w:tcBorders>
              <w:bottom w:val="single" w:sz="8" w:space="0" w:color="E5F5FD"/>
              <w:right w:val="single" w:sz="8" w:space="0" w:color="E6F5FD"/>
            </w:tcBorders>
            <w:tcMar>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112</w:t>
            </w:r>
            <w:bookmarkStart w:id="95" w:name="xdx_98A_eecd--PeerGroupTotalShareholderR"/>
            <w:bookmarkEnd w:id="95"/>
          </w:p>
        </w:tc>
        <w:tc>
          <w:tcPr>
            <w:tcW w:w="980" w:type="dxa"/>
            <w:tcBorders>
              <w:bottom w:val="single" w:sz="8" w:space="0" w:color="E5F5FD"/>
              <w:right w:val="single" w:sz="8" w:space="0" w:color="E6F5FD"/>
            </w:tcBorders>
            <w:tcMar>
              <w:bottom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108</w:t>
            </w:r>
            <w:bookmarkStart w:id="96" w:name="xdx_988_eus-gaap--NetIncomeLoss_c2024110"/>
            <w:bookmarkEnd w:id="96"/>
          </w:p>
        </w:tc>
        <w:tc>
          <w:tcPr>
            <w:tcW w:w="950" w:type="dxa"/>
            <w:tcBorders>
              <w:bottom w:val="single" w:sz="8" w:space="0" w:color="E5F5FD"/>
              <w:right w:val="single" w:sz="8" w:space="0" w:color="E3F2E7"/>
            </w:tcBorders>
            <w:tcMar>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(16,356,000)</w:t>
            </w:r>
            <w:bookmarkStart w:id="97" w:name="xdx_981_eecd--CoSelectedMeasureAmt_uUSD_"/>
            <w:bookmarkEnd w:id="97"/>
          </w:p>
        </w:tc>
        <w:tc>
          <w:tcPr>
            <w:tcW w:w="1625" w:type="dxa"/>
            <w:tcBorders>
              <w:bottom w:val="single" w:sz="8" w:space="0" w:color="E5F5FD"/>
            </w:tcBorders>
            <w:tcMar>
              <w:bottom w:w="28"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(6,452,000)</w:t>
            </w:r>
          </w:p>
        </w:tc>
      </w:tr>
      <w:tr>
        <w:trPr/>
        <w:tc>
          <w:tcPr>
            <w:tcW w:w="395"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2024</w:t>
            </w:r>
            <w:bookmarkStart w:id="98" w:name="xdx_98C_eecd--PeoTotalCompAmt_c20231101_"/>
            <w:bookmarkEnd w:id="98"/>
          </w:p>
        </w:tc>
        <w:tc>
          <w:tcPr>
            <w:tcW w:w="1190"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2,498,908</w:t>
            </w:r>
            <w:bookmarkStart w:id="99" w:name="xdx_982_eecd--PeoActuallyPaidCompAmt_c20"/>
            <w:bookmarkEnd w:id="99"/>
          </w:p>
        </w:tc>
        <w:tc>
          <w:tcPr>
            <w:tcW w:w="1430" w:type="dxa"/>
            <w:tcBorders>
              <w:bottom w:val="single" w:sz="8" w:space="0" w:color="E5F5FD"/>
              <w:right w:val="single" w:sz="8" w:space="0" w:color="E6F5FD"/>
            </w:tcBorders>
            <w:shd w:fill="E6F5FD" w:val="clear"/>
            <w:tcMar>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4,323,665</w:t>
            </w:r>
            <w:bookmarkStart w:id="100" w:name="xdx_982_eecd--NonPeoNeoAvgTotalCompAmt_c"/>
            <w:bookmarkEnd w:id="100"/>
          </w:p>
        </w:tc>
        <w:tc>
          <w:tcPr>
            <w:tcW w:w="1190" w:type="dxa"/>
            <w:tcBorders>
              <w:bottom w:val="single" w:sz="8" w:space="0" w:color="E5F5FD"/>
              <w:right w:val="single" w:sz="8" w:space="0" w:color="E6F5FD"/>
            </w:tcBorders>
            <w:shd w:fill="E6F5FD" w:val="clear"/>
            <w:tcMar>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1,482,822</w:t>
            </w:r>
            <w:bookmarkStart w:id="101" w:name="xdx_981_eecd--NonPeoNeoAvgCompActuallyPa"/>
            <w:bookmarkEnd w:id="101"/>
          </w:p>
        </w:tc>
        <w:tc>
          <w:tcPr>
            <w:tcW w:w="1190" w:type="dxa"/>
            <w:tcBorders>
              <w:bottom w:val="single" w:sz="8" w:space="0" w:color="E5F5FD"/>
              <w:right w:val="single" w:sz="8" w:space="0" w:color="E6F5FD"/>
            </w:tcBorders>
            <w:shd w:fill="E6F5FD" w:val="clear"/>
            <w:tcMar>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2,520,733</w:t>
            </w:r>
            <w:bookmarkStart w:id="102" w:name="xdx_98E_eecd--TotalShareholderRtnAmt_c20"/>
            <w:bookmarkEnd w:id="102"/>
          </w:p>
        </w:tc>
        <w:tc>
          <w:tcPr>
            <w:tcW w:w="1220" w:type="dxa"/>
            <w:tcBorders>
              <w:bottom w:val="single" w:sz="8" w:space="0" w:color="E5F5FD"/>
              <w:right w:val="single" w:sz="8" w:space="0" w:color="E6F5FD"/>
            </w:tcBorders>
            <w:shd w:fill="E6F5FD" w:val="clear"/>
            <w:tcMar>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200</w:t>
            </w:r>
            <w:bookmarkStart w:id="103" w:name="xdx_98E_eecd--PeerGroupTotalShareholderR"/>
            <w:bookmarkEnd w:id="103"/>
          </w:p>
        </w:tc>
        <w:tc>
          <w:tcPr>
            <w:tcW w:w="980"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124</w:t>
            </w:r>
            <w:bookmarkStart w:id="104" w:name="xdx_98E_eus-gaap--NetIncomeLoss_c2023110"/>
            <w:bookmarkEnd w:id="104"/>
          </w:p>
        </w:tc>
        <w:tc>
          <w:tcPr>
            <w:tcW w:w="950" w:type="dxa"/>
            <w:tcBorders>
              <w:bottom w:val="single" w:sz="8" w:space="0" w:color="E5F5FD"/>
              <w:right w:val="single" w:sz="8" w:space="0" w:color="E3F2E7"/>
            </w:tcBorders>
            <w:shd w:fill="E6F5FD" w:val="clear"/>
            <w:tcMar>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7,174,000</w:t>
            </w:r>
            <w:bookmarkStart w:id="105" w:name="xdx_98C_eecd--CoSelectedMeasureAmt_uUSD_"/>
            <w:bookmarkEnd w:id="105"/>
          </w:p>
        </w:tc>
        <w:tc>
          <w:tcPr>
            <w:tcW w:w="1625" w:type="dxa"/>
            <w:tcBorders>
              <w:bottom w:val="single" w:sz="8" w:space="0" w:color="E5F5FD"/>
            </w:tcBorders>
            <w:shd w:fill="E6F5FD" w:val="clear"/>
            <w:tcMar>
              <w:bottom w:w="28"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26,718,000</w:t>
            </w:r>
          </w:p>
        </w:tc>
      </w:tr>
      <w:tr>
        <w:trPr/>
        <w:tc>
          <w:tcPr>
            <w:tcW w:w="395" w:type="dxa"/>
            <w:tcBorders>
              <w:bottom w:val="single" w:sz="8" w:space="0" w:color="E5F5FD"/>
              <w:right w:val="single" w:sz="8" w:space="0" w:color="E6F5FD"/>
            </w:tcBorders>
            <w:tcMar>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2023</w:t>
            </w:r>
            <w:bookmarkStart w:id="106" w:name="xdx_985_eecd--PeoTotalCompAmt_c20221101_"/>
            <w:bookmarkEnd w:id="106"/>
          </w:p>
        </w:tc>
        <w:tc>
          <w:tcPr>
            <w:tcW w:w="1190" w:type="dxa"/>
            <w:tcBorders>
              <w:bottom w:val="single" w:sz="8" w:space="0" w:color="E5F5FD"/>
              <w:right w:val="single" w:sz="8" w:space="0" w:color="E6F5FD"/>
            </w:tcBorders>
            <w:tcMar>
              <w:bottom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3,653,352</w:t>
            </w:r>
            <w:bookmarkStart w:id="107" w:name="xdx_98E_eecd--PeoActuallyPaidCompAmt_c20"/>
            <w:bookmarkEnd w:id="107"/>
          </w:p>
        </w:tc>
        <w:tc>
          <w:tcPr>
            <w:tcW w:w="1430" w:type="dxa"/>
            <w:tcBorders>
              <w:bottom w:val="single" w:sz="8" w:space="0" w:color="E5F5FD"/>
              <w:right w:val="single" w:sz="8" w:space="0" w:color="E6F5FD"/>
            </w:tcBorders>
            <w:tcMar>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3,710,212</w:t>
            </w:r>
            <w:bookmarkStart w:id="108" w:name="xdx_987_eecd--NonPeoNeoAvgTotalCompAmt_c"/>
            <w:bookmarkEnd w:id="108"/>
          </w:p>
        </w:tc>
        <w:tc>
          <w:tcPr>
            <w:tcW w:w="1190" w:type="dxa"/>
            <w:tcBorders>
              <w:bottom w:val="single" w:sz="8" w:space="0" w:color="E5F5FD"/>
              <w:right w:val="single" w:sz="8" w:space="0" w:color="E6F5FD"/>
            </w:tcBorders>
            <w:tcMar>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2,160,670</w:t>
            </w:r>
            <w:bookmarkStart w:id="109" w:name="xdx_986_eecd--NonPeoNeoAvgCompActuallyPa"/>
            <w:bookmarkEnd w:id="109"/>
          </w:p>
        </w:tc>
        <w:tc>
          <w:tcPr>
            <w:tcW w:w="1190" w:type="dxa"/>
            <w:tcBorders>
              <w:bottom w:val="single" w:sz="8" w:space="0" w:color="E5F5FD"/>
              <w:right w:val="single" w:sz="8" w:space="0" w:color="E6F5FD"/>
            </w:tcBorders>
            <w:tcMar>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2,278,244</w:t>
            </w:r>
            <w:bookmarkStart w:id="110" w:name="xdx_989_eecd--TotalShareholderRtnAmt_c20"/>
            <w:bookmarkEnd w:id="110"/>
          </w:p>
        </w:tc>
        <w:tc>
          <w:tcPr>
            <w:tcW w:w="1220" w:type="dxa"/>
            <w:tcBorders>
              <w:bottom w:val="single" w:sz="8" w:space="0" w:color="E5F5FD"/>
              <w:right w:val="single" w:sz="8" w:space="0" w:color="E6F5FD"/>
            </w:tcBorders>
            <w:tcMar>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110</w:t>
            </w:r>
            <w:bookmarkStart w:id="111" w:name="xdx_985_eecd--PeerGroupTotalShareholderR"/>
            <w:bookmarkEnd w:id="111"/>
          </w:p>
        </w:tc>
        <w:tc>
          <w:tcPr>
            <w:tcW w:w="980" w:type="dxa"/>
            <w:tcBorders>
              <w:bottom w:val="single" w:sz="8" w:space="0" w:color="E5F5FD"/>
              <w:right w:val="single" w:sz="8" w:space="0" w:color="E6F5FD"/>
            </w:tcBorders>
            <w:tcMar>
              <w:bottom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116</w:t>
            </w:r>
            <w:bookmarkStart w:id="112" w:name="xdx_98D_eus-gaap--NetIncomeLoss_c2022110"/>
            <w:bookmarkEnd w:id="112"/>
          </w:p>
        </w:tc>
        <w:tc>
          <w:tcPr>
            <w:tcW w:w="950" w:type="dxa"/>
            <w:tcBorders>
              <w:bottom w:val="single" w:sz="8" w:space="0" w:color="E5F5FD"/>
              <w:right w:val="single" w:sz="8" w:space="0" w:color="E3F2E7"/>
            </w:tcBorders>
            <w:tcMar>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9,117,000</w:t>
            </w:r>
            <w:bookmarkStart w:id="113" w:name="xdx_987_eecd--CoSelectedMeasureAmt_uUSD_"/>
            <w:bookmarkEnd w:id="113"/>
          </w:p>
        </w:tc>
        <w:tc>
          <w:tcPr>
            <w:tcW w:w="1625" w:type="dxa"/>
            <w:tcBorders>
              <w:bottom w:val="single" w:sz="8" w:space="0" w:color="E5F5FD"/>
            </w:tcBorders>
            <w:tcMar>
              <w:bottom w:w="28"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(224,000)</w:t>
            </w:r>
          </w:p>
        </w:tc>
      </w:tr>
      <w:tr>
        <w:trPr/>
        <w:tc>
          <w:tcPr>
            <w:tcW w:w="395"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2022</w:t>
            </w:r>
            <w:bookmarkStart w:id="114" w:name="xdx_988_eecd--PeoTotalCompAmt_c20211101_"/>
            <w:bookmarkEnd w:id="114"/>
          </w:p>
        </w:tc>
        <w:tc>
          <w:tcPr>
            <w:tcW w:w="1190"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2,001,234</w:t>
            </w:r>
            <w:bookmarkStart w:id="115" w:name="xdx_987_eecd--PeoActuallyPaidCompAmt_c20"/>
            <w:bookmarkEnd w:id="115"/>
          </w:p>
        </w:tc>
        <w:tc>
          <w:tcPr>
            <w:tcW w:w="1430" w:type="dxa"/>
            <w:tcBorders>
              <w:bottom w:val="single" w:sz="8" w:space="0" w:color="E5F5FD"/>
              <w:right w:val="single" w:sz="8" w:space="0" w:color="E6F5FD"/>
            </w:tcBorders>
            <w:shd w:fill="E6F5FD" w:val="clear"/>
            <w:tcMar>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1,331,988</w:t>
            </w:r>
            <w:bookmarkStart w:id="116" w:name="xdx_982_eecd--NonPeoNeoAvgTotalCompAmt_c"/>
            <w:bookmarkEnd w:id="116"/>
          </w:p>
        </w:tc>
        <w:tc>
          <w:tcPr>
            <w:tcW w:w="1190" w:type="dxa"/>
            <w:tcBorders>
              <w:bottom w:val="single" w:sz="8" w:space="0" w:color="E5F5FD"/>
              <w:right w:val="single" w:sz="8" w:space="0" w:color="E6F5FD"/>
            </w:tcBorders>
            <w:shd w:fill="E6F5FD" w:val="clear"/>
            <w:tcMar>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866,917</w:t>
            </w:r>
            <w:bookmarkStart w:id="117" w:name="xdx_981_eecd--NonPeoNeoAvgCompActuallyPa"/>
            <w:bookmarkEnd w:id="117"/>
          </w:p>
        </w:tc>
        <w:tc>
          <w:tcPr>
            <w:tcW w:w="1190" w:type="dxa"/>
            <w:tcBorders>
              <w:bottom w:val="single" w:sz="8" w:space="0" w:color="E5F5FD"/>
              <w:right w:val="single" w:sz="8" w:space="0" w:color="E6F5FD"/>
            </w:tcBorders>
            <w:shd w:fill="E6F5FD" w:val="clear"/>
            <w:tcMar>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635,772</w:t>
            </w:r>
            <w:bookmarkStart w:id="118" w:name="xdx_980_eecd--TotalShareholderRtnAmt_c20"/>
            <w:bookmarkEnd w:id="118"/>
          </w:p>
        </w:tc>
        <w:tc>
          <w:tcPr>
            <w:tcW w:w="1220" w:type="dxa"/>
            <w:tcBorders>
              <w:bottom w:val="single" w:sz="8" w:space="0" w:color="E5F5FD"/>
              <w:right w:val="single" w:sz="8" w:space="0" w:color="E6F5FD"/>
            </w:tcBorders>
            <w:shd w:fill="E6F5FD" w:val="clear"/>
            <w:tcMar>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90</w:t>
            </w:r>
            <w:bookmarkStart w:id="119" w:name="xdx_98E_eecd--PeerGroupTotalShareholderR"/>
            <w:bookmarkEnd w:id="119"/>
          </w:p>
        </w:tc>
        <w:tc>
          <w:tcPr>
            <w:tcW w:w="980"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133</w:t>
            </w:r>
            <w:bookmarkStart w:id="120" w:name="xdx_984_eus-gaap--NetIncomeLoss_c2021110"/>
            <w:bookmarkEnd w:id="120"/>
          </w:p>
        </w:tc>
        <w:tc>
          <w:tcPr>
            <w:tcW w:w="950" w:type="dxa"/>
            <w:tcBorders>
              <w:bottom w:val="single" w:sz="8" w:space="0" w:color="E5F5FD"/>
              <w:right w:val="single" w:sz="8" w:space="0" w:color="E3F2E7"/>
            </w:tcBorders>
            <w:shd w:fill="E6F5FD" w:val="clear"/>
            <w:tcMar>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(474,000)</w:t>
            </w:r>
            <w:bookmarkStart w:id="121" w:name="xdx_987_eecd--CoSelectedMeasureAmt_uUSD_"/>
            <w:bookmarkEnd w:id="121"/>
          </w:p>
        </w:tc>
        <w:tc>
          <w:tcPr>
            <w:tcW w:w="1625" w:type="dxa"/>
            <w:tcBorders>
              <w:bottom w:val="single" w:sz="8" w:space="0" w:color="E5F5FD"/>
            </w:tcBorders>
            <w:shd w:fill="E6F5FD" w:val="clear"/>
            <w:tcMar>
              <w:bottom w:w="28"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11,894,000</w:t>
            </w:r>
          </w:p>
        </w:tc>
      </w:tr>
      <w:tr>
        <w:trPr/>
        <w:tc>
          <w:tcPr>
            <w:tcW w:w="395" w:type="dxa"/>
            <w:tcBorders>
              <w:bottom w:val="single" w:sz="8" w:space="0" w:color="E5F5FD"/>
              <w:right w:val="single" w:sz="8" w:space="0" w:color="E6F5FD"/>
            </w:tcBorders>
            <w:tcMar>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2021</w:t>
            </w:r>
            <w:bookmarkStart w:id="122" w:name="xdx_983_eecd--PeoTotalCompAmt_c20201101_"/>
            <w:bookmarkEnd w:id="122"/>
          </w:p>
        </w:tc>
        <w:tc>
          <w:tcPr>
            <w:tcW w:w="1190" w:type="dxa"/>
            <w:tcBorders>
              <w:bottom w:val="single" w:sz="8" w:space="0" w:color="E5F5FD"/>
              <w:right w:val="single" w:sz="8" w:space="0" w:color="E6F5FD"/>
            </w:tcBorders>
            <w:tcMar>
              <w:bottom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1,319,648</w:t>
            </w:r>
            <w:bookmarkStart w:id="123" w:name="xdx_981_eecd--PeoActuallyPaidCompAmt_c20"/>
            <w:bookmarkEnd w:id="123"/>
          </w:p>
        </w:tc>
        <w:tc>
          <w:tcPr>
            <w:tcW w:w="1430" w:type="dxa"/>
            <w:tcBorders>
              <w:bottom w:val="single" w:sz="8" w:space="0" w:color="E5F5FD"/>
              <w:right w:val="single" w:sz="8" w:space="0" w:color="E6F5FD"/>
            </w:tcBorders>
            <w:tcMar>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1,452,446</w:t>
            </w:r>
            <w:bookmarkStart w:id="124" w:name="xdx_981_eecd--NonPeoNeoAvgTotalCompAmt_c"/>
            <w:bookmarkEnd w:id="124"/>
          </w:p>
        </w:tc>
        <w:tc>
          <w:tcPr>
            <w:tcW w:w="1190" w:type="dxa"/>
            <w:tcBorders>
              <w:bottom w:val="single" w:sz="8" w:space="0" w:color="E5F5FD"/>
              <w:right w:val="single" w:sz="8" w:space="0" w:color="E6F5FD"/>
            </w:tcBorders>
            <w:tcMar>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761,867</w:t>
            </w:r>
            <w:bookmarkStart w:id="125" w:name="xdx_988_eecd--NonPeoNeoAvgCompActuallyPa"/>
            <w:bookmarkEnd w:id="125"/>
          </w:p>
        </w:tc>
        <w:tc>
          <w:tcPr>
            <w:tcW w:w="1190" w:type="dxa"/>
            <w:tcBorders>
              <w:bottom w:val="single" w:sz="8" w:space="0" w:color="E5F5FD"/>
              <w:right w:val="single" w:sz="8" w:space="0" w:color="E6F5FD"/>
            </w:tcBorders>
            <w:tcMar>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828,332</w:t>
            </w:r>
            <w:bookmarkStart w:id="126" w:name="xdx_98D_eecd--TotalShareholderRtnAmt_c20"/>
            <w:bookmarkEnd w:id="126"/>
          </w:p>
        </w:tc>
        <w:tc>
          <w:tcPr>
            <w:tcW w:w="1220" w:type="dxa"/>
            <w:tcBorders>
              <w:bottom w:val="single" w:sz="8" w:space="0" w:color="E5F5FD"/>
              <w:right w:val="single" w:sz="8" w:space="0" w:color="E6F5FD"/>
            </w:tcBorders>
            <w:tcMar>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119</w:t>
            </w:r>
            <w:bookmarkStart w:id="127" w:name="xdx_986_eecd--PeerGroupTotalShareholderR"/>
            <w:bookmarkEnd w:id="127"/>
          </w:p>
        </w:tc>
        <w:tc>
          <w:tcPr>
            <w:tcW w:w="980" w:type="dxa"/>
            <w:tcBorders>
              <w:bottom w:val="single" w:sz="8" w:space="0" w:color="E5F5FD"/>
              <w:right w:val="single" w:sz="8" w:space="0" w:color="E6F5FD"/>
            </w:tcBorders>
            <w:tcMar>
              <w:bottom w:w="2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117</w:t>
            </w:r>
            <w:bookmarkStart w:id="128" w:name="xdx_980_eus-gaap--NetIncomeLoss_c2020110"/>
            <w:bookmarkEnd w:id="128"/>
          </w:p>
        </w:tc>
        <w:tc>
          <w:tcPr>
            <w:tcW w:w="950" w:type="dxa"/>
            <w:tcBorders>
              <w:bottom w:val="single" w:sz="8" w:space="0" w:color="E5F5FD"/>
              <w:right w:val="single" w:sz="8" w:space="0" w:color="E3F2E7"/>
            </w:tcBorders>
            <w:tcMar>
              <w:bottom w:w="28" w:type="dxa"/>
              <w:right w:w="4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(3,897,000)</w:t>
            </w:r>
            <w:bookmarkStart w:id="129" w:name="xdx_98E_eecd--CoSelectedMeasureAmt_uUSD_"/>
            <w:bookmarkEnd w:id="129"/>
          </w:p>
        </w:tc>
        <w:tc>
          <w:tcPr>
            <w:tcW w:w="1625" w:type="dxa"/>
            <w:tcBorders>
              <w:bottom w:val="single" w:sz="8" w:space="0" w:color="E5F5FD"/>
            </w:tcBorders>
            <w:tcMar>
              <w:bottom w:w="28" w:type="dxa"/>
              <w:right w:w="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9,918,000</w:t>
            </w:r>
          </w:p>
        </w:tc>
      </w:tr>
    </w:tbl>
    <w:tbl>
      <w:tblPr>
        <w:tblW w:w="3828" w:type="dxa"/>
        <w:jc w:val="left"/>
        <w:tblInd w:w="0" w:type="dxa"/>
        <w:tblLayout w:type="fixed"/>
        <w:tblCellMar>
          <w:top w:w="0" w:type="dxa"/>
          <w:left w:w="0" w:type="dxa"/>
          <w:bottom w:w="0" w:type="dxa"/>
          <w:right w:w="0" w:type="dxa"/>
        </w:tblCellMar>
      </w:tblPr>
      <w:tblGrid>
        <w:gridCol w:w="38"/>
        <w:gridCol w:w="185"/>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14"/>
              </w:rPr>
            </w:pPr>
            <w:bookmarkStart w:id="130" w:name="xdx_F0B_zVmq5nL2459l"/>
            <w:bookmarkEnd w:id="130"/>
            <w:r>
              <w:rPr>
                <w:sz w:val="14"/>
              </w:rPr>
              <w:t>(1)</w:t>
            </w:r>
          </w:p>
        </w:tc>
        <w:tc>
          <w:tcPr>
            <w:tcW w:w="3605" w:type="dxa"/>
            <w:tcBorders/>
            <w:vAlign w:val="center"/>
          </w:tcPr>
          <w:p>
            <w:pPr>
              <w:pStyle w:val="TableContents"/>
              <w:bidi w:val="0"/>
              <w:spacing w:before="0" w:after="283"/>
              <w:jc w:val="left"/>
              <w:rPr>
                <w:sz w:val="14"/>
              </w:rPr>
            </w:pPr>
            <w:bookmarkStart w:id="131" w:name="xdx_F16_zqYYXMWnc67g"/>
            <w:bookmarkEnd w:id="131"/>
            <w:r>
              <w:rPr>
                <w:sz w:val="14"/>
              </w:rPr>
              <w:t>The Company’s CEO for all years presented is Harold Edwards.</w:t>
            </w:r>
          </w:p>
        </w:tc>
      </w:tr>
    </w:tbl>
    <w:tbl>
      <w:tblPr>
        <w:tblW w:w="9468" w:type="dxa"/>
        <w:jc w:val="left"/>
        <w:tblInd w:w="0" w:type="dxa"/>
        <w:tblLayout w:type="fixed"/>
        <w:tblCellMar>
          <w:top w:w="0" w:type="dxa"/>
          <w:left w:w="0" w:type="dxa"/>
          <w:bottom w:w="0" w:type="dxa"/>
          <w:right w:w="0" w:type="dxa"/>
        </w:tblCellMar>
      </w:tblPr>
      <w:tblGrid>
        <w:gridCol w:w="38"/>
        <w:gridCol w:w="185"/>
        <w:gridCol w:w="924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14"/>
              </w:rPr>
            </w:pPr>
            <w:bookmarkStart w:id="132" w:name="xdx_F02_zOb9xWuKqp1g"/>
            <w:bookmarkEnd w:id="132"/>
            <w:r>
              <w:rPr>
                <w:rFonts w:ascii="Arial;Helvetica;Sans-Serif" w:hAnsi="Arial;Helvetica;Sans-Serif"/>
                <w:sz w:val="14"/>
              </w:rPr>
              <w:t>(2)</w:t>
            </w:r>
          </w:p>
        </w:tc>
        <w:tc>
          <w:tcPr>
            <w:tcW w:w="9245" w:type="dxa"/>
            <w:tcBorders/>
            <w:vAlign w:val="center"/>
          </w:tcPr>
          <w:p>
            <w:pPr>
              <w:pStyle w:val="TableContents"/>
              <w:bidi w:val="0"/>
              <w:spacing w:before="0" w:after="283"/>
              <w:jc w:val="left"/>
              <w:rPr>
                <w:rFonts w:ascii="Arial;Helvetica;Sans-Serif" w:hAnsi="Arial;Helvetica;Sans-Serif"/>
                <w:sz w:val="14"/>
              </w:rPr>
            </w:pPr>
            <w:bookmarkStart w:id="133" w:name="xdx_F1A_zwPqUSUz5MMl"/>
            <w:bookmarkEnd w:id="133"/>
            <w:r>
              <w:rPr>
                <w:rFonts w:ascii="Arial;Helvetica;Sans-Serif" w:hAnsi="Arial;Helvetica;Sans-Serif"/>
                <w:sz w:val="14"/>
              </w:rPr>
              <w:t>Deductions from, and additions to, total compensation in the Summary Compensation Table by year to calculate Compensation Actually Paid include:</w:t>
            </w:r>
          </w:p>
        </w:tc>
      </w:tr>
    </w:tbl>
    <w:tbl>
      <w:tblPr>
        <w:tblW w:w="10205" w:type="dxa"/>
        <w:jc w:val="left"/>
        <w:tblInd w:w="0" w:type="dxa"/>
        <w:tblLayout w:type="fixed"/>
        <w:tblCellMar>
          <w:top w:w="0" w:type="dxa"/>
          <w:left w:w="0" w:type="dxa"/>
          <w:bottom w:w="0" w:type="dxa"/>
          <w:right w:w="0" w:type="dxa"/>
        </w:tblCellMar>
      </w:tblPr>
      <w:tblGrid>
        <w:gridCol w:w="274"/>
        <w:gridCol w:w="60"/>
        <w:gridCol w:w="9871"/>
      </w:tblGrid>
      <w:tr>
        <w:trPr/>
        <w:tc>
          <w:tcPr>
            <w:tcW w:w="274" w:type="dxa"/>
            <w:tcBorders/>
            <w:vAlign w:val="center"/>
          </w:tcPr>
          <w:p>
            <w:pPr>
              <w:pStyle w:val="TableContents"/>
              <w:bidi w:val="0"/>
              <w:spacing w:before="0" w:after="283"/>
              <w:jc w:val="right"/>
              <w:rPr/>
            </w:pPr>
            <w:bookmarkStart w:id="134" w:name="xdx_F08_zzilQBqTAX49"/>
            <w:bookmarkEnd w:id="134"/>
            <w:r>
              <w:rPr/>
              <w:t>(3)</w:t>
            </w:r>
          </w:p>
        </w:tc>
        <w:tc>
          <w:tcPr>
            <w:tcW w:w="60" w:type="dxa"/>
            <w:tcBorders/>
            <w:vAlign w:val="center"/>
          </w:tcPr>
          <w:p>
            <w:pPr>
              <w:pStyle w:val="TableContents"/>
              <w:bidi w:val="0"/>
              <w:spacing w:before="0" w:after="283"/>
              <w:jc w:val="left"/>
              <w:rPr/>
            </w:pPr>
            <w:r>
              <w:rPr/>
              <w:t> </w:t>
            </w:r>
            <w:bookmarkStart w:id="135" w:name="xdx_F15_zWl2WT7Dlrhd"/>
            <w:bookmarkEnd w:id="135"/>
          </w:p>
        </w:tc>
        <w:tc>
          <w:tcPr>
            <w:tcW w:w="9871" w:type="dxa"/>
            <w:tcBorders/>
            <w:vAlign w:val="center"/>
          </w:tcPr>
          <w:p>
            <w:pPr>
              <w:pStyle w:val="TableContents"/>
              <w:bidi w:val="0"/>
              <w:jc w:val="both"/>
              <w:rPr/>
            </w:pPr>
            <w:r>
              <w:rPr/>
              <w:t>Non-CEO NEOs reflect the average Summary Compensation Table total compensation and average Compensation Actually Paid for the following executives by year:</w:t>
            </w:r>
          </w:p>
          <w:p>
            <w:pPr>
              <w:pStyle w:val="TableContents"/>
              <w:bidi w:val="0"/>
              <w:jc w:val="both"/>
              <w:rPr/>
            </w:pPr>
            <w:r>
              <w:rPr/>
              <w:t>2025: Mark Palamountain</w:t>
            </w:r>
          </w:p>
          <w:p>
            <w:pPr>
              <w:pStyle w:val="TableContents"/>
              <w:bidi w:val="0"/>
              <w:jc w:val="both"/>
              <w:rPr/>
            </w:pPr>
            <w:r>
              <w:rPr/>
              <w:t>2024: Mark Palamountain</w:t>
            </w:r>
          </w:p>
          <w:p>
            <w:pPr>
              <w:pStyle w:val="TableContents"/>
              <w:bidi w:val="0"/>
              <w:jc w:val="both"/>
              <w:rPr/>
            </w:pPr>
            <w:r>
              <w:rPr/>
              <w:t>2023: Mark Palamountain</w:t>
            </w:r>
          </w:p>
          <w:p>
            <w:pPr>
              <w:pStyle w:val="TableContents"/>
              <w:bidi w:val="0"/>
              <w:jc w:val="both"/>
              <w:rPr/>
            </w:pPr>
            <w:r>
              <w:rPr/>
              <w:t>2022: Mark Palamountain, Alex Teague</w:t>
            </w:r>
          </w:p>
          <w:p>
            <w:pPr>
              <w:pStyle w:val="TableContents"/>
              <w:bidi w:val="0"/>
              <w:spacing w:before="0" w:after="283"/>
              <w:jc w:val="both"/>
              <w:rPr/>
            </w:pPr>
            <w:r>
              <w:rPr/>
              <w:t>2021: Mark Palamountain, Alex Teague</w:t>
            </w:r>
          </w:p>
        </w:tc>
      </w:tr>
    </w:tbl>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14"/>
              </w:rPr>
            </w:pPr>
            <w:bookmarkStart w:id="136" w:name="xdx_F0C_zUGcO4pr19V3"/>
            <w:bookmarkEnd w:id="136"/>
            <w:r>
              <w:rPr>
                <w:sz w:val="14"/>
              </w:rPr>
              <w:t>(4)</w:t>
            </w:r>
          </w:p>
        </w:tc>
        <w:tc>
          <w:tcPr>
            <w:tcW w:w="9988" w:type="dxa"/>
            <w:tcBorders/>
            <w:vAlign w:val="center"/>
          </w:tcPr>
          <w:p>
            <w:pPr>
              <w:pStyle w:val="TableContents"/>
              <w:bidi w:val="0"/>
              <w:spacing w:before="0" w:after="283"/>
              <w:jc w:val="left"/>
              <w:rPr>
                <w:sz w:val="14"/>
              </w:rPr>
            </w:pPr>
            <w:bookmarkStart w:id="137" w:name="xdx_F19_zqmd4tZMeua9"/>
            <w:bookmarkEnd w:id="137"/>
            <w:r>
              <w:rPr>
                <w:sz w:val="14"/>
              </w:rPr>
              <w:t>Total Shareholder Return assumes the investment of $100 in our common stock on October 31, 2020 through and including the end of the fiscal year for which Total Shareholder Return is depicted.</w:t>
            </w:r>
          </w:p>
        </w:tc>
      </w:tr>
    </w:tbl>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14"/>
              </w:rPr>
            </w:pPr>
            <w:bookmarkStart w:id="138" w:name="xdx_F03_zRFvuXQkV4Mc"/>
            <w:bookmarkEnd w:id="138"/>
            <w:r>
              <w:rPr>
                <w:sz w:val="14"/>
              </w:rPr>
              <w:t>(5)</w:t>
            </w:r>
          </w:p>
        </w:tc>
        <w:tc>
          <w:tcPr>
            <w:tcW w:w="9994" w:type="dxa"/>
            <w:tcBorders/>
            <w:vAlign w:val="center"/>
          </w:tcPr>
          <w:p>
            <w:pPr>
              <w:pStyle w:val="TableContents"/>
              <w:bidi w:val="0"/>
              <w:spacing w:before="0" w:after="283"/>
              <w:jc w:val="left"/>
              <w:rPr>
                <w:sz w:val="14"/>
              </w:rPr>
            </w:pPr>
            <w:bookmarkStart w:id="139" w:name="xdx_F17_zcx721iwdad4"/>
            <w:bookmarkEnd w:id="139"/>
            <w:r>
              <w:rPr>
                <w:sz w:val="14"/>
              </w:rPr>
              <w:t>Peer Group Total Shareholder Return reflect the year-over-year value, as of the end of the applicable fiscal year, of a hypothetical initial investment of $100 made on October 31, 2020 into the Dow Jones U.S. Food Producers Index.</w:t>
            </w:r>
          </w:p>
        </w:tc>
      </w:tr>
    </w:tbl>
    <w:tbl>
      <w:tblPr>
        <w:tblW w:w="7248" w:type="dxa"/>
        <w:jc w:val="left"/>
        <w:tblInd w:w="0" w:type="dxa"/>
        <w:tblLayout w:type="fixed"/>
        <w:tblCellMar>
          <w:top w:w="0" w:type="dxa"/>
          <w:left w:w="0" w:type="dxa"/>
          <w:bottom w:w="0" w:type="dxa"/>
          <w:right w:w="0" w:type="dxa"/>
        </w:tblCellMar>
      </w:tblPr>
      <w:tblGrid>
        <w:gridCol w:w="38"/>
        <w:gridCol w:w="185"/>
        <w:gridCol w:w="702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14"/>
              </w:rPr>
            </w:pPr>
            <w:bookmarkStart w:id="140" w:name="xdx_F05_zSKVqneNukn6"/>
            <w:bookmarkEnd w:id="140"/>
            <w:r>
              <w:rPr>
                <w:sz w:val="14"/>
              </w:rPr>
              <w:t>(6)</w:t>
            </w:r>
          </w:p>
        </w:tc>
        <w:tc>
          <w:tcPr>
            <w:tcW w:w="7025" w:type="dxa"/>
            <w:tcBorders/>
            <w:vAlign w:val="center"/>
          </w:tcPr>
          <w:p>
            <w:pPr>
              <w:pStyle w:val="TableContents"/>
              <w:bidi w:val="0"/>
              <w:spacing w:before="0" w:after="283"/>
              <w:jc w:val="left"/>
              <w:rPr>
                <w:sz w:val="14"/>
              </w:rPr>
            </w:pPr>
            <w:bookmarkStart w:id="141" w:name="xdx_F1F_zNsm1kIXOSej"/>
            <w:bookmarkEnd w:id="141"/>
            <w:r>
              <w:rPr>
                <w:sz w:val="14"/>
              </w:rPr>
              <w:t>The dollar amounts reported are the Company’s net income (loss) reflected in the Company’s audited financial statements.</w:t>
            </w:r>
          </w:p>
        </w:tc>
      </w:tr>
    </w:tbl>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14"/>
              </w:rPr>
            </w:pPr>
            <w:bookmarkStart w:id="142" w:name="xdx_F05_z1saqe4wtqw9"/>
            <w:bookmarkEnd w:id="142"/>
            <w:r>
              <w:rPr>
                <w:sz w:val="14"/>
              </w:rPr>
              <w:t>(7)</w:t>
            </w:r>
          </w:p>
        </w:tc>
        <w:tc>
          <w:tcPr>
            <w:tcW w:w="10021" w:type="dxa"/>
            <w:tcBorders/>
            <w:vAlign w:val="center"/>
          </w:tcPr>
          <w:p>
            <w:pPr>
              <w:pStyle w:val="TableContents"/>
              <w:bidi w:val="0"/>
              <w:spacing w:before="0" w:after="283"/>
              <w:jc w:val="left"/>
              <w:rPr>
                <w:sz w:val="14"/>
              </w:rPr>
            </w:pPr>
            <w:bookmarkStart w:id="143" w:name="xdx_F17_zkO77RwhN0C2"/>
            <w:bookmarkEnd w:id="143"/>
            <w:r>
              <w:rPr>
                <w:sz w:val="14"/>
              </w:rPr>
              <w:t>In the Company’s assessment, Adjusted EBITDA is the financial performance measure that is the most important financial performance measure used by the Company in fiscal year 2025 to link compensation actually paid to performance. The dollar amounts reported are the Company’s Adjusted EBITDA reflected in the Company’s Form 10-K, and represent earnings before interest, income taxes, depreciation and amortization (“EBITDA”), excluding stock-based compensation, named executive officer cash severance, pension settlement cost, impairment of intangible asset, gain or loss on disposal of assets, cash bonus related to sale of assets, gain on legal settlement, cash severance benefits, contract termination fee and gain on remeasurement of previously held equity method investment. Adjusted EBITDA is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28" w:type="dxa"/>
        <w:jc w:val="left"/>
        <w:tblInd w:w="0" w:type="dxa"/>
        <w:tblLayout w:type="fixed"/>
        <w:tblCellMar>
          <w:top w:w="0" w:type="dxa"/>
          <w:left w:w="0" w:type="dxa"/>
          <w:bottom w:w="0" w:type="dxa"/>
          <w:right w:w="0" w:type="dxa"/>
        </w:tblCellMar>
      </w:tblPr>
      <w:tblGrid>
        <w:gridCol w:w="38"/>
        <w:gridCol w:w="185"/>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14"/>
              </w:rPr>
            </w:pPr>
            <w:r>
              <w:rPr>
                <w:sz w:val="14"/>
              </w:rPr>
              <w:t>(1)</w:t>
            </w:r>
          </w:p>
        </w:tc>
        <w:tc>
          <w:tcPr>
            <w:tcW w:w="3605" w:type="dxa"/>
            <w:tcBorders/>
            <w:vAlign w:val="center"/>
          </w:tcPr>
          <w:p>
            <w:pPr>
              <w:pStyle w:val="TableContents"/>
              <w:bidi w:val="0"/>
              <w:spacing w:before="0" w:after="283"/>
              <w:jc w:val="left"/>
              <w:rPr>
                <w:sz w:val="14"/>
              </w:rPr>
            </w:pPr>
            <w:r>
              <w:rPr>
                <w:sz w:val="14"/>
              </w:rPr>
              <w:t xml:space="preserve">The Company’s CEO for all years presented is </w:t>
            </w:r>
            <w:bookmarkStart w:id="144" w:name="xdx_908_eecd--PeoName_c20201101__2021103"/>
            <w:bookmarkStart w:id="145" w:name="xdx_90B_eecd--PeoName_c20211101__2022103"/>
            <w:bookmarkStart w:id="146" w:name="xdx_907_eecd--PeoName_c20221101__2023103"/>
            <w:bookmarkStart w:id="147" w:name="xdx_900_eecd--PeoName_c20231101__2024103"/>
            <w:bookmarkStart w:id="148" w:name="xdx_901_eecd--PeoName_c20241101__2025103"/>
            <w:bookmarkEnd w:id="144"/>
            <w:bookmarkEnd w:id="145"/>
            <w:bookmarkEnd w:id="146"/>
            <w:bookmarkEnd w:id="147"/>
            <w:bookmarkEnd w:id="148"/>
            <w:r>
              <w:rPr>
                <w:sz w:val="14"/>
              </w:rPr>
              <w:t>Harold Edwards.</w:t>
            </w:r>
          </w:p>
        </w:tc>
      </w:tr>
    </w:tbl>
    <w:p>
      <w:pPr>
        <w:pStyle w:val="TextBody"/>
        <w:bidi w:val="0"/>
        <w:spacing w:before="0" w:after="0"/>
        <w:ind w:left="0" w:right="0" w:hanging="0"/>
        <w:jc w:val="left"/>
        <w:rPr>
          <w:caps w:val="false"/>
          <w:smallCaps w:val="false"/>
          <w:bdr w:val="single" w:sz="8" w:space="1" w:color="2872A8"/>
        </w:rPr>
      </w:pPr>
      <w:bookmarkStart w:id="149" w:name="xdx_85A_zDKO4EhPNSff"/>
      <w:bookmarkEnd w:id="149"/>
      <w:r>
        <w:rPr>
          <w:caps w:val="false"/>
          <w:smallCaps w:val="false"/>
          <w:bdr w:val="single" w:sz="8" w:space="1" w:color="2872A8"/>
        </w:rPr>
        <w:t> </w:t>
      </w:r>
    </w:p>
    <w:p>
      <w:pPr>
        <w:pStyle w:val="TextBody"/>
        <w:bidi w:val="0"/>
        <w:spacing w:before="0" w:after="0"/>
        <w:ind w:left="0" w:right="0" w:hanging="0"/>
        <w:jc w:val="left"/>
        <w:rPr>
          <w:caps w:val="false"/>
          <w:smallCaps w:val="false"/>
          <w:bdr w:val="single" w:sz="8" w:space="1" w:color="2872A8"/>
        </w:rPr>
      </w:pPr>
      <w:bookmarkStart w:id="150" w:name="xdx_81B_z9WaeABOvkdh"/>
      <w:bookmarkEnd w:id="150"/>
      <w:r>
        <w:rPr>
          <w:caps w:val="false"/>
          <w:smallCaps w:val="false"/>
          <w:bdr w:val="single" w:sz="8" w:space="1" w:color="2872A8"/>
        </w:rPr>
        <w:t> </w:t>
      </w:r>
    </w:p>
    <w:p>
      <w:pPr>
        <w:pStyle w:val="TextBody"/>
        <w:bidi w:val="0"/>
        <w:spacing w:before="0" w:after="0"/>
        <w:ind w:left="0" w:right="0" w:hanging="0"/>
        <w:jc w:val="left"/>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49</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9468" w:type="dxa"/>
        <w:jc w:val="left"/>
        <w:tblInd w:w="0" w:type="dxa"/>
        <w:tblLayout w:type="fixed"/>
        <w:tblCellMar>
          <w:top w:w="0" w:type="dxa"/>
          <w:left w:w="0" w:type="dxa"/>
          <w:bottom w:w="0" w:type="dxa"/>
          <w:right w:w="0" w:type="dxa"/>
        </w:tblCellMar>
      </w:tblPr>
      <w:tblGrid>
        <w:gridCol w:w="38"/>
        <w:gridCol w:w="185"/>
        <w:gridCol w:w="924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w:t>
            </w:r>
          </w:p>
        </w:tc>
        <w:tc>
          <w:tcPr>
            <w:tcW w:w="92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Deductions from, and additions to, total compensation in the Summary Compensation Table by year to calculate Compensation Actually Paid include:</w:t>
            </w:r>
          </w:p>
        </w:tc>
      </w:tr>
    </w:tbl>
    <w:p>
      <w:pPr>
        <w:pStyle w:val="TextBody"/>
        <w:bidi w:val="0"/>
        <w:jc w:val="left"/>
        <w:rPr>
          <w:bdr w:val="single" w:sz="8" w:space="1" w:color="2872A8"/>
        </w:rPr>
      </w:pPr>
      <w:r>
        <w:rPr>
          <w:bdr w:val="single" w:sz="8" w:space="1" w:color="2872A8"/>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bdr w:val="single" w:sz="8" w:space="1" w:color="2872A8"/>
        </w:rPr>
      </w:pPr>
      <w:bookmarkStart w:id="151" w:name="xdx_842_eecd--AdjToPeoCompFnTextBlock_dU"/>
      <w:bookmarkEnd w:id="151"/>
      <w:r>
        <w:rPr>
          <w:caps w:val="false"/>
          <w:smallCaps w:val="false"/>
          <w:bdr w:val="single" w:sz="8" w:space="1" w:color="2872A8"/>
        </w:rPr>
        <w:t> </w:t>
      </w:r>
    </w:p>
    <w:p>
      <w:pPr>
        <w:pStyle w:val="TextBody"/>
        <w:bidi w:val="0"/>
        <w:spacing w:before="0" w:after="0"/>
        <w:ind w:left="0" w:right="0" w:hanging="0"/>
        <w:jc w:val="left"/>
        <w:rPr>
          <w:caps w:val="false"/>
          <w:smallCaps w:val="false"/>
          <w:bdr w:val="single" w:sz="8" w:space="1" w:color="2872A8"/>
        </w:rPr>
      </w:pPr>
      <w:bookmarkStart w:id="152" w:name="xdx_891_eecd--AdjToNonPeoNeoCompFnTextBl"/>
      <w:bookmarkEnd w:id="152"/>
      <w:r>
        <w:rPr>
          <w:caps w:val="false"/>
          <w:smallCaps w:val="false"/>
          <w:bdr w:val="single" w:sz="8" w:space="1" w:color="2872A8"/>
        </w:rPr>
        <w:t> </w:t>
      </w:r>
    </w:p>
    <w:tbl>
      <w:tblPr>
        <w:tblW w:w="10205" w:type="dxa"/>
        <w:jc w:val="left"/>
        <w:tblInd w:w="0" w:type="dxa"/>
        <w:tblLayout w:type="fixed"/>
        <w:tblCellMar>
          <w:top w:w="0" w:type="dxa"/>
          <w:left w:w="0" w:type="dxa"/>
          <w:bottom w:w="0" w:type="dxa"/>
          <w:right w:w="100" w:type="dxa"/>
        </w:tblCellMar>
      </w:tblPr>
      <w:tblGrid>
        <w:gridCol w:w="3872"/>
        <w:gridCol w:w="635"/>
        <w:gridCol w:w="580"/>
        <w:gridCol w:w="635"/>
        <w:gridCol w:w="635"/>
        <w:gridCol w:w="700"/>
        <w:gridCol w:w="700"/>
        <w:gridCol w:w="635"/>
        <w:gridCol w:w="580"/>
        <w:gridCol w:w="635"/>
        <w:gridCol w:w="598"/>
      </w:tblGrid>
      <w:tr>
        <w:trPr/>
        <w:tc>
          <w:tcPr>
            <w:tcW w:w="3872" w:type="dxa"/>
            <w:tcBorders>
              <w:right w:val="single" w:sz="8" w:space="0" w:color="FFFFFF"/>
            </w:tcBorders>
            <w:shd w:fill="D2D6E4" w:val="clear"/>
            <w:vAlign w:val="center"/>
          </w:tcPr>
          <w:p>
            <w:pPr>
              <w:pStyle w:val="TableContents"/>
              <w:bidi w:val="0"/>
              <w:spacing w:before="0" w:after="283"/>
              <w:jc w:val="center"/>
              <w:rPr/>
            </w:pPr>
            <w:r>
              <w:rPr/>
              <w:t> </w:t>
            </w:r>
          </w:p>
        </w:tc>
        <w:tc>
          <w:tcPr>
            <w:tcW w:w="1215" w:type="dxa"/>
            <w:gridSpan w:val="2"/>
            <w:tcBorders>
              <w:righ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2025</w:t>
            </w:r>
          </w:p>
        </w:tc>
        <w:tc>
          <w:tcPr>
            <w:tcW w:w="1270" w:type="dxa"/>
            <w:gridSpan w:val="2"/>
            <w:tcBorders>
              <w:righ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2024</w:t>
            </w:r>
          </w:p>
        </w:tc>
        <w:tc>
          <w:tcPr>
            <w:tcW w:w="1400" w:type="dxa"/>
            <w:gridSpan w:val="2"/>
            <w:tcBorders>
              <w:righ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2023</w:t>
            </w:r>
          </w:p>
        </w:tc>
        <w:tc>
          <w:tcPr>
            <w:tcW w:w="1215" w:type="dxa"/>
            <w:gridSpan w:val="2"/>
            <w:tcBorders>
              <w:right w:val="single" w:sz="8" w:space="0" w:color="FFFFFF"/>
            </w:tcBorders>
            <w:shd w:fill="D2D6E4" w:val="cle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2022</w:t>
            </w:r>
          </w:p>
        </w:tc>
        <w:tc>
          <w:tcPr>
            <w:tcW w:w="1233" w:type="dxa"/>
            <w:gridSpan w:val="2"/>
            <w:tcBorders/>
            <w:shd w:fill="D2D6E4" w:val="clear"/>
            <w:tcMar>
              <w:right w:w="0" w:type="dxa"/>
            </w:tcMar>
            <w:vAlign w:val="center"/>
          </w:tcPr>
          <w:p>
            <w:pPr>
              <w:pStyle w:val="TableContents"/>
              <w:bidi w:val="0"/>
              <w:spacing w:before="0" w:after="283"/>
              <w:jc w:val="center"/>
              <w:rPr>
                <w:rFonts w:ascii="Arial;Helvetica;Sans-Serif" w:hAnsi="Arial;Helvetica;Sans-Serif"/>
                <w:b/>
                <w:sz w:val="14"/>
              </w:rPr>
            </w:pPr>
            <w:r>
              <w:rPr>
                <w:rFonts w:ascii="Arial;Helvetica;Sans-Serif" w:hAnsi="Arial;Helvetica;Sans-Serif"/>
                <w:b/>
                <w:sz w:val="14"/>
              </w:rPr>
              <w:t>2021</w:t>
            </w:r>
          </w:p>
        </w:tc>
      </w:tr>
      <w:tr>
        <w:trPr/>
        <w:tc>
          <w:tcPr>
            <w:tcW w:w="3872" w:type="dxa"/>
            <w:tcBorders>
              <w:right w:val="single" w:sz="8" w:space="0" w:color="FFFFFF"/>
            </w:tcBorders>
            <w:shd w:fill="D2D6E4" w:val="clear"/>
            <w:vAlign w:val="center"/>
          </w:tcPr>
          <w:p>
            <w:pPr>
              <w:pStyle w:val="TableContents"/>
              <w:bidi w:val="0"/>
              <w:spacing w:before="0" w:after="283"/>
              <w:jc w:val="center"/>
              <w:rPr/>
            </w:pPr>
            <w:r>
              <w:rPr/>
              <w:t> </w:t>
            </w:r>
          </w:p>
        </w:tc>
        <w:tc>
          <w:tcPr>
            <w:tcW w:w="635" w:type="dxa"/>
            <w:tcBorders>
              <w:right w:val="single" w:sz="8" w:space="0" w:color="FFFFFF"/>
            </w:tcBorders>
            <w:shd w:fill="D2D6E4" w:val="clear"/>
            <w:vAlign w:val="center"/>
          </w:tcPr>
          <w:p>
            <w:pPr>
              <w:pStyle w:val="TableContents"/>
              <w:bidi w:val="0"/>
              <w:spacing w:before="0" w:after="283"/>
              <w:jc w:val="center"/>
              <w:rPr/>
            </w:pPr>
            <w:r>
              <w:rPr>
                <w:rFonts w:ascii="Arial;Helvetica;Sans-Serif" w:hAnsi="Arial;Helvetica;Sans-Serif"/>
                <w:b/>
                <w:sz w:val="14"/>
              </w:rPr>
              <w:t>CEO</w:t>
            </w:r>
            <w:r>
              <w:rPr>
                <w:sz w:val="14"/>
              </w:rPr>
              <w:br/>
            </w:r>
            <w:r>
              <w:rPr>
                <w:rFonts w:ascii="Arial;Helvetica;Sans-Serif" w:hAnsi="Arial;Helvetica;Sans-Serif"/>
                <w:b/>
                <w:sz w:val="14"/>
              </w:rPr>
              <w:t>($)</w:t>
            </w:r>
          </w:p>
        </w:tc>
        <w:tc>
          <w:tcPr>
            <w:tcW w:w="580" w:type="dxa"/>
            <w:tcBorders>
              <w:right w:val="single" w:sz="8" w:space="0" w:color="FFFFFF"/>
            </w:tcBorders>
            <w:shd w:fill="D2D6E4" w:val="clear"/>
            <w:vAlign w:val="center"/>
          </w:tcPr>
          <w:p>
            <w:pPr>
              <w:pStyle w:val="TableContents"/>
              <w:bidi w:val="0"/>
              <w:spacing w:before="0" w:after="283"/>
              <w:jc w:val="center"/>
              <w:rPr/>
            </w:pPr>
            <w:r>
              <w:rPr>
                <w:rFonts w:ascii="Arial;Helvetica;Sans-Serif" w:hAnsi="Arial;Helvetica;Sans-Serif"/>
                <w:b/>
                <w:sz w:val="14"/>
              </w:rPr>
              <w:t>Average</w:t>
            </w:r>
            <w:r>
              <w:rPr>
                <w:sz w:val="14"/>
              </w:rPr>
              <w:br/>
            </w:r>
            <w:r>
              <w:rPr>
                <w:rFonts w:ascii="Arial;Helvetica;Sans-Serif" w:hAnsi="Arial;Helvetica;Sans-Serif"/>
                <w:b/>
                <w:sz w:val="14"/>
              </w:rPr>
              <w:t>Non-</w:t>
            </w:r>
            <w:r>
              <w:rPr>
                <w:sz w:val="14"/>
              </w:rPr>
              <w:br/>
            </w:r>
            <w:r>
              <w:rPr>
                <w:rFonts w:ascii="Arial;Helvetica;Sans-Serif" w:hAnsi="Arial;Helvetica;Sans-Serif"/>
                <w:b/>
                <w:sz w:val="14"/>
              </w:rPr>
              <w:t>CEO</w:t>
            </w:r>
            <w:r>
              <w:rPr>
                <w:sz w:val="14"/>
              </w:rPr>
              <w:br/>
            </w:r>
            <w:r>
              <w:rPr>
                <w:rFonts w:ascii="Arial;Helvetica;Sans-Serif" w:hAnsi="Arial;Helvetica;Sans-Serif"/>
                <w:b/>
                <w:sz w:val="14"/>
              </w:rPr>
              <w:t>NEOs</w:t>
            </w:r>
            <w:r>
              <w:rPr>
                <w:sz w:val="14"/>
              </w:rPr>
              <w:br/>
            </w:r>
            <w:r>
              <w:rPr>
                <w:rFonts w:ascii="Arial;Helvetica;Sans-Serif" w:hAnsi="Arial;Helvetica;Sans-Serif"/>
                <w:b/>
                <w:sz w:val="14"/>
              </w:rPr>
              <w:t>($)</w:t>
            </w:r>
          </w:p>
        </w:tc>
        <w:tc>
          <w:tcPr>
            <w:tcW w:w="635" w:type="dxa"/>
            <w:tcBorders>
              <w:right w:val="single" w:sz="8" w:space="0" w:color="FFFFFF"/>
            </w:tcBorders>
            <w:shd w:fill="D2D6E4" w:val="clear"/>
            <w:vAlign w:val="center"/>
          </w:tcPr>
          <w:p>
            <w:pPr>
              <w:pStyle w:val="TableContents"/>
              <w:bidi w:val="0"/>
              <w:spacing w:before="0" w:after="283"/>
              <w:jc w:val="center"/>
              <w:rPr/>
            </w:pPr>
            <w:r>
              <w:rPr>
                <w:rFonts w:ascii="Arial;Helvetica;Sans-Serif" w:hAnsi="Arial;Helvetica;Sans-Serif"/>
                <w:b/>
                <w:sz w:val="14"/>
              </w:rPr>
              <w:t>CEO</w:t>
            </w:r>
            <w:r>
              <w:rPr>
                <w:sz w:val="14"/>
              </w:rPr>
              <w:br/>
            </w:r>
            <w:r>
              <w:rPr>
                <w:rFonts w:ascii="Arial;Helvetica;Sans-Serif" w:hAnsi="Arial;Helvetica;Sans-Serif"/>
                <w:b/>
                <w:sz w:val="14"/>
              </w:rPr>
              <w:t>($)</w:t>
            </w:r>
          </w:p>
        </w:tc>
        <w:tc>
          <w:tcPr>
            <w:tcW w:w="635" w:type="dxa"/>
            <w:tcBorders>
              <w:right w:val="single" w:sz="8" w:space="0" w:color="FFFFFF"/>
            </w:tcBorders>
            <w:shd w:fill="D2D6E4" w:val="clear"/>
            <w:vAlign w:val="center"/>
          </w:tcPr>
          <w:p>
            <w:pPr>
              <w:pStyle w:val="TableContents"/>
              <w:bidi w:val="0"/>
              <w:spacing w:before="0" w:after="283"/>
              <w:jc w:val="center"/>
              <w:rPr/>
            </w:pPr>
            <w:r>
              <w:rPr>
                <w:rFonts w:ascii="Arial;Helvetica;Sans-Serif" w:hAnsi="Arial;Helvetica;Sans-Serif"/>
                <w:b/>
                <w:sz w:val="14"/>
              </w:rPr>
              <w:t>Average</w:t>
            </w:r>
            <w:r>
              <w:rPr>
                <w:sz w:val="14"/>
              </w:rPr>
              <w:br/>
            </w:r>
            <w:r>
              <w:rPr>
                <w:rFonts w:ascii="Arial;Helvetica;Sans-Serif" w:hAnsi="Arial;Helvetica;Sans-Serif"/>
                <w:b/>
                <w:sz w:val="14"/>
              </w:rPr>
              <w:t>Non-</w:t>
            </w:r>
            <w:r>
              <w:rPr>
                <w:sz w:val="14"/>
              </w:rPr>
              <w:br/>
            </w:r>
            <w:r>
              <w:rPr>
                <w:rFonts w:ascii="Arial;Helvetica;Sans-Serif" w:hAnsi="Arial;Helvetica;Sans-Serif"/>
                <w:b/>
                <w:sz w:val="14"/>
              </w:rPr>
              <w:t>CEO</w:t>
            </w:r>
            <w:r>
              <w:rPr>
                <w:sz w:val="14"/>
              </w:rPr>
              <w:br/>
            </w:r>
            <w:r>
              <w:rPr>
                <w:rFonts w:ascii="Arial;Helvetica;Sans-Serif" w:hAnsi="Arial;Helvetica;Sans-Serif"/>
                <w:b/>
                <w:sz w:val="14"/>
              </w:rPr>
              <w:t>NEOs</w:t>
            </w:r>
            <w:r>
              <w:rPr>
                <w:sz w:val="14"/>
              </w:rPr>
              <w:br/>
            </w:r>
            <w:r>
              <w:rPr>
                <w:rFonts w:ascii="Arial;Helvetica;Sans-Serif" w:hAnsi="Arial;Helvetica;Sans-Serif"/>
                <w:b/>
                <w:sz w:val="14"/>
              </w:rPr>
              <w:t>($)</w:t>
            </w:r>
          </w:p>
        </w:tc>
        <w:tc>
          <w:tcPr>
            <w:tcW w:w="700" w:type="dxa"/>
            <w:tcBorders>
              <w:right w:val="single" w:sz="8" w:space="0" w:color="FFFFFF"/>
            </w:tcBorders>
            <w:shd w:fill="D2D6E4" w:val="clear"/>
            <w:vAlign w:val="center"/>
          </w:tcPr>
          <w:p>
            <w:pPr>
              <w:pStyle w:val="TableContents"/>
              <w:bidi w:val="0"/>
              <w:spacing w:before="0" w:after="283"/>
              <w:jc w:val="center"/>
              <w:rPr/>
            </w:pPr>
            <w:r>
              <w:rPr>
                <w:rFonts w:ascii="Arial;Helvetica;Sans-Serif" w:hAnsi="Arial;Helvetica;Sans-Serif"/>
                <w:b/>
                <w:sz w:val="14"/>
              </w:rPr>
              <w:t>CEO</w:t>
            </w:r>
            <w:r>
              <w:rPr>
                <w:sz w:val="14"/>
              </w:rPr>
              <w:br/>
            </w:r>
            <w:r>
              <w:rPr>
                <w:rFonts w:ascii="Arial;Helvetica;Sans-Serif" w:hAnsi="Arial;Helvetica;Sans-Serif"/>
                <w:b/>
                <w:sz w:val="14"/>
              </w:rPr>
              <w:t>($)</w:t>
            </w:r>
          </w:p>
        </w:tc>
        <w:tc>
          <w:tcPr>
            <w:tcW w:w="700" w:type="dxa"/>
            <w:tcBorders>
              <w:right w:val="single" w:sz="8" w:space="0" w:color="FFFFFF"/>
            </w:tcBorders>
            <w:shd w:fill="D2D6E4" w:val="clear"/>
            <w:vAlign w:val="center"/>
          </w:tcPr>
          <w:p>
            <w:pPr>
              <w:pStyle w:val="TableContents"/>
              <w:bidi w:val="0"/>
              <w:spacing w:before="0" w:after="283"/>
              <w:jc w:val="center"/>
              <w:rPr/>
            </w:pPr>
            <w:r>
              <w:rPr>
                <w:rFonts w:ascii="Arial;Helvetica;Sans-Serif" w:hAnsi="Arial;Helvetica;Sans-Serif"/>
                <w:b/>
                <w:sz w:val="14"/>
              </w:rPr>
              <w:t>Average</w:t>
            </w:r>
            <w:r>
              <w:rPr>
                <w:sz w:val="14"/>
              </w:rPr>
              <w:br/>
            </w:r>
            <w:r>
              <w:rPr>
                <w:rFonts w:ascii="Arial;Helvetica;Sans-Serif" w:hAnsi="Arial;Helvetica;Sans-Serif"/>
                <w:b/>
                <w:sz w:val="14"/>
              </w:rPr>
              <w:t>Non-CEO</w:t>
            </w:r>
            <w:r>
              <w:rPr>
                <w:sz w:val="14"/>
              </w:rPr>
              <w:br/>
            </w:r>
            <w:r>
              <w:rPr>
                <w:rFonts w:ascii="Arial;Helvetica;Sans-Serif" w:hAnsi="Arial;Helvetica;Sans-Serif"/>
                <w:b/>
                <w:sz w:val="14"/>
              </w:rPr>
              <w:t>NEOs</w:t>
            </w:r>
            <w:r>
              <w:rPr>
                <w:sz w:val="14"/>
              </w:rPr>
              <w:br/>
            </w:r>
            <w:r>
              <w:rPr>
                <w:rFonts w:ascii="Arial;Helvetica;Sans-Serif" w:hAnsi="Arial;Helvetica;Sans-Serif"/>
                <w:b/>
                <w:sz w:val="14"/>
              </w:rPr>
              <w:t>($)</w:t>
            </w:r>
          </w:p>
        </w:tc>
        <w:tc>
          <w:tcPr>
            <w:tcW w:w="635" w:type="dxa"/>
            <w:tcBorders>
              <w:right w:val="single" w:sz="8" w:space="0" w:color="FFFFFF"/>
            </w:tcBorders>
            <w:shd w:fill="D2D6E4" w:val="clear"/>
            <w:vAlign w:val="center"/>
          </w:tcPr>
          <w:p>
            <w:pPr>
              <w:pStyle w:val="TableContents"/>
              <w:bidi w:val="0"/>
              <w:spacing w:before="0" w:after="283"/>
              <w:jc w:val="center"/>
              <w:rPr/>
            </w:pPr>
            <w:r>
              <w:rPr>
                <w:rFonts w:ascii="Arial;Helvetica;Sans-Serif" w:hAnsi="Arial;Helvetica;Sans-Serif"/>
                <w:b/>
                <w:sz w:val="14"/>
              </w:rPr>
              <w:t>CEO</w:t>
            </w:r>
            <w:r>
              <w:rPr>
                <w:sz w:val="14"/>
              </w:rPr>
              <w:br/>
            </w:r>
            <w:r>
              <w:rPr>
                <w:rFonts w:ascii="Arial;Helvetica;Sans-Serif" w:hAnsi="Arial;Helvetica;Sans-Serif"/>
                <w:b/>
                <w:sz w:val="14"/>
              </w:rPr>
              <w:t>($)</w:t>
            </w:r>
          </w:p>
        </w:tc>
        <w:tc>
          <w:tcPr>
            <w:tcW w:w="580" w:type="dxa"/>
            <w:tcBorders>
              <w:right w:val="single" w:sz="8" w:space="0" w:color="FFFFFF"/>
            </w:tcBorders>
            <w:shd w:fill="D2D6E4" w:val="clear"/>
            <w:vAlign w:val="center"/>
          </w:tcPr>
          <w:p>
            <w:pPr>
              <w:pStyle w:val="TableContents"/>
              <w:bidi w:val="0"/>
              <w:spacing w:before="0" w:after="283"/>
              <w:jc w:val="center"/>
              <w:rPr/>
            </w:pPr>
            <w:r>
              <w:rPr>
                <w:rFonts w:ascii="Arial;Helvetica;Sans-Serif" w:hAnsi="Arial;Helvetica;Sans-Serif"/>
                <w:b/>
                <w:sz w:val="14"/>
              </w:rPr>
              <w:t>Average</w:t>
            </w:r>
            <w:r>
              <w:rPr>
                <w:sz w:val="14"/>
              </w:rPr>
              <w:br/>
            </w:r>
            <w:r>
              <w:rPr>
                <w:rFonts w:ascii="Arial;Helvetica;Sans-Serif" w:hAnsi="Arial;Helvetica;Sans-Serif"/>
                <w:b/>
                <w:sz w:val="14"/>
              </w:rPr>
              <w:t>Non-</w:t>
            </w:r>
            <w:r>
              <w:rPr>
                <w:sz w:val="14"/>
              </w:rPr>
              <w:br/>
            </w:r>
            <w:r>
              <w:rPr>
                <w:rFonts w:ascii="Arial;Helvetica;Sans-Serif" w:hAnsi="Arial;Helvetica;Sans-Serif"/>
                <w:b/>
                <w:sz w:val="14"/>
              </w:rPr>
              <w:t>CEO</w:t>
            </w:r>
            <w:r>
              <w:rPr>
                <w:sz w:val="14"/>
              </w:rPr>
              <w:br/>
            </w:r>
            <w:r>
              <w:rPr>
                <w:rFonts w:ascii="Arial;Helvetica;Sans-Serif" w:hAnsi="Arial;Helvetica;Sans-Serif"/>
                <w:b/>
                <w:sz w:val="14"/>
              </w:rPr>
              <w:t>NEOs</w:t>
            </w:r>
            <w:r>
              <w:rPr>
                <w:sz w:val="14"/>
              </w:rPr>
              <w:br/>
            </w:r>
            <w:r>
              <w:rPr>
                <w:rFonts w:ascii="Arial;Helvetica;Sans-Serif" w:hAnsi="Arial;Helvetica;Sans-Serif"/>
                <w:b/>
                <w:sz w:val="14"/>
              </w:rPr>
              <w:t>($)</w:t>
            </w:r>
          </w:p>
        </w:tc>
        <w:tc>
          <w:tcPr>
            <w:tcW w:w="635" w:type="dxa"/>
            <w:tcBorders>
              <w:right w:val="single" w:sz="8" w:space="0" w:color="FFFFFF"/>
            </w:tcBorders>
            <w:shd w:fill="D2D6E4" w:val="clear"/>
            <w:vAlign w:val="center"/>
          </w:tcPr>
          <w:p>
            <w:pPr>
              <w:pStyle w:val="TableContents"/>
              <w:bidi w:val="0"/>
              <w:spacing w:before="0" w:after="283"/>
              <w:jc w:val="center"/>
              <w:rPr/>
            </w:pPr>
            <w:r>
              <w:rPr>
                <w:rFonts w:ascii="Arial;Helvetica;Sans-Serif" w:hAnsi="Arial;Helvetica;Sans-Serif"/>
                <w:b/>
                <w:sz w:val="14"/>
              </w:rPr>
              <w:t>CEO</w:t>
            </w:r>
            <w:r>
              <w:rPr>
                <w:sz w:val="14"/>
              </w:rPr>
              <w:br/>
            </w:r>
            <w:r>
              <w:rPr>
                <w:rFonts w:ascii="Arial;Helvetica;Sans-Serif" w:hAnsi="Arial;Helvetica;Sans-Serif"/>
                <w:b/>
                <w:sz w:val="14"/>
              </w:rPr>
              <w:t>($)</w:t>
            </w:r>
          </w:p>
        </w:tc>
        <w:tc>
          <w:tcPr>
            <w:tcW w:w="598" w:type="dxa"/>
            <w:tcBorders/>
            <w:shd w:fill="D2D6E4" w:val="clear"/>
            <w:tcMar>
              <w:right w:w="0" w:type="dxa"/>
            </w:tcMar>
            <w:vAlign w:val="center"/>
          </w:tcPr>
          <w:p>
            <w:pPr>
              <w:pStyle w:val="TableContents"/>
              <w:bidi w:val="0"/>
              <w:spacing w:before="0" w:after="283"/>
              <w:jc w:val="center"/>
              <w:rPr/>
            </w:pPr>
            <w:r>
              <w:rPr>
                <w:rFonts w:ascii="Arial;Helvetica;Sans-Serif" w:hAnsi="Arial;Helvetica;Sans-Serif"/>
                <w:b/>
                <w:sz w:val="14"/>
              </w:rPr>
              <w:t>Average</w:t>
            </w:r>
            <w:r>
              <w:rPr>
                <w:sz w:val="14"/>
              </w:rPr>
              <w:br/>
            </w:r>
            <w:r>
              <w:rPr>
                <w:rFonts w:ascii="Arial;Helvetica;Sans-Serif" w:hAnsi="Arial;Helvetica;Sans-Serif"/>
                <w:b/>
                <w:sz w:val="14"/>
              </w:rPr>
              <w:t>Non-</w:t>
            </w:r>
            <w:r>
              <w:rPr>
                <w:sz w:val="14"/>
              </w:rPr>
              <w:br/>
            </w:r>
            <w:r>
              <w:rPr>
                <w:rFonts w:ascii="Arial;Helvetica;Sans-Serif" w:hAnsi="Arial;Helvetica;Sans-Serif"/>
                <w:b/>
                <w:sz w:val="14"/>
              </w:rPr>
              <w:t>CEO</w:t>
            </w:r>
            <w:r>
              <w:rPr>
                <w:sz w:val="14"/>
              </w:rPr>
              <w:br/>
            </w:r>
            <w:r>
              <w:rPr>
                <w:rFonts w:ascii="Arial;Helvetica;Sans-Serif" w:hAnsi="Arial;Helvetica;Sans-Serif"/>
                <w:b/>
                <w:sz w:val="14"/>
              </w:rPr>
              <w:t>NEOs</w:t>
            </w:r>
            <w:r>
              <w:rPr>
                <w:sz w:val="14"/>
              </w:rPr>
              <w:br/>
            </w:r>
            <w:r>
              <w:rPr>
                <w:rFonts w:ascii="Arial;Helvetica;Sans-Serif" w:hAnsi="Arial;Helvetica;Sans-Serif"/>
                <w:b/>
                <w:sz w:val="14"/>
              </w:rPr>
              <w:t>($)</w:t>
            </w:r>
          </w:p>
        </w:tc>
      </w:tr>
      <w:tr>
        <w:trPr/>
        <w:tc>
          <w:tcPr>
            <w:tcW w:w="3872" w:type="dxa"/>
            <w:tcBorders>
              <w:bottom w:val="single" w:sz="8" w:space="0" w:color="E5F5FD"/>
              <w:right w:val="single" w:sz="8" w:space="0" w:color="E6F5FD"/>
            </w:tcBorders>
            <w:tcMar>
              <w:bottom w:w="28" w:type="dxa"/>
            </w:tcM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Total Compensation from Summary Compensation Table</w:t>
            </w:r>
            <w:bookmarkStart w:id="153" w:name="xdx_98B_eecd--PeoTotalCompAmt_c20241101_"/>
            <w:bookmarkEnd w:id="153"/>
          </w:p>
        </w:tc>
        <w:tc>
          <w:tcPr>
            <w:tcW w:w="635" w:type="dxa"/>
            <w:tcBorders>
              <w:bottom w:val="single" w:sz="8" w:space="0" w:color="E5F5FD"/>
              <w:right w:val="single" w:sz="8" w:space="0" w:color="E6F5FD"/>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1,277,951</w:t>
            </w:r>
            <w:bookmarkStart w:id="154" w:name="xdx_98D_eecd--NonPeoNeoAvgTotalCompAmt_c"/>
            <w:bookmarkEnd w:id="154"/>
          </w:p>
        </w:tc>
        <w:tc>
          <w:tcPr>
            <w:tcW w:w="580" w:type="dxa"/>
            <w:tcBorders>
              <w:bottom w:val="single" w:sz="8" w:space="0" w:color="E5F5FD"/>
              <w:right w:val="single" w:sz="8" w:space="0" w:color="E6F5FD"/>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742,805</w:t>
            </w:r>
            <w:bookmarkStart w:id="155" w:name="xdx_984_eecd--PeoTotalCompAmt_c20231101_"/>
            <w:bookmarkEnd w:id="155"/>
          </w:p>
        </w:tc>
        <w:tc>
          <w:tcPr>
            <w:tcW w:w="635" w:type="dxa"/>
            <w:tcBorders>
              <w:bottom w:val="single" w:sz="8" w:space="0" w:color="E5F5FD"/>
              <w:right w:val="single" w:sz="8" w:space="0" w:color="E6F5FD"/>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2,498,908</w:t>
            </w:r>
            <w:bookmarkStart w:id="156" w:name="xdx_985_eecd--NonPeoNeoAvgTotalCompAmt_c"/>
            <w:bookmarkEnd w:id="156"/>
          </w:p>
        </w:tc>
        <w:tc>
          <w:tcPr>
            <w:tcW w:w="635" w:type="dxa"/>
            <w:tcBorders>
              <w:bottom w:val="single" w:sz="8" w:space="0" w:color="E5F5FD"/>
              <w:right w:val="single" w:sz="8" w:space="0" w:color="E6F5FD"/>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1,482,822</w:t>
            </w:r>
            <w:bookmarkStart w:id="157" w:name="xdx_98E_eecd--PeoTotalCompAmt_c20221101_"/>
            <w:bookmarkEnd w:id="157"/>
          </w:p>
        </w:tc>
        <w:tc>
          <w:tcPr>
            <w:tcW w:w="700" w:type="dxa"/>
            <w:tcBorders>
              <w:bottom w:val="single" w:sz="8" w:space="0" w:color="E5F5FD"/>
              <w:right w:val="single" w:sz="8" w:space="0" w:color="E6F5FD"/>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3,653,352</w:t>
            </w:r>
            <w:bookmarkStart w:id="158" w:name="xdx_98F_eecd--NonPeoNeoAvgTotalCompAmt_c"/>
            <w:bookmarkEnd w:id="158"/>
          </w:p>
        </w:tc>
        <w:tc>
          <w:tcPr>
            <w:tcW w:w="700" w:type="dxa"/>
            <w:tcBorders>
              <w:bottom w:val="single" w:sz="8" w:space="0" w:color="E5F5FD"/>
              <w:right w:val="single" w:sz="8" w:space="0" w:color="E6F5FD"/>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2,160,670</w:t>
            </w:r>
            <w:bookmarkStart w:id="159" w:name="xdx_98D_eecd--PeoTotalCompAmt_c20211101_"/>
            <w:bookmarkEnd w:id="159"/>
          </w:p>
        </w:tc>
        <w:tc>
          <w:tcPr>
            <w:tcW w:w="635" w:type="dxa"/>
            <w:tcBorders>
              <w:bottom w:val="single" w:sz="8" w:space="0" w:color="E5F5FD"/>
              <w:right w:val="single" w:sz="8" w:space="0" w:color="E6F5FD"/>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2,001,234</w:t>
            </w:r>
            <w:bookmarkStart w:id="160" w:name="xdx_985_eecd--NonPeoNeoAvgTotalCompAmt_c"/>
            <w:bookmarkEnd w:id="160"/>
          </w:p>
        </w:tc>
        <w:tc>
          <w:tcPr>
            <w:tcW w:w="580" w:type="dxa"/>
            <w:tcBorders>
              <w:bottom w:val="single" w:sz="8" w:space="0" w:color="E5F5FD"/>
              <w:right w:val="single" w:sz="8" w:space="0" w:color="E6F5FD"/>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866,917</w:t>
            </w:r>
            <w:bookmarkStart w:id="161" w:name="xdx_98B_eecd--PeoTotalCompAmt_c20201101_"/>
            <w:bookmarkEnd w:id="161"/>
          </w:p>
        </w:tc>
        <w:tc>
          <w:tcPr>
            <w:tcW w:w="635" w:type="dxa"/>
            <w:tcBorders>
              <w:bottom w:val="single" w:sz="8" w:space="0" w:color="E5F5FD"/>
              <w:right w:val="single" w:sz="8" w:space="0" w:color="E3F2E7"/>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1,319,648</w:t>
            </w:r>
            <w:bookmarkStart w:id="162" w:name="xdx_986_eecd--NonPeoNeoAvgTotalCompAmt_c"/>
            <w:bookmarkEnd w:id="162"/>
          </w:p>
        </w:tc>
        <w:tc>
          <w:tcPr>
            <w:tcW w:w="598" w:type="dxa"/>
            <w:tcBorders>
              <w:bottom w:val="single" w:sz="8" w:space="0" w:color="E5F5FD"/>
            </w:tcBorders>
            <w:tcMar>
              <w:bottom w:w="28" w:type="dxa"/>
              <w:righ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761,867</w:t>
            </w:r>
          </w:p>
        </w:tc>
      </w:tr>
      <w:tr>
        <w:trPr/>
        <w:tc>
          <w:tcPr>
            <w:tcW w:w="3872"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Less: Change in Pension Value per the Summary Compensation Table</w:t>
            </w:r>
            <w:bookmarkStart w:id="163" w:name="xdx_98B_eecd--AdjToCompAmt_c20241101__20"/>
            <w:bookmarkEnd w:id="163"/>
          </w:p>
        </w:tc>
        <w:tc>
          <w:tcPr>
            <w:tcW w:w="635"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right"/>
              <w:rPr/>
            </w:pPr>
            <w:r>
              <w:rPr/>
              <w:t>—</w:t>
            </w:r>
            <w:bookmarkStart w:id="164" w:name="xdx_98A_eecd--AdjToCompAmt_c20241101__20"/>
            <w:bookmarkEnd w:id="164"/>
          </w:p>
        </w:tc>
        <w:tc>
          <w:tcPr>
            <w:tcW w:w="580"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right"/>
              <w:rPr/>
            </w:pPr>
            <w:r>
              <w:rPr/>
              <w:t>—</w:t>
            </w:r>
            <w:bookmarkStart w:id="165" w:name="xdx_980_eecd--AdjToCompAmt_c20231101__20"/>
            <w:bookmarkEnd w:id="165"/>
          </w:p>
        </w:tc>
        <w:tc>
          <w:tcPr>
            <w:tcW w:w="635"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right"/>
              <w:rPr/>
            </w:pPr>
            <w:r>
              <w:rPr/>
              <w:t>—</w:t>
            </w:r>
            <w:bookmarkStart w:id="166" w:name="xdx_985_eecd--AdjToCompAmt_c20231101__20"/>
            <w:bookmarkEnd w:id="166"/>
          </w:p>
        </w:tc>
        <w:tc>
          <w:tcPr>
            <w:tcW w:w="635"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right"/>
              <w:rPr/>
            </w:pPr>
            <w:r>
              <w:rPr/>
              <w:t>—</w:t>
            </w:r>
            <w:bookmarkStart w:id="167" w:name="xdx_989_eecd--AdjToCompAmt_c20221101__20"/>
            <w:bookmarkEnd w:id="167"/>
          </w:p>
        </w:tc>
        <w:tc>
          <w:tcPr>
            <w:tcW w:w="700"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right"/>
              <w:rPr/>
            </w:pPr>
            <w:r>
              <w:rPr/>
              <w:t>—</w:t>
            </w:r>
            <w:bookmarkStart w:id="168" w:name="xdx_98E_eecd--AdjToCompAmt_c20221101__20"/>
            <w:bookmarkEnd w:id="168"/>
          </w:p>
        </w:tc>
        <w:tc>
          <w:tcPr>
            <w:tcW w:w="700"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right"/>
              <w:rPr/>
            </w:pPr>
            <w:r>
              <w:rPr/>
              <w:t>—</w:t>
            </w:r>
            <w:bookmarkStart w:id="169" w:name="xdx_989_eecd--AdjToCompAmt_c20211101__20"/>
            <w:bookmarkEnd w:id="169"/>
          </w:p>
        </w:tc>
        <w:tc>
          <w:tcPr>
            <w:tcW w:w="635"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right"/>
              <w:rPr/>
            </w:pPr>
            <w:r>
              <w:rPr/>
              <w:t>—</w:t>
            </w:r>
            <w:bookmarkStart w:id="170" w:name="xdx_984_eecd--AdjToCompAmt_c20211101__20"/>
            <w:bookmarkEnd w:id="170"/>
          </w:p>
        </w:tc>
        <w:tc>
          <w:tcPr>
            <w:tcW w:w="580"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right"/>
              <w:rPr/>
            </w:pPr>
            <w:r>
              <w:rPr/>
              <w:t>—</w:t>
            </w:r>
            <w:bookmarkStart w:id="171" w:name="xdx_982_eecd--AdjToCompAmt_c20201101__20"/>
            <w:bookmarkEnd w:id="171"/>
          </w:p>
        </w:tc>
        <w:tc>
          <w:tcPr>
            <w:tcW w:w="635" w:type="dxa"/>
            <w:tcBorders>
              <w:bottom w:val="single" w:sz="8" w:space="0" w:color="E5F5FD"/>
              <w:right w:val="single" w:sz="8" w:space="0" w:color="E3F2E7"/>
            </w:tcBorders>
            <w:shd w:fill="E6F5FD" w:val="clear"/>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(134)</w:t>
            </w:r>
            <w:bookmarkStart w:id="172" w:name="xdx_987_eecd--AdjToCompAmt_c20201101__20"/>
            <w:bookmarkEnd w:id="172"/>
          </w:p>
        </w:tc>
        <w:tc>
          <w:tcPr>
            <w:tcW w:w="598" w:type="dxa"/>
            <w:tcBorders>
              <w:bottom w:val="single" w:sz="8" w:space="0" w:color="E5F5FD"/>
            </w:tcBorders>
            <w:shd w:fill="E6F5FD" w:val="clear"/>
            <w:tcMar>
              <w:bottom w:w="28" w:type="dxa"/>
              <w:right w:w="0" w:type="dxa"/>
            </w:tcMar>
            <w:vAlign w:val="center"/>
          </w:tcPr>
          <w:p>
            <w:pPr>
              <w:pStyle w:val="TableContents"/>
              <w:bidi w:val="0"/>
              <w:spacing w:before="0" w:after="283"/>
              <w:jc w:val="right"/>
              <w:rPr/>
            </w:pPr>
            <w:r>
              <w:rPr/>
              <w:t>—</w:t>
            </w:r>
          </w:p>
        </w:tc>
      </w:tr>
      <w:tr>
        <w:trPr/>
        <w:tc>
          <w:tcPr>
            <w:tcW w:w="3872" w:type="dxa"/>
            <w:tcBorders>
              <w:bottom w:val="single" w:sz="8" w:space="0" w:color="E5F5FD"/>
              <w:right w:val="single" w:sz="8" w:space="0" w:color="E6F5FD"/>
            </w:tcBorders>
            <w:tcMar>
              <w:bottom w:w="28"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Less: Stock Awards per the Summary Compensation Table</w:t>
            </w:r>
            <w:bookmarkStart w:id="173" w:name="xdx_98D_eecd--AdjToCompAmt_c20241101__20"/>
            <w:bookmarkEnd w:id="173"/>
          </w:p>
        </w:tc>
        <w:tc>
          <w:tcPr>
            <w:tcW w:w="635" w:type="dxa"/>
            <w:tcBorders>
              <w:bottom w:val="single" w:sz="8" w:space="0" w:color="E5F5FD"/>
              <w:right w:val="single" w:sz="8" w:space="0" w:color="E6F5FD"/>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(499,997)</w:t>
            </w:r>
            <w:bookmarkStart w:id="174" w:name="xdx_98A_eecd--AdjToCompAmt_c20241101__20"/>
            <w:bookmarkEnd w:id="174"/>
          </w:p>
        </w:tc>
        <w:tc>
          <w:tcPr>
            <w:tcW w:w="580" w:type="dxa"/>
            <w:tcBorders>
              <w:bottom w:val="single" w:sz="8" w:space="0" w:color="E5F5FD"/>
              <w:right w:val="single" w:sz="8" w:space="0" w:color="E6F5FD"/>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(250,011)</w:t>
            </w:r>
            <w:bookmarkStart w:id="175" w:name="xdx_98C_eecd--AdjToCompAmt_c20231101__20"/>
            <w:bookmarkEnd w:id="175"/>
          </w:p>
        </w:tc>
        <w:tc>
          <w:tcPr>
            <w:tcW w:w="635" w:type="dxa"/>
            <w:tcBorders>
              <w:bottom w:val="single" w:sz="8" w:space="0" w:color="E5F5FD"/>
              <w:right w:val="single" w:sz="8" w:space="0" w:color="E6F5FD"/>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(955,704)</w:t>
            </w:r>
            <w:bookmarkStart w:id="176" w:name="xdx_98D_eecd--AdjToCompAmt_c20231101__20"/>
            <w:bookmarkEnd w:id="176"/>
          </w:p>
        </w:tc>
        <w:tc>
          <w:tcPr>
            <w:tcW w:w="635" w:type="dxa"/>
            <w:tcBorders>
              <w:bottom w:val="single" w:sz="8" w:space="0" w:color="E5F5FD"/>
              <w:right w:val="single" w:sz="8" w:space="0" w:color="E6F5FD"/>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(523,422)</w:t>
            </w:r>
            <w:bookmarkStart w:id="177" w:name="xdx_988_eecd--AdjToCompAmt_c20221101__20"/>
            <w:bookmarkEnd w:id="177"/>
          </w:p>
        </w:tc>
        <w:tc>
          <w:tcPr>
            <w:tcW w:w="700" w:type="dxa"/>
            <w:tcBorders>
              <w:bottom w:val="single" w:sz="8" w:space="0" w:color="E5F5FD"/>
              <w:right w:val="single" w:sz="8" w:space="0" w:color="E6F5FD"/>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(1,766,543)</w:t>
            </w:r>
            <w:bookmarkStart w:id="178" w:name="xdx_98F_eecd--AdjToCompAmt_c20221101__20"/>
            <w:bookmarkEnd w:id="178"/>
          </w:p>
        </w:tc>
        <w:tc>
          <w:tcPr>
            <w:tcW w:w="700" w:type="dxa"/>
            <w:tcBorders>
              <w:bottom w:val="single" w:sz="8" w:space="0" w:color="E5F5FD"/>
              <w:right w:val="single" w:sz="8" w:space="0" w:color="E6F5FD"/>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(1,016,200)</w:t>
            </w:r>
            <w:bookmarkStart w:id="179" w:name="xdx_983_eecd--AdjToCompAmt_c20211101__20"/>
            <w:bookmarkEnd w:id="179"/>
          </w:p>
        </w:tc>
        <w:tc>
          <w:tcPr>
            <w:tcW w:w="635" w:type="dxa"/>
            <w:tcBorders>
              <w:bottom w:val="single" w:sz="8" w:space="0" w:color="E5F5FD"/>
              <w:right w:val="single" w:sz="8" w:space="0" w:color="E6F5FD"/>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(825,550)</w:t>
            </w:r>
            <w:bookmarkStart w:id="180" w:name="xdx_98B_eecd--AdjToCompAmt_c20211101__20"/>
            <w:bookmarkEnd w:id="180"/>
          </w:p>
        </w:tc>
        <w:tc>
          <w:tcPr>
            <w:tcW w:w="580" w:type="dxa"/>
            <w:tcBorders>
              <w:bottom w:val="single" w:sz="8" w:space="0" w:color="E5F5FD"/>
              <w:right w:val="single" w:sz="8" w:space="0" w:color="E6F5FD"/>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(266,983)</w:t>
            </w:r>
            <w:bookmarkStart w:id="181" w:name="xdx_987_eecd--AdjToCompAmt_c20201101__20"/>
            <w:bookmarkEnd w:id="181"/>
          </w:p>
        </w:tc>
        <w:tc>
          <w:tcPr>
            <w:tcW w:w="635" w:type="dxa"/>
            <w:tcBorders>
              <w:bottom w:val="single" w:sz="8" w:space="0" w:color="E5F5FD"/>
              <w:right w:val="single" w:sz="8" w:space="0" w:color="E3F2E7"/>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(610,400)</w:t>
            </w:r>
            <w:bookmarkStart w:id="182" w:name="xdx_989_eecd--AdjToCompAmt_c20201101__20"/>
            <w:bookmarkEnd w:id="182"/>
          </w:p>
        </w:tc>
        <w:tc>
          <w:tcPr>
            <w:tcW w:w="598" w:type="dxa"/>
            <w:tcBorders>
              <w:bottom w:val="single" w:sz="8" w:space="0" w:color="E5F5FD"/>
            </w:tcBorders>
            <w:tcMar>
              <w:bottom w:w="28" w:type="dxa"/>
              <w:righ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(305,200)</w:t>
            </w:r>
          </w:p>
        </w:tc>
      </w:tr>
      <w:tr>
        <w:trPr/>
        <w:tc>
          <w:tcPr>
            <w:tcW w:w="3872"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Add: Year-end fair value of unvested awards granted in the current year</w:t>
            </w:r>
            <w:bookmarkStart w:id="183" w:name="xdx_987_eecd--AdjToCompAmt_c20241101__20"/>
            <w:bookmarkEnd w:id="183"/>
          </w:p>
        </w:tc>
        <w:tc>
          <w:tcPr>
            <w:tcW w:w="635"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297,620</w:t>
            </w:r>
            <w:bookmarkStart w:id="184" w:name="xdx_98E_eecd--AdjToCompAmt_c20241101__20"/>
            <w:bookmarkEnd w:id="184"/>
          </w:p>
        </w:tc>
        <w:tc>
          <w:tcPr>
            <w:tcW w:w="580"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150,923</w:t>
            </w:r>
            <w:bookmarkStart w:id="185" w:name="xdx_98C_eecd--AdjToCompAmt_c20231101__20"/>
            <w:bookmarkEnd w:id="185"/>
          </w:p>
        </w:tc>
        <w:tc>
          <w:tcPr>
            <w:tcW w:w="635"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1,615,397</w:t>
            </w:r>
            <w:bookmarkStart w:id="186" w:name="xdx_985_eecd--AdjToCompAmt_c20231101__20"/>
            <w:bookmarkEnd w:id="186"/>
          </w:p>
        </w:tc>
        <w:tc>
          <w:tcPr>
            <w:tcW w:w="635"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903,323</w:t>
            </w:r>
            <w:bookmarkStart w:id="187" w:name="xdx_981_eecd--AdjToCompAmt_c20221101__20"/>
            <w:bookmarkEnd w:id="187"/>
          </w:p>
        </w:tc>
        <w:tc>
          <w:tcPr>
            <w:tcW w:w="700"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1,744,738</w:t>
            </w:r>
            <w:bookmarkStart w:id="188" w:name="xdx_98F_eecd--AdjToCompAmt_c20221101__20"/>
            <w:bookmarkEnd w:id="188"/>
          </w:p>
        </w:tc>
        <w:tc>
          <w:tcPr>
            <w:tcW w:w="700"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1,094,443</w:t>
            </w:r>
            <w:bookmarkStart w:id="189" w:name="xdx_986_eecd--AdjToCompAmt_c20211101__20"/>
            <w:bookmarkEnd w:id="189"/>
          </w:p>
        </w:tc>
        <w:tc>
          <w:tcPr>
            <w:tcW w:w="635"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238,600</w:t>
            </w:r>
            <w:bookmarkStart w:id="190" w:name="xdx_987_eecd--AdjToCompAmt_c20211101__20"/>
            <w:bookmarkEnd w:id="190"/>
          </w:p>
        </w:tc>
        <w:tc>
          <w:tcPr>
            <w:tcW w:w="580"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59,650</w:t>
            </w:r>
            <w:bookmarkStart w:id="191" w:name="xdx_98F_eecd--AdjToCompAmt_c20201101__20"/>
            <w:bookmarkEnd w:id="191"/>
          </w:p>
        </w:tc>
        <w:tc>
          <w:tcPr>
            <w:tcW w:w="635" w:type="dxa"/>
            <w:tcBorders>
              <w:bottom w:val="single" w:sz="8" w:space="0" w:color="E5F5FD"/>
              <w:right w:val="single" w:sz="8" w:space="0" w:color="E3F2E7"/>
            </w:tcBorders>
            <w:shd w:fill="E6F5FD" w:val="clear"/>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430,123</w:t>
            </w:r>
            <w:bookmarkStart w:id="192" w:name="xdx_982_eecd--AdjToCompAmt_c20201101__20"/>
            <w:bookmarkEnd w:id="192"/>
          </w:p>
        </w:tc>
        <w:tc>
          <w:tcPr>
            <w:tcW w:w="598" w:type="dxa"/>
            <w:tcBorders>
              <w:bottom w:val="single" w:sz="8" w:space="0" w:color="E5F5FD"/>
            </w:tcBorders>
            <w:shd w:fill="E6F5FD" w:val="clear"/>
            <w:tcMar>
              <w:bottom w:w="28" w:type="dxa"/>
              <w:righ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215,061</w:t>
            </w:r>
          </w:p>
        </w:tc>
      </w:tr>
      <w:tr>
        <w:trPr/>
        <w:tc>
          <w:tcPr>
            <w:tcW w:w="3872" w:type="dxa"/>
            <w:tcBorders>
              <w:bottom w:val="single" w:sz="8" w:space="0" w:color="E5F5FD"/>
              <w:right w:val="single" w:sz="8" w:space="0" w:color="E6F5FD"/>
            </w:tcBorders>
            <w:tcMar>
              <w:bottom w:w="28"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Add: Year-over-year difference of year-end fair values for unvested awards granted in prior years</w:t>
            </w:r>
            <w:bookmarkStart w:id="193" w:name="xdx_98D_eecd--AdjToCompAmt_c20241101__20"/>
            <w:bookmarkEnd w:id="193"/>
          </w:p>
        </w:tc>
        <w:tc>
          <w:tcPr>
            <w:tcW w:w="635" w:type="dxa"/>
            <w:tcBorders>
              <w:bottom w:val="single" w:sz="8" w:space="0" w:color="E5F5FD"/>
              <w:right w:val="single" w:sz="8" w:space="0" w:color="E6F5FD"/>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(323,304)</w:t>
            </w:r>
            <w:bookmarkStart w:id="194" w:name="xdx_98B_eecd--AdjToCompAmt_c20241101__20"/>
            <w:bookmarkEnd w:id="194"/>
          </w:p>
        </w:tc>
        <w:tc>
          <w:tcPr>
            <w:tcW w:w="580" w:type="dxa"/>
            <w:tcBorders>
              <w:bottom w:val="single" w:sz="8" w:space="0" w:color="E5F5FD"/>
              <w:right w:val="single" w:sz="8" w:space="0" w:color="E6F5FD"/>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(167,724)</w:t>
            </w:r>
            <w:bookmarkStart w:id="195" w:name="xdx_981_eecd--AdjToCompAmt_c20231101__20"/>
            <w:bookmarkEnd w:id="195"/>
          </w:p>
        </w:tc>
        <w:tc>
          <w:tcPr>
            <w:tcW w:w="635" w:type="dxa"/>
            <w:tcBorders>
              <w:bottom w:val="single" w:sz="8" w:space="0" w:color="E5F5FD"/>
              <w:right w:val="single" w:sz="8" w:space="0" w:color="E6F5FD"/>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389,089</w:t>
            </w:r>
            <w:bookmarkStart w:id="196" w:name="xdx_98F_eecd--AdjToCompAmt_c20231101__20"/>
            <w:bookmarkEnd w:id="196"/>
          </w:p>
        </w:tc>
        <w:tc>
          <w:tcPr>
            <w:tcW w:w="635" w:type="dxa"/>
            <w:tcBorders>
              <w:bottom w:val="single" w:sz="8" w:space="0" w:color="E5F5FD"/>
              <w:right w:val="single" w:sz="8" w:space="0" w:color="E6F5FD"/>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208,148</w:t>
            </w:r>
            <w:bookmarkStart w:id="197" w:name="xdx_980_eecd--AdjToCompAmt_c20221101__20"/>
            <w:bookmarkEnd w:id="197"/>
          </w:p>
        </w:tc>
        <w:tc>
          <w:tcPr>
            <w:tcW w:w="700" w:type="dxa"/>
            <w:tcBorders>
              <w:bottom w:val="single" w:sz="8" w:space="0" w:color="E5F5FD"/>
              <w:right w:val="single" w:sz="8" w:space="0" w:color="E6F5FD"/>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23,600</w:t>
            </w:r>
            <w:bookmarkStart w:id="198" w:name="xdx_981_eecd--AdjToCompAmt_c20221101__20"/>
            <w:bookmarkEnd w:id="198"/>
          </w:p>
        </w:tc>
        <w:tc>
          <w:tcPr>
            <w:tcW w:w="700" w:type="dxa"/>
            <w:tcBorders>
              <w:bottom w:val="single" w:sz="8" w:space="0" w:color="E5F5FD"/>
              <w:right w:val="single" w:sz="8" w:space="0" w:color="E6F5FD"/>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11,800</w:t>
            </w:r>
            <w:bookmarkStart w:id="199" w:name="xdx_988_eecd--AdjToCompAmt_c20211101__20"/>
            <w:bookmarkEnd w:id="199"/>
          </w:p>
        </w:tc>
        <w:tc>
          <w:tcPr>
            <w:tcW w:w="635" w:type="dxa"/>
            <w:tcBorders>
              <w:bottom w:val="single" w:sz="8" w:space="0" w:color="E5F5FD"/>
              <w:right w:val="single" w:sz="8" w:space="0" w:color="E6F5FD"/>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(55,999)</w:t>
            </w:r>
            <w:bookmarkStart w:id="200" w:name="xdx_982_eecd--AdjToCompAmt_c20211101__20"/>
            <w:bookmarkEnd w:id="200"/>
          </w:p>
        </w:tc>
        <w:tc>
          <w:tcPr>
            <w:tcW w:w="580" w:type="dxa"/>
            <w:tcBorders>
              <w:bottom w:val="single" w:sz="8" w:space="0" w:color="E5F5FD"/>
              <w:right w:val="single" w:sz="8" w:space="0" w:color="E6F5FD"/>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(13,999)</w:t>
            </w:r>
            <w:bookmarkStart w:id="201" w:name="xdx_98E_eecd--AdjToCompAmt_c20201101__20"/>
            <w:bookmarkEnd w:id="201"/>
          </w:p>
        </w:tc>
        <w:tc>
          <w:tcPr>
            <w:tcW w:w="635" w:type="dxa"/>
            <w:tcBorders>
              <w:bottom w:val="single" w:sz="8" w:space="0" w:color="E5F5FD"/>
              <w:right w:val="single" w:sz="8" w:space="0" w:color="E3F2E7"/>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49,066</w:t>
            </w:r>
            <w:bookmarkStart w:id="202" w:name="xdx_987_eecd--AdjToCompAmt_c20201101__20"/>
            <w:bookmarkEnd w:id="202"/>
          </w:p>
        </w:tc>
        <w:tc>
          <w:tcPr>
            <w:tcW w:w="598" w:type="dxa"/>
            <w:tcBorders>
              <w:bottom w:val="single" w:sz="8" w:space="0" w:color="E5F5FD"/>
            </w:tcBorders>
            <w:tcMar>
              <w:bottom w:w="28" w:type="dxa"/>
              <w:righ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24,532</w:t>
            </w:r>
          </w:p>
        </w:tc>
      </w:tr>
      <w:tr>
        <w:trPr/>
        <w:tc>
          <w:tcPr>
            <w:tcW w:w="3872"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Add: Fair value at vest date for awards granted and vested in current year</w:t>
            </w:r>
            <w:bookmarkStart w:id="203" w:name="xdx_989_eecd--AdjToCompAmt_c20241101__20"/>
            <w:bookmarkEnd w:id="203"/>
          </w:p>
        </w:tc>
        <w:tc>
          <w:tcPr>
            <w:tcW w:w="635"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right"/>
              <w:rPr/>
            </w:pPr>
            <w:r>
              <w:rPr/>
              <w:t>—</w:t>
            </w:r>
            <w:bookmarkStart w:id="204" w:name="xdx_98E_eecd--AdjToCompAmt_c20241101__20"/>
            <w:bookmarkEnd w:id="204"/>
          </w:p>
        </w:tc>
        <w:tc>
          <w:tcPr>
            <w:tcW w:w="580"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right"/>
              <w:rPr/>
            </w:pPr>
            <w:r>
              <w:rPr/>
              <w:t>—</w:t>
            </w:r>
            <w:bookmarkStart w:id="205" w:name="xdx_987_eecd--AdjToCompAmt_c20231101__20"/>
            <w:bookmarkEnd w:id="205"/>
          </w:p>
        </w:tc>
        <w:tc>
          <w:tcPr>
            <w:tcW w:w="635"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302,424</w:t>
            </w:r>
            <w:bookmarkStart w:id="206" w:name="xdx_980_eecd--AdjToCompAmt_c20231101__20"/>
            <w:bookmarkEnd w:id="206"/>
          </w:p>
        </w:tc>
        <w:tc>
          <w:tcPr>
            <w:tcW w:w="635"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151,225</w:t>
            </w:r>
            <w:bookmarkStart w:id="207" w:name="xdx_988_eecd--AdjToCompAmt_c20221101__20"/>
            <w:bookmarkEnd w:id="207"/>
          </w:p>
        </w:tc>
        <w:tc>
          <w:tcPr>
            <w:tcW w:w="700"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right"/>
              <w:rPr/>
            </w:pPr>
            <w:r>
              <w:rPr/>
              <w:t>—</w:t>
            </w:r>
            <w:bookmarkStart w:id="208" w:name="xdx_98A_eecd--AdjToCompAmt_c20221101__20"/>
            <w:bookmarkEnd w:id="208"/>
          </w:p>
        </w:tc>
        <w:tc>
          <w:tcPr>
            <w:tcW w:w="700"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right"/>
              <w:rPr/>
            </w:pPr>
            <w:r>
              <w:rPr/>
              <w:t>—</w:t>
            </w:r>
            <w:bookmarkStart w:id="209" w:name="xdx_985_eecd--AdjToCompAmt_c20211101__20"/>
            <w:bookmarkEnd w:id="209"/>
          </w:p>
        </w:tc>
        <w:tc>
          <w:tcPr>
            <w:tcW w:w="635"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119,300</w:t>
            </w:r>
            <w:bookmarkStart w:id="210" w:name="xdx_984_eecd--AdjToCompAmt_c20211101__20"/>
            <w:bookmarkEnd w:id="210"/>
          </w:p>
        </w:tc>
        <w:tc>
          <w:tcPr>
            <w:tcW w:w="580"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29,825</w:t>
            </w:r>
            <w:bookmarkStart w:id="211" w:name="xdx_981_eecd--AdjToCompAmt_c20201101__20"/>
            <w:bookmarkEnd w:id="211"/>
          </w:p>
        </w:tc>
        <w:tc>
          <w:tcPr>
            <w:tcW w:w="635" w:type="dxa"/>
            <w:tcBorders>
              <w:bottom w:val="single" w:sz="8" w:space="0" w:color="E5F5FD"/>
              <w:right w:val="single" w:sz="8" w:space="0" w:color="E3F2E7"/>
            </w:tcBorders>
            <w:shd w:fill="E6F5FD" w:val="clear"/>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215,077</w:t>
            </w:r>
            <w:bookmarkStart w:id="212" w:name="xdx_98A_eecd--AdjToCompAmt_c20201101__20"/>
            <w:bookmarkEnd w:id="212"/>
          </w:p>
        </w:tc>
        <w:tc>
          <w:tcPr>
            <w:tcW w:w="598" w:type="dxa"/>
            <w:tcBorders>
              <w:bottom w:val="single" w:sz="8" w:space="0" w:color="E5F5FD"/>
            </w:tcBorders>
            <w:shd w:fill="E6F5FD" w:val="clear"/>
            <w:tcMar>
              <w:bottom w:w="28" w:type="dxa"/>
              <w:righ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107,539</w:t>
            </w:r>
          </w:p>
        </w:tc>
      </w:tr>
      <w:tr>
        <w:trPr/>
        <w:tc>
          <w:tcPr>
            <w:tcW w:w="3872" w:type="dxa"/>
            <w:tcBorders>
              <w:bottom w:val="single" w:sz="8" w:space="0" w:color="E5F5FD"/>
              <w:right w:val="single" w:sz="8" w:space="0" w:color="E6F5FD"/>
            </w:tcBorders>
            <w:tcMar>
              <w:bottom w:w="28" w:type="dxa"/>
            </w:tcMar>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Add: Difference in fair value between prior year-end fair value and vest date fair value for awards granted in prior years</w:t>
            </w:r>
            <w:bookmarkStart w:id="213" w:name="xdx_987_eecd--AdjToCompAmt_c20241101__20"/>
            <w:bookmarkEnd w:id="213"/>
          </w:p>
        </w:tc>
        <w:tc>
          <w:tcPr>
            <w:tcW w:w="635" w:type="dxa"/>
            <w:tcBorders>
              <w:bottom w:val="single" w:sz="8" w:space="0" w:color="E5F5FD"/>
              <w:right w:val="single" w:sz="8" w:space="0" w:color="E6F5FD"/>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(339,368)</w:t>
            </w:r>
            <w:bookmarkStart w:id="214" w:name="xdx_982_eecd--AdjToCompAmt_c20241101__20"/>
            <w:bookmarkEnd w:id="214"/>
          </w:p>
        </w:tc>
        <w:tc>
          <w:tcPr>
            <w:tcW w:w="580" w:type="dxa"/>
            <w:tcBorders>
              <w:bottom w:val="single" w:sz="8" w:space="0" w:color="E5F5FD"/>
              <w:right w:val="single" w:sz="8" w:space="0" w:color="E6F5FD"/>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(190,833)</w:t>
            </w:r>
            <w:bookmarkStart w:id="215" w:name="xdx_98F_eecd--AdjToCompAmt_c20231101__20"/>
            <w:bookmarkEnd w:id="215"/>
          </w:p>
        </w:tc>
        <w:tc>
          <w:tcPr>
            <w:tcW w:w="635" w:type="dxa"/>
            <w:tcBorders>
              <w:bottom w:val="single" w:sz="8" w:space="0" w:color="E5F5FD"/>
              <w:right w:val="single" w:sz="8" w:space="0" w:color="E6F5FD"/>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473,551</w:t>
            </w:r>
            <w:bookmarkStart w:id="216" w:name="xdx_985_eecd--AdjToCompAmt_c20231101__20"/>
            <w:bookmarkEnd w:id="216"/>
          </w:p>
        </w:tc>
        <w:tc>
          <w:tcPr>
            <w:tcW w:w="635" w:type="dxa"/>
            <w:tcBorders>
              <w:bottom w:val="single" w:sz="8" w:space="0" w:color="E5F5FD"/>
              <w:right w:val="single" w:sz="8" w:space="0" w:color="E6F5FD"/>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298,637</w:t>
            </w:r>
            <w:bookmarkStart w:id="217" w:name="xdx_98B_eecd--AdjToCompAmt_c20221101__20"/>
            <w:bookmarkEnd w:id="217"/>
          </w:p>
        </w:tc>
        <w:tc>
          <w:tcPr>
            <w:tcW w:w="700" w:type="dxa"/>
            <w:tcBorders>
              <w:bottom w:val="single" w:sz="8" w:space="0" w:color="E5F5FD"/>
              <w:right w:val="single" w:sz="8" w:space="0" w:color="E6F5FD"/>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55,066</w:t>
            </w:r>
            <w:bookmarkStart w:id="218" w:name="xdx_98F_eecd--AdjToCompAmt_c20221101__20"/>
            <w:bookmarkEnd w:id="218"/>
          </w:p>
        </w:tc>
        <w:tc>
          <w:tcPr>
            <w:tcW w:w="700" w:type="dxa"/>
            <w:tcBorders>
              <w:bottom w:val="single" w:sz="8" w:space="0" w:color="E5F5FD"/>
              <w:right w:val="single" w:sz="8" w:space="0" w:color="E6F5FD"/>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27,532</w:t>
            </w:r>
            <w:bookmarkStart w:id="219" w:name="xdx_982_eecd--AdjToCompAmt_c20211101__20"/>
            <w:bookmarkEnd w:id="219"/>
          </w:p>
        </w:tc>
        <w:tc>
          <w:tcPr>
            <w:tcW w:w="635" w:type="dxa"/>
            <w:tcBorders>
              <w:bottom w:val="single" w:sz="8" w:space="0" w:color="E5F5FD"/>
              <w:right w:val="single" w:sz="8" w:space="0" w:color="E6F5FD"/>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(145,597)</w:t>
            </w:r>
            <w:bookmarkStart w:id="220" w:name="xdx_98F_eecd--AdjToCompAmt_c20211101__20"/>
            <w:bookmarkEnd w:id="220"/>
          </w:p>
        </w:tc>
        <w:tc>
          <w:tcPr>
            <w:tcW w:w="580" w:type="dxa"/>
            <w:tcBorders>
              <w:bottom w:val="single" w:sz="8" w:space="0" w:color="E5F5FD"/>
              <w:right w:val="single" w:sz="8" w:space="0" w:color="E6F5FD"/>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(39,639)</w:t>
            </w:r>
            <w:bookmarkStart w:id="221" w:name="xdx_98F_eecd--AdjToCompAmt_c20201101__20"/>
            <w:bookmarkEnd w:id="221"/>
          </w:p>
        </w:tc>
        <w:tc>
          <w:tcPr>
            <w:tcW w:w="635" w:type="dxa"/>
            <w:tcBorders>
              <w:bottom w:val="single" w:sz="8" w:space="0" w:color="E5F5FD"/>
              <w:right w:val="single" w:sz="8" w:space="0" w:color="E3F2E7"/>
            </w:tcBorders>
            <w:tcMar>
              <w:bottom w:w="28"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49,066</w:t>
            </w:r>
            <w:bookmarkStart w:id="222" w:name="xdx_98C_eecd--AdjToCompAmt_c20201101__20"/>
            <w:bookmarkEnd w:id="222"/>
          </w:p>
        </w:tc>
        <w:tc>
          <w:tcPr>
            <w:tcW w:w="598" w:type="dxa"/>
            <w:tcBorders>
              <w:bottom w:val="single" w:sz="8" w:space="0" w:color="E5F5FD"/>
            </w:tcBorders>
            <w:tcMar>
              <w:bottom w:w="28" w:type="dxa"/>
              <w:right w:w="0" w:type="dxa"/>
            </w:tcMar>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24,534</w:t>
            </w:r>
          </w:p>
        </w:tc>
      </w:tr>
      <w:tr>
        <w:trPr/>
        <w:tc>
          <w:tcPr>
            <w:tcW w:w="3872"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left"/>
              <w:rPr>
                <w:rFonts w:ascii="Arial;Helvetica;Sans-Serif" w:hAnsi="Arial;Helvetica;Sans-Serif"/>
                <w:b/>
                <w:sz w:val="14"/>
              </w:rPr>
            </w:pPr>
            <w:r>
              <w:rPr>
                <w:rFonts w:ascii="Arial;Helvetica;Sans-Serif" w:hAnsi="Arial;Helvetica;Sans-Serif"/>
                <w:b/>
                <w:sz w:val="14"/>
              </w:rPr>
              <w:t>Compensation Actually Paid (as calculated)</w:t>
            </w:r>
            <w:bookmarkStart w:id="223" w:name="xdx_988_eecd--PeoActuallyPaidCompAmt_c20"/>
            <w:bookmarkEnd w:id="223"/>
          </w:p>
        </w:tc>
        <w:tc>
          <w:tcPr>
            <w:tcW w:w="635"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right"/>
              <w:rPr>
                <w:rFonts w:ascii="Arial;Helvetica;Sans-Serif" w:hAnsi="Arial;Helvetica;Sans-Serif"/>
                <w:b/>
                <w:sz w:val="14"/>
              </w:rPr>
            </w:pPr>
            <w:r>
              <w:rPr>
                <w:rFonts w:ascii="Arial;Helvetica;Sans-Serif" w:hAnsi="Arial;Helvetica;Sans-Serif"/>
                <w:b/>
                <w:sz w:val="14"/>
              </w:rPr>
              <w:t>412,902</w:t>
            </w:r>
            <w:bookmarkStart w:id="224" w:name="xdx_983_eecd--NonPeoNeoAvgCompActuallyPa"/>
            <w:bookmarkEnd w:id="224"/>
          </w:p>
        </w:tc>
        <w:tc>
          <w:tcPr>
            <w:tcW w:w="580"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right"/>
              <w:rPr>
                <w:rFonts w:ascii="Arial;Helvetica;Sans-Serif" w:hAnsi="Arial;Helvetica;Sans-Serif"/>
                <w:b/>
                <w:sz w:val="14"/>
              </w:rPr>
            </w:pPr>
            <w:r>
              <w:rPr>
                <w:rFonts w:ascii="Arial;Helvetica;Sans-Serif" w:hAnsi="Arial;Helvetica;Sans-Serif"/>
                <w:b/>
                <w:sz w:val="14"/>
              </w:rPr>
              <w:t>285,160</w:t>
            </w:r>
            <w:bookmarkStart w:id="225" w:name="xdx_981_eecd--PeoActuallyPaidCompAmt_c20"/>
            <w:bookmarkEnd w:id="225"/>
          </w:p>
        </w:tc>
        <w:tc>
          <w:tcPr>
            <w:tcW w:w="635"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right"/>
              <w:rPr>
                <w:rFonts w:ascii="Arial;Helvetica;Sans-Serif" w:hAnsi="Arial;Helvetica;Sans-Serif"/>
                <w:b/>
                <w:sz w:val="14"/>
              </w:rPr>
            </w:pPr>
            <w:r>
              <w:rPr>
                <w:rFonts w:ascii="Arial;Helvetica;Sans-Serif" w:hAnsi="Arial;Helvetica;Sans-Serif"/>
                <w:b/>
                <w:sz w:val="14"/>
              </w:rPr>
              <w:t>4,323,665</w:t>
            </w:r>
            <w:bookmarkStart w:id="226" w:name="xdx_98E_eecd--NonPeoNeoAvgCompActuallyPa"/>
            <w:bookmarkEnd w:id="226"/>
          </w:p>
        </w:tc>
        <w:tc>
          <w:tcPr>
            <w:tcW w:w="635"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right"/>
              <w:rPr>
                <w:rFonts w:ascii="Arial;Helvetica;Sans-Serif" w:hAnsi="Arial;Helvetica;Sans-Serif"/>
                <w:b/>
                <w:sz w:val="14"/>
              </w:rPr>
            </w:pPr>
            <w:r>
              <w:rPr>
                <w:rFonts w:ascii="Arial;Helvetica;Sans-Serif" w:hAnsi="Arial;Helvetica;Sans-Serif"/>
                <w:b/>
                <w:sz w:val="14"/>
              </w:rPr>
              <w:t>2,520,733</w:t>
            </w:r>
            <w:bookmarkStart w:id="227" w:name="xdx_987_eecd--PeoActuallyPaidCompAmt_c20"/>
            <w:bookmarkEnd w:id="227"/>
          </w:p>
        </w:tc>
        <w:tc>
          <w:tcPr>
            <w:tcW w:w="700"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right"/>
              <w:rPr>
                <w:rFonts w:ascii="Arial;Helvetica;Sans-Serif" w:hAnsi="Arial;Helvetica;Sans-Serif"/>
                <w:b/>
                <w:sz w:val="14"/>
              </w:rPr>
            </w:pPr>
            <w:r>
              <w:rPr>
                <w:rFonts w:ascii="Arial;Helvetica;Sans-Serif" w:hAnsi="Arial;Helvetica;Sans-Serif"/>
                <w:b/>
                <w:sz w:val="14"/>
              </w:rPr>
              <w:t>3,710,212</w:t>
            </w:r>
            <w:bookmarkStart w:id="228" w:name="xdx_985_eecd--NonPeoNeoAvgCompActuallyPa"/>
            <w:bookmarkEnd w:id="228"/>
          </w:p>
        </w:tc>
        <w:tc>
          <w:tcPr>
            <w:tcW w:w="700"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right"/>
              <w:rPr>
                <w:rFonts w:ascii="Arial;Helvetica;Sans-Serif" w:hAnsi="Arial;Helvetica;Sans-Serif"/>
                <w:b/>
                <w:sz w:val="14"/>
              </w:rPr>
            </w:pPr>
            <w:r>
              <w:rPr>
                <w:rFonts w:ascii="Arial;Helvetica;Sans-Serif" w:hAnsi="Arial;Helvetica;Sans-Serif"/>
                <w:b/>
                <w:sz w:val="14"/>
              </w:rPr>
              <w:t>2,278,244</w:t>
            </w:r>
            <w:bookmarkStart w:id="229" w:name="xdx_98D_eecd--PeoActuallyPaidCompAmt_c20"/>
            <w:bookmarkEnd w:id="229"/>
          </w:p>
        </w:tc>
        <w:tc>
          <w:tcPr>
            <w:tcW w:w="635"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right"/>
              <w:rPr>
                <w:rFonts w:ascii="Arial;Helvetica;Sans-Serif" w:hAnsi="Arial;Helvetica;Sans-Serif"/>
                <w:b/>
                <w:sz w:val="14"/>
              </w:rPr>
            </w:pPr>
            <w:r>
              <w:rPr>
                <w:rFonts w:ascii="Arial;Helvetica;Sans-Serif" w:hAnsi="Arial;Helvetica;Sans-Serif"/>
                <w:b/>
                <w:sz w:val="14"/>
              </w:rPr>
              <w:t>1,331,988</w:t>
            </w:r>
            <w:bookmarkStart w:id="230" w:name="xdx_982_eecd--NonPeoNeoAvgCompActuallyPa"/>
            <w:bookmarkEnd w:id="230"/>
          </w:p>
        </w:tc>
        <w:tc>
          <w:tcPr>
            <w:tcW w:w="580" w:type="dxa"/>
            <w:tcBorders>
              <w:bottom w:val="single" w:sz="8" w:space="0" w:color="E5F5FD"/>
              <w:right w:val="single" w:sz="8" w:space="0" w:color="E6F5FD"/>
            </w:tcBorders>
            <w:shd w:fill="E6F5FD" w:val="clear"/>
            <w:tcMar>
              <w:bottom w:w="28" w:type="dxa"/>
            </w:tcMar>
            <w:vAlign w:val="center"/>
          </w:tcPr>
          <w:p>
            <w:pPr>
              <w:pStyle w:val="TableContents"/>
              <w:bidi w:val="0"/>
              <w:spacing w:before="0" w:after="283"/>
              <w:jc w:val="right"/>
              <w:rPr>
                <w:rFonts w:ascii="Arial;Helvetica;Sans-Serif" w:hAnsi="Arial;Helvetica;Sans-Serif"/>
                <w:b/>
                <w:sz w:val="14"/>
              </w:rPr>
            </w:pPr>
            <w:r>
              <w:rPr>
                <w:rFonts w:ascii="Arial;Helvetica;Sans-Serif" w:hAnsi="Arial;Helvetica;Sans-Serif"/>
                <w:b/>
                <w:sz w:val="14"/>
              </w:rPr>
              <w:t>635,772</w:t>
            </w:r>
            <w:bookmarkStart w:id="231" w:name="xdx_988_eecd--PeoActuallyPaidCompAmt_c20"/>
            <w:bookmarkEnd w:id="231"/>
          </w:p>
        </w:tc>
        <w:tc>
          <w:tcPr>
            <w:tcW w:w="635" w:type="dxa"/>
            <w:tcBorders>
              <w:bottom w:val="single" w:sz="8" w:space="0" w:color="E5F5FD"/>
              <w:right w:val="single" w:sz="8" w:space="0" w:color="E3F2E7"/>
            </w:tcBorders>
            <w:shd w:fill="E6F5FD" w:val="clear"/>
            <w:tcMar>
              <w:bottom w:w="28" w:type="dxa"/>
            </w:tcMar>
            <w:vAlign w:val="center"/>
          </w:tcPr>
          <w:p>
            <w:pPr>
              <w:pStyle w:val="TableContents"/>
              <w:bidi w:val="0"/>
              <w:spacing w:before="0" w:after="283"/>
              <w:jc w:val="right"/>
              <w:rPr>
                <w:rFonts w:ascii="Arial;Helvetica;Sans-Serif" w:hAnsi="Arial;Helvetica;Sans-Serif"/>
                <w:b/>
                <w:sz w:val="14"/>
              </w:rPr>
            </w:pPr>
            <w:r>
              <w:rPr>
                <w:rFonts w:ascii="Arial;Helvetica;Sans-Serif" w:hAnsi="Arial;Helvetica;Sans-Serif"/>
                <w:b/>
                <w:sz w:val="14"/>
              </w:rPr>
              <w:t>1,452,446</w:t>
            </w:r>
            <w:bookmarkStart w:id="232" w:name="xdx_982_eecd--NonPeoNeoAvgCompActuallyPa"/>
            <w:bookmarkEnd w:id="232"/>
          </w:p>
        </w:tc>
        <w:tc>
          <w:tcPr>
            <w:tcW w:w="598" w:type="dxa"/>
            <w:tcBorders>
              <w:bottom w:val="single" w:sz="8" w:space="0" w:color="E5F5FD"/>
            </w:tcBorders>
            <w:shd w:fill="E6F5FD" w:val="clear"/>
            <w:tcMar>
              <w:bottom w:w="28" w:type="dxa"/>
              <w:right w:w="0" w:type="dxa"/>
            </w:tcMar>
            <w:vAlign w:val="center"/>
          </w:tcPr>
          <w:p>
            <w:pPr>
              <w:pStyle w:val="TableContents"/>
              <w:bidi w:val="0"/>
              <w:spacing w:before="0" w:after="283"/>
              <w:jc w:val="right"/>
              <w:rPr>
                <w:rFonts w:ascii="Arial;Helvetica;Sans-Serif" w:hAnsi="Arial;Helvetica;Sans-Serif"/>
                <w:b/>
                <w:sz w:val="14"/>
              </w:rPr>
            </w:pPr>
            <w:r>
              <w:rPr>
                <w:rFonts w:ascii="Arial;Helvetica;Sans-Serif" w:hAnsi="Arial;Helvetica;Sans-Serif"/>
                <w:b/>
                <w:sz w:val="14"/>
              </w:rPr>
              <w:t>828,332</w:t>
            </w:r>
          </w:p>
        </w:tc>
      </w:tr>
    </w:tbl>
    <w:p>
      <w:pPr>
        <w:pStyle w:val="TextBody"/>
        <w:bidi w:val="0"/>
        <w:jc w:val="left"/>
        <w:rPr>
          <w:bdr w:val="single" w:sz="8" w:space="1" w:color="2872A8"/>
        </w:rPr>
      </w:pPr>
      <w:bookmarkStart w:id="233" w:name="xdx_851_zMg4RReMMa8k"/>
      <w:bookmarkEnd w:id="233"/>
      <w:r>
        <w:rPr>
          <w:bdr w:val="single" w:sz="8" w:space="1" w:color="2872A8"/>
        </w:rPr>
        <w:t> </w:t>
      </w:r>
    </w:p>
    <w:p>
      <w:pPr>
        <w:pStyle w:val="TextBody"/>
        <w:bidi w:val="0"/>
        <w:jc w:val="left"/>
        <w:rPr>
          <w:bdr w:val="single" w:sz="8" w:space="1" w:color="2872A8"/>
        </w:rPr>
      </w:pPr>
      <w:bookmarkStart w:id="234" w:name="xdx_8AC_z15wXA8fir41"/>
      <w:bookmarkEnd w:id="234"/>
      <w:r>
        <w:rPr>
          <w:bdr w:val="single" w:sz="8" w:space="1" w:color="2872A8"/>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9663" w:type="dxa"/>
        <w:jc w:val="left"/>
        <w:tblInd w:w="0" w:type="dxa"/>
        <w:tblLayout w:type="fixed"/>
        <w:tblCellMar>
          <w:top w:w="0" w:type="dxa"/>
          <w:left w:w="0" w:type="dxa"/>
          <w:bottom w:w="0" w:type="dxa"/>
          <w:right w:w="0" w:type="dxa"/>
        </w:tblCellMar>
      </w:tblPr>
      <w:tblGrid>
        <w:gridCol w:w="38"/>
        <w:gridCol w:w="185"/>
        <w:gridCol w:w="9440"/>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14"/>
              </w:rPr>
            </w:pPr>
            <w:r>
              <w:rPr>
                <w:sz w:val="14"/>
              </w:rPr>
              <w:t>(3)</w:t>
            </w:r>
          </w:p>
        </w:tc>
        <w:tc>
          <w:tcPr>
            <w:tcW w:w="9440" w:type="dxa"/>
            <w:tcBorders/>
            <w:vAlign w:val="center"/>
          </w:tcPr>
          <w:p>
            <w:pPr>
              <w:pStyle w:val="TableContents"/>
              <w:bidi w:val="0"/>
              <w:spacing w:before="0" w:after="283"/>
              <w:jc w:val="left"/>
              <w:rPr>
                <w:sz w:val="14"/>
              </w:rPr>
            </w:pPr>
            <w:r>
              <w:rPr>
                <w:sz w:val="14"/>
              </w:rPr>
              <w:t>Non-CEO NEOs reflect the average Summary Compensation Table total compensation and average Compensation Actually Paid for the following executives by year:</w:t>
            </w:r>
          </w:p>
        </w:tc>
      </w:tr>
    </w:tbl>
    <w:p>
      <w:pPr>
        <w:pStyle w:val="TextBody"/>
        <w:bidi w:val="0"/>
        <w:spacing w:before="0" w:after="0"/>
        <w:ind w:left="360" w:right="0" w:hanging="0"/>
        <w:jc w:val="both"/>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2025: Mark Palamountain</w:t>
      </w:r>
    </w:p>
    <w:p>
      <w:pPr>
        <w:pStyle w:val="TextBody"/>
        <w:bidi w:val="0"/>
        <w:spacing w:before="0" w:after="0"/>
        <w:ind w:left="360" w:right="8060" w:hanging="0"/>
        <w:jc w:val="both"/>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2024: Mark Palamountain</w:t>
      </w:r>
    </w:p>
    <w:p>
      <w:pPr>
        <w:pStyle w:val="TextBody"/>
        <w:bidi w:val="0"/>
        <w:spacing w:before="0" w:after="0"/>
        <w:ind w:left="360" w:right="8060" w:hanging="0"/>
        <w:jc w:val="both"/>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2023: Mark Palamountain</w:t>
      </w:r>
    </w:p>
    <w:p>
      <w:pPr>
        <w:pStyle w:val="TextBody"/>
        <w:bidi w:val="0"/>
        <w:spacing w:before="0" w:after="0"/>
        <w:ind w:left="360" w:right="7180" w:hanging="0"/>
        <w:jc w:val="both"/>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2022: Mark Palamountain, Alex Teague</w:t>
      </w:r>
    </w:p>
    <w:p>
      <w:pPr>
        <w:pStyle w:val="TextBody"/>
        <w:bidi w:val="0"/>
        <w:spacing w:before="0" w:after="0"/>
        <w:ind w:left="360" w:right="7180" w:hanging="0"/>
        <w:jc w:val="both"/>
        <w:rPr>
          <w:rFonts w:ascii="Arial;Helvetica;Sans-Serif" w:hAnsi="Arial;Helvetica;Sans-Serif"/>
          <w:b w:val="false"/>
          <w:i w:val="false"/>
          <w:caps w:val="false"/>
          <w:smallCaps w:val="false"/>
          <w:sz w:val="14"/>
          <w:bdr w:val="single" w:sz="8" w:space="1" w:color="2872A8"/>
        </w:rPr>
      </w:pPr>
      <w:r>
        <w:rPr>
          <w:rFonts w:ascii="Arial;Helvetica;Sans-Serif" w:hAnsi="Arial;Helvetica;Sans-Serif"/>
          <w:b w:val="false"/>
          <w:i w:val="false"/>
          <w:caps w:val="false"/>
          <w:smallCaps w:val="false"/>
          <w:sz w:val="14"/>
          <w:bdr w:val="single" w:sz="8" w:space="1" w:color="2872A8"/>
        </w:rPr>
        <w:t>2021: Mark Palamountain, Alex Teague</w:t>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14"/>
              </w:rPr>
            </w:pPr>
            <w:r>
              <w:rPr>
                <w:sz w:val="14"/>
              </w:rPr>
              <w:t>(4)</w:t>
            </w:r>
          </w:p>
        </w:tc>
        <w:tc>
          <w:tcPr>
            <w:tcW w:w="9988" w:type="dxa"/>
            <w:tcBorders/>
            <w:vAlign w:val="center"/>
          </w:tcPr>
          <w:p>
            <w:pPr>
              <w:pStyle w:val="TableContents"/>
              <w:bidi w:val="0"/>
              <w:spacing w:before="0" w:after="283"/>
              <w:jc w:val="left"/>
              <w:rPr>
                <w:sz w:val="14"/>
              </w:rPr>
            </w:pPr>
            <w:r>
              <w:rPr>
                <w:sz w:val="14"/>
              </w:rPr>
              <w:t>Total Shareholder Return assumes the investment of $100 in our common stock on October 31, 2020 through and including the end of the fiscal year for which Total Shareholder Return is depicted.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14"/>
              </w:rPr>
            </w:pPr>
            <w:r>
              <w:rPr>
                <w:sz w:val="14"/>
              </w:rPr>
              <w:t>(5)</w:t>
            </w:r>
          </w:p>
        </w:tc>
        <w:tc>
          <w:tcPr>
            <w:tcW w:w="9994" w:type="dxa"/>
            <w:tcBorders/>
            <w:vAlign w:val="center"/>
          </w:tcPr>
          <w:p>
            <w:pPr>
              <w:pStyle w:val="TableContents"/>
              <w:bidi w:val="0"/>
              <w:spacing w:before="0" w:after="283"/>
              <w:jc w:val="left"/>
              <w:rPr>
                <w:sz w:val="14"/>
              </w:rPr>
            </w:pPr>
            <w:r>
              <w:rPr>
                <w:sz w:val="14"/>
              </w:rPr>
              <w:t>Peer Group Total Shareholder Return reflect the year-over-year value, as of the end of the applicable fiscal year, of a hypothetical initial investment of $100 made on October 31, 2020 into the Dow Jones U.S. Food Producers Index.</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248" w:type="dxa"/>
        <w:jc w:val="left"/>
        <w:tblInd w:w="0" w:type="dxa"/>
        <w:tblLayout w:type="fixed"/>
        <w:tblCellMar>
          <w:top w:w="0" w:type="dxa"/>
          <w:left w:w="0" w:type="dxa"/>
          <w:bottom w:w="0" w:type="dxa"/>
          <w:right w:w="0" w:type="dxa"/>
        </w:tblCellMar>
      </w:tblPr>
      <w:tblGrid>
        <w:gridCol w:w="38"/>
        <w:gridCol w:w="185"/>
        <w:gridCol w:w="702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14"/>
              </w:rPr>
            </w:pPr>
            <w:r>
              <w:rPr>
                <w:sz w:val="14"/>
              </w:rPr>
              <w:t>(6)</w:t>
            </w:r>
          </w:p>
        </w:tc>
        <w:tc>
          <w:tcPr>
            <w:tcW w:w="7025" w:type="dxa"/>
            <w:tcBorders/>
            <w:vAlign w:val="center"/>
          </w:tcPr>
          <w:p>
            <w:pPr>
              <w:pStyle w:val="TableContents"/>
              <w:bidi w:val="0"/>
              <w:spacing w:before="0" w:after="283"/>
              <w:jc w:val="left"/>
              <w:rPr>
                <w:sz w:val="14"/>
              </w:rPr>
            </w:pPr>
            <w:r>
              <w:rPr>
                <w:sz w:val="14"/>
              </w:rPr>
              <w:t>The dollar amounts reported are the Company’s net income (loss) reflected in the Company’s audited financial statements.</w:t>
            </w:r>
          </w:p>
        </w:tc>
      </w:tr>
    </w:tbl>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bookmarkStart w:id="235" w:name="xdx_982_eecd--NonGaapMeasureDescriptionT"/>
            <w:bookmarkStart w:id="236" w:name="xdx_982_eecd--NonGaapMeasureDescriptionT"/>
            <w:bookmarkEnd w:id="236"/>
          </w:p>
        </w:tc>
        <w:tc>
          <w:tcPr>
            <w:tcW w:w="146" w:type="dxa"/>
            <w:tcBorders/>
            <w:vAlign w:val="center"/>
          </w:tcPr>
          <w:p>
            <w:pPr>
              <w:pStyle w:val="TableContents"/>
              <w:bidi w:val="0"/>
              <w:spacing w:before="0" w:after="283"/>
              <w:jc w:val="left"/>
              <w:rPr>
                <w:sz w:val="14"/>
              </w:rPr>
            </w:pPr>
            <w:r>
              <w:rPr>
                <w:sz w:val="14"/>
              </w:rPr>
              <w:t>(7)</w:t>
            </w:r>
          </w:p>
        </w:tc>
        <w:tc>
          <w:tcPr>
            <w:tcW w:w="10021" w:type="dxa"/>
            <w:tcBorders/>
            <w:vAlign w:val="center"/>
          </w:tcPr>
          <w:p>
            <w:pPr>
              <w:pStyle w:val="TableContents"/>
              <w:bidi w:val="0"/>
              <w:spacing w:before="0" w:after="283"/>
              <w:jc w:val="left"/>
              <w:rPr>
                <w:sz w:val="14"/>
              </w:rPr>
            </w:pPr>
            <w:bookmarkStart w:id="237" w:name="xdx_C07_gBFNGMDTB-OPCGJQ_zfHRHA0rwBDk"/>
            <w:bookmarkEnd w:id="237"/>
            <w:r>
              <w:rPr>
                <w:sz w:val="14"/>
              </w:rPr>
              <w:t>In the Company’s assessment, Adjusted EBITDA is the financial performance measure that is the most important financial performance measure used by the Company in fiscal year 2025 to link compensation actually paid to performance. The dollar amounts reported are the Company’s Adjusted EBITDA reflected in the Company’s Form 10-K, and represent earnings before interest, income taxes, depreciation and amortization (“EBITDA”), excluding stock-based compensation, named executive officer cash severance, pension settlement cost, impairment of intangible asset, gain or loss on disposal of assets, cash bonus related to sale of assets, gain on legal settlement, cash severance benefits, contract termination fee and gain on remeasurement of previously held equity method investment. Adjusted EBITDA is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w:t>
            </w:r>
          </w:p>
        </w:tc>
      </w:tr>
    </w:tbl>
    <w:p>
      <w:pPr>
        <w:pStyle w:val="TextBody"/>
        <w:bidi w:val="0"/>
        <w:spacing w:before="0" w:after="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50</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2872A8"/>
        </w:rPr>
      </w:pPr>
      <w:r>
        <w:rPr>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sz w:val="18"/>
          <w:bdr w:val="single" w:sz="8" w:space="1" w:color="2872A8"/>
        </w:rPr>
      </w:pPr>
      <w:bookmarkStart w:id="238" w:name="xdx_803_eecd--TabularListTableTextBlock_"/>
      <w:bookmarkEnd w:id="238"/>
      <w:r>
        <w:rPr>
          <w:rFonts w:ascii="Arial;Helvetica;Sans-Serif" w:hAnsi="Arial;Helvetica;Sans-Serif"/>
          <w:b/>
          <w:i w:val="false"/>
          <w:caps w:val="false"/>
          <w:smallCaps w:val="false"/>
          <w:sz w:val="18"/>
          <w:bdr w:val="single" w:sz="8" w:space="1" w:color="2872A8"/>
        </w:rPr>
        <w:t>Total Compensation from Summary Compensation Table</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720" w:right="72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following table identifies the most important performance measures used by our Compensation Committee to link the “Compensation Actually Paid” (CAP) to our Chief Executive Officer and other NEOs in fiscal year 2025, to Company performance:</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3335" w:type="dxa"/>
        <w:jc w:val="left"/>
        <w:tblInd w:w="0" w:type="dxa"/>
        <w:tblLayout w:type="fixed"/>
        <w:tblCellMar>
          <w:top w:w="0" w:type="dxa"/>
          <w:left w:w="0" w:type="dxa"/>
          <w:bottom w:w="0" w:type="dxa"/>
          <w:right w:w="0" w:type="dxa"/>
        </w:tblCellMar>
      </w:tblPr>
      <w:tblGrid>
        <w:gridCol w:w="3335"/>
      </w:tblGrid>
      <w:tr>
        <w:trPr/>
        <w:tc>
          <w:tcPr>
            <w:tcW w:w="3335" w:type="dxa"/>
            <w:tcBorders/>
            <w:shd w:fill="D2D6E4"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Performance Measures</w:t>
            </w:r>
            <w:bookmarkStart w:id="239" w:name="xdx_981_eecd--MeasureName_c20241101__202"/>
            <w:bookmarkEnd w:id="239"/>
          </w:p>
        </w:tc>
      </w:tr>
      <w:tr>
        <w:trPr/>
        <w:tc>
          <w:tcPr>
            <w:tcW w:w="333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Adjusted EBITDA</w:t>
            </w:r>
            <w:bookmarkStart w:id="240" w:name="xdx_988_eecd--MeasureName_c20241101__202"/>
            <w:bookmarkEnd w:id="240"/>
          </w:p>
        </w:tc>
      </w:tr>
      <w:tr>
        <w:trPr/>
        <w:tc>
          <w:tcPr>
            <w:tcW w:w="3335" w:type="dxa"/>
            <w:tcBorders/>
            <w:shd w:fill="E5F5FD"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Revenues</w:t>
            </w:r>
            <w:bookmarkStart w:id="241" w:name="xdx_988_eecd--MeasureName_c20241101__202"/>
            <w:bookmarkEnd w:id="241"/>
          </w:p>
        </w:tc>
      </w:tr>
      <w:tr>
        <w:trPr/>
        <w:tc>
          <w:tcPr>
            <w:tcW w:w="333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Gains on strategic special projects</w:t>
            </w:r>
            <w:bookmarkStart w:id="242" w:name="xdx_98E_eecd--MeasureName_c20241101__202"/>
            <w:bookmarkEnd w:id="242"/>
          </w:p>
        </w:tc>
      </w:tr>
      <w:tr>
        <w:trPr/>
        <w:tc>
          <w:tcPr>
            <w:tcW w:w="3335" w:type="dxa"/>
            <w:tcBorders/>
            <w:shd w:fill="E5F5FD"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Equity earnings from real estate development</w:t>
            </w:r>
          </w:p>
        </w:tc>
      </w:tr>
    </w:tbl>
    <w:p>
      <w:pPr>
        <w:pStyle w:val="TextBody"/>
        <w:bidi w:val="0"/>
        <w:jc w:val="left"/>
        <w:rPr>
          <w:bdr w:val="single" w:sz="8" w:space="1" w:color="2872A8"/>
        </w:rPr>
      </w:pPr>
      <w:bookmarkStart w:id="243" w:name="xdx_81B_znSSI4nTXilf"/>
      <w:bookmarkEnd w:id="243"/>
      <w:r>
        <w:rPr>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sz w:val="18"/>
          <w:bdr w:val="single" w:sz="8" w:space="1" w:color="2872A8"/>
        </w:rPr>
      </w:pPr>
      <w:r>
        <w:rPr>
          <w:rFonts w:ascii="Arial;Helvetica;Sans-Serif" w:hAnsi="Arial;Helvetica;Sans-Serif"/>
          <w:b/>
          <w:i w:val="false"/>
          <w:caps w:val="false"/>
          <w:smallCaps w:val="false"/>
          <w:sz w:val="18"/>
          <w:bdr w:val="single" w:sz="8" w:space="1" w:color="2872A8"/>
        </w:rPr>
        <w:t>Relationship between CAP vs. Company TSR and Peer Group TSR</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following chart illustrates the relationship between CAP for our Chief Executive Officer and the average CAP for our other NEOs against the Company’s TSR, as well as the relationship between our TSR and the TSR of the Dow Jones U.S. Food Producers Index:</w:t>
      </w:r>
    </w:p>
    <w:p>
      <w:pPr>
        <w:pStyle w:val="TextBody"/>
        <w:bidi w:val="0"/>
        <w:spacing w:before="0" w:after="0"/>
        <w:ind w:left="0" w:right="0" w:hanging="0"/>
        <w:jc w:val="left"/>
        <w:rPr>
          <w:caps w:val="false"/>
          <w:smallCaps w:val="false"/>
          <w:bdr w:val="single" w:sz="8" w:space="1" w:color="2872A8"/>
        </w:rPr>
      </w:pPr>
      <w:bookmarkStart w:id="244" w:name="xdx_801_eecd--CompActuallyPaidVsTotalSha"/>
      <w:bookmarkEnd w:id="244"/>
      <w:r>
        <w:rPr>
          <w:caps w:val="false"/>
          <w:smallCaps w:val="false"/>
          <w:bdr w:val="single" w:sz="8" w:space="1" w:color="2872A8"/>
        </w:rPr>
        <w:t> </w:t>
      </w:r>
    </w:p>
    <w:p>
      <w:pPr>
        <w:pStyle w:val="TextBody"/>
        <w:bidi w:val="0"/>
        <w:spacing w:before="0" w:after="0"/>
        <w:ind w:left="0" w:right="0" w:hanging="0"/>
        <w:jc w:val="left"/>
        <w:rPr>
          <w:caps w:val="false"/>
          <w:smallCaps w:val="false"/>
          <w:bdr w:val="single" w:sz="8" w:space="1" w:color="2872A8"/>
        </w:rPr>
      </w:pPr>
      <w:bookmarkStart w:id="245" w:name="xdx_849_eecd--TotalShareholderRtnVsPeerG"/>
      <w:bookmarkEnd w:id="245"/>
      <w:r>
        <w:rPr>
          <w:caps w:val="false"/>
          <w:smallCaps w:val="false"/>
          <w:bdr w:val="single" w:sz="8" w:space="1" w:color="2872A8"/>
        </w:rPr>
        <w:t> </w:t>
      </w:r>
    </w:p>
    <w:p>
      <w:pPr>
        <w:pStyle w:val="TextBody"/>
        <w:bidi w:val="0"/>
        <w:spacing w:before="0" w:after="0"/>
        <w:jc w:val="center"/>
        <w:rPr>
          <w:caps w:val="false"/>
          <w:smallCaps w:val="false"/>
          <w:bdr w:val="single" w:sz="8" w:space="1" w:color="2872A8"/>
        </w:rPr>
      </w:pPr>
      <w:r>
        <w:rPr>
          <w:caps w:val="false"/>
          <w:smallCaps w:val="false"/>
          <w:bdr w:val="single" w:sz="8" w:space="1" w:color="2872A8"/>
        </w:rPr>
        <w:drawing>
          <wp:inline distT="0" distB="0" distL="0" distR="0">
            <wp:extent cx="5629275" cy="34194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5629275" cy="3419475"/>
                    </a:xfrm>
                    <a:prstGeom prst="rect">
                      <a:avLst/>
                    </a:prstGeom>
                  </pic:spPr>
                </pic:pic>
              </a:graphicData>
            </a:graphic>
          </wp:inline>
        </w:drawing>
      </w:r>
      <w:r>
        <w:rPr>
          <w:caps w:val="false"/>
          <w:smallCaps w:val="false"/>
          <w:bdr w:val="single" w:sz="8" w:space="1" w:color="2872A8"/>
        </w:rPr>
        <w:t> </w:t>
      </w:r>
    </w:p>
    <w:p>
      <w:pPr>
        <w:pStyle w:val="TextBody"/>
        <w:bidi w:val="0"/>
        <w:spacing w:before="0" w:after="0"/>
        <w:ind w:left="0" w:right="0" w:hanging="0"/>
        <w:jc w:val="left"/>
        <w:rPr>
          <w:caps w:val="false"/>
          <w:smallCaps w:val="false"/>
        </w:rPr>
      </w:pPr>
      <w:bookmarkStart w:id="246" w:name="xdx_857_ztvzBih17fb7"/>
      <w:bookmarkEnd w:id="246"/>
      <w:r>
        <w:rPr>
          <w:caps w:val="false"/>
          <w:smallCaps w:val="false"/>
        </w:rPr>
        <w:t> </w:t>
      </w:r>
    </w:p>
    <w:p>
      <w:pPr>
        <w:pStyle w:val="TextBody"/>
        <w:bidi w:val="0"/>
        <w:spacing w:before="0" w:after="0"/>
        <w:ind w:left="0" w:right="0" w:hanging="0"/>
        <w:jc w:val="left"/>
        <w:rPr>
          <w:caps w:val="false"/>
          <w:smallCaps w:val="false"/>
        </w:rPr>
      </w:pPr>
      <w:bookmarkStart w:id="247" w:name="xdx_81A_zpZjvAFzP2h6"/>
      <w:bookmarkEnd w:id="247"/>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51</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sz w:val="18"/>
          <w:bdr w:val="single" w:sz="8" w:space="1" w:color="2872A8"/>
        </w:rPr>
      </w:pPr>
      <w:r>
        <w:rPr>
          <w:rFonts w:ascii="Arial;Helvetica;Sans-Serif" w:hAnsi="Arial;Helvetica;Sans-Serif"/>
          <w:b/>
          <w:i w:val="false"/>
          <w:caps w:val="false"/>
          <w:smallCaps w:val="false"/>
          <w:sz w:val="18"/>
          <w:bdr w:val="single" w:sz="8" w:space="1" w:color="2872A8"/>
        </w:rPr>
        <w:t>Relationship between CAP vs. Net Income and Adjusted EBITDA</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300" w:right="30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following chart illustrates the relationship between CAP for our Chief Executive Officer and the average CAP for our other NEOs against our Net Income and Adjusted EBITDA:</w:t>
      </w:r>
    </w:p>
    <w:p>
      <w:pPr>
        <w:pStyle w:val="TextBody"/>
        <w:bidi w:val="0"/>
        <w:spacing w:before="0" w:after="0"/>
        <w:ind w:left="300" w:right="300" w:hanging="0"/>
        <w:jc w:val="left"/>
        <w:rPr>
          <w:caps w:val="false"/>
          <w:smallCaps w:val="false"/>
          <w:bdr w:val="single" w:sz="8" w:space="1" w:color="2872A8"/>
        </w:rPr>
      </w:pPr>
      <w:bookmarkStart w:id="248" w:name="xdx_806_eecd--CompActuallyPaidVsNetIncom"/>
      <w:bookmarkEnd w:id="248"/>
      <w:r>
        <w:rPr>
          <w:caps w:val="false"/>
          <w:smallCaps w:val="false"/>
          <w:bdr w:val="single" w:sz="8" w:space="1" w:color="2872A8"/>
        </w:rPr>
        <w:t> </w:t>
      </w:r>
    </w:p>
    <w:p>
      <w:pPr>
        <w:pStyle w:val="TextBody"/>
        <w:bidi w:val="0"/>
        <w:spacing w:before="0" w:after="0"/>
        <w:ind w:left="300" w:right="300" w:hanging="0"/>
        <w:jc w:val="left"/>
        <w:rPr>
          <w:caps w:val="false"/>
          <w:smallCaps w:val="false"/>
          <w:bdr w:val="single" w:sz="8" w:space="1" w:color="2872A8"/>
        </w:rPr>
      </w:pPr>
      <w:bookmarkStart w:id="249" w:name="xdx_848_eecd--CompActuallyPaidVsCoSelect"/>
      <w:bookmarkEnd w:id="249"/>
      <w:r>
        <w:rPr>
          <w:caps w:val="false"/>
          <w:smallCaps w:val="false"/>
          <w:bdr w:val="single" w:sz="8" w:space="1" w:color="2872A8"/>
        </w:rPr>
        <w:t> </w:t>
      </w:r>
    </w:p>
    <w:p>
      <w:pPr>
        <w:pStyle w:val="TextBody"/>
        <w:bidi w:val="0"/>
        <w:spacing w:before="0" w:after="0"/>
        <w:jc w:val="center"/>
        <w:rPr>
          <w:caps w:val="false"/>
          <w:smallCaps w:val="false"/>
          <w:bdr w:val="single" w:sz="8" w:space="1" w:color="2872A8"/>
        </w:rPr>
      </w:pPr>
      <w:r>
        <w:rPr>
          <w:caps w:val="false"/>
          <w:smallCaps w:val="false"/>
          <w:bdr w:val="single" w:sz="8" w:space="1" w:color="2872A8"/>
        </w:rPr>
        <w:drawing>
          <wp:inline distT="0" distB="0" distL="0" distR="0">
            <wp:extent cx="5791200" cy="3200400"/>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5791200" cy="3200400"/>
                    </a:xfrm>
                    <a:prstGeom prst="rect">
                      <a:avLst/>
                    </a:prstGeom>
                  </pic:spPr>
                </pic:pic>
              </a:graphicData>
            </a:graphic>
          </wp:inline>
        </w:drawing>
      </w:r>
      <w:r>
        <w:rPr>
          <w:caps w:val="false"/>
          <w:smallCaps w:val="false"/>
          <w:bdr w:val="single" w:sz="8" w:space="1" w:color="2872A8"/>
        </w:rPr>
        <w:t> </w:t>
      </w:r>
    </w:p>
    <w:p>
      <w:pPr>
        <w:pStyle w:val="TextBody"/>
        <w:bidi w:val="0"/>
        <w:spacing w:before="0" w:after="0"/>
        <w:ind w:left="300" w:right="300" w:hanging="0"/>
        <w:jc w:val="left"/>
        <w:rPr>
          <w:caps w:val="false"/>
          <w:smallCaps w:val="false"/>
          <w:bdr w:val="single" w:sz="8" w:space="1" w:color="2872A8"/>
        </w:rPr>
      </w:pPr>
      <w:bookmarkStart w:id="250" w:name="xdx_85E_zEo3HOpv7cll"/>
      <w:bookmarkEnd w:id="250"/>
      <w:r>
        <w:rPr>
          <w:caps w:val="false"/>
          <w:smallCaps w:val="false"/>
          <w:bdr w:val="single" w:sz="8" w:space="1" w:color="2872A8"/>
        </w:rPr>
        <w:t> </w:t>
      </w:r>
    </w:p>
    <w:p>
      <w:pPr>
        <w:pStyle w:val="TextBody"/>
        <w:bidi w:val="0"/>
        <w:spacing w:before="0" w:after="0"/>
        <w:ind w:left="300" w:right="300" w:hanging="0"/>
        <w:jc w:val="left"/>
        <w:rPr>
          <w:caps w:val="false"/>
          <w:smallCaps w:val="false"/>
          <w:bdr w:val="single" w:sz="8" w:space="1" w:color="2872A8"/>
        </w:rPr>
      </w:pPr>
      <w:bookmarkStart w:id="251" w:name="xdx_812_zLKmvNMfOAF7"/>
      <w:bookmarkEnd w:id="251"/>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color w:val="008DCF"/>
          <w:sz w:val="24"/>
          <w:bdr w:val="single" w:sz="8" w:space="1" w:color="2872A8"/>
        </w:rPr>
      </w:pPr>
      <w:bookmarkStart w:id="252" w:name="lmnrdef14aa084"/>
      <w:bookmarkEnd w:id="252"/>
      <w:r>
        <w:rPr>
          <w:rFonts w:ascii="Arial;Helvetica;Sans-Serif" w:hAnsi="Arial;Helvetica;Sans-Serif"/>
          <w:b/>
          <w:i w:val="false"/>
          <w:caps w:val="false"/>
          <w:smallCaps w:val="false"/>
          <w:color w:val="008DCF"/>
          <w:sz w:val="24"/>
          <w:bdr w:val="single" w:sz="8" w:space="1" w:color="2872A8"/>
        </w:rPr>
        <w:t>Compensation Committee Report</w:t>
      </w:r>
    </w:p>
    <w:p>
      <w:pPr>
        <w:pStyle w:val="TextBody"/>
        <w:bidi w:val="0"/>
        <w:spacing w:before="0" w:after="0"/>
        <w:ind w:left="0" w:right="0" w:hanging="0"/>
        <w:jc w:val="left"/>
        <w:rPr>
          <w:caps w:val="false"/>
          <w:smallCaps w:val="false"/>
          <w:color w:val="008DCF"/>
          <w:bdr w:val="single" w:sz="8" w:space="1" w:color="2872A8"/>
        </w:rPr>
      </w:pPr>
      <w:r>
        <w:rPr>
          <w:caps w:val="false"/>
          <w:smallCaps w:val="false"/>
          <w:color w:val="008DCF"/>
          <w:bdr w:val="single" w:sz="8" w:space="1" w:color="2872A8"/>
        </w:rPr>
        <w:t> </w:t>
      </w:r>
    </w:p>
    <w:p>
      <w:pPr>
        <w:pStyle w:val="TextBody"/>
        <w:bidi w:val="0"/>
        <w:spacing w:before="0" w:after="0"/>
        <w:ind w:left="20" w:right="20" w:hanging="0"/>
        <w:jc w:val="both"/>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Compensation Committee has reviewed and discussed with management the Compensation Discussion and Analysis set forth above. Based on the review and discussion referred to above, the Compensation Committee has recommended to the Board that the Compensation Discussion and Analysis be included in the Company’s proxy statement and incorporated in the Company’s Annual Report on Form 10-K for the year ended October 31, 2025.</w:t>
      </w:r>
    </w:p>
    <w:p>
      <w:pPr>
        <w:pStyle w:val="TextBody"/>
        <w:bidi w:val="0"/>
        <w:spacing w:before="0" w:after="0"/>
        <w:ind w:left="20" w:right="20" w:hanging="0"/>
        <w:jc w:val="both"/>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sz w:val="18"/>
          <w:bdr w:val="single" w:sz="8" w:space="1" w:color="2872A8"/>
        </w:rPr>
      </w:pPr>
      <w:r>
        <w:rPr>
          <w:rFonts w:ascii="Arial;Helvetica;Sans-Serif" w:hAnsi="Arial;Helvetica;Sans-Serif"/>
          <w:b/>
          <w:i w:val="false"/>
          <w:caps w:val="false"/>
          <w:smallCaps w:val="false"/>
          <w:sz w:val="18"/>
          <w:bdr w:val="single" w:sz="8" w:space="1" w:color="2872A8"/>
        </w:rPr>
        <w:t>Members of the Compensation Committee:</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Elizabeth Mora, Chairperson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Barbara Carbone</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Scott S. Slater</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information contained in the report above shall not be deemed to be “soliciting material” or to be “filed” with the SEC, nor shall such information be incorporated by reference into any future filing under the Exchange Act or the Securities Act of 1933, as amended, except to the extent that we specifically incorporate it by reference in such filing.</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52</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120" w:type="dxa"/>
        <w:jc w:val="left"/>
        <w:tblInd w:w="0" w:type="dxa"/>
        <w:tblLayout w:type="fixed"/>
        <w:tblCellMar>
          <w:top w:w="120" w:type="dxa"/>
          <w:left w:w="120" w:type="dxa"/>
          <w:bottom w:w="120" w:type="dxa"/>
          <w:right w:w="120" w:type="dxa"/>
        </w:tblCellMar>
      </w:tblPr>
      <w:tblGrid>
        <w:gridCol w:w="8120"/>
      </w:tblGrid>
      <w:tr>
        <w:trPr/>
        <w:tc>
          <w:tcPr>
            <w:tcW w:w="8120" w:type="dxa"/>
            <w:tcBorders/>
            <w:vAlign w:val="center"/>
          </w:tcPr>
          <w:p>
            <w:pPr>
              <w:pStyle w:val="TableContents"/>
              <w:bidi w:val="0"/>
              <w:spacing w:before="0" w:after="283"/>
              <w:jc w:val="both"/>
              <w:rPr>
                <w:rFonts w:ascii="Arial;Helvetica;Sans-Serif" w:hAnsi="Arial;Helvetica;Sans-Serif"/>
                <w:b/>
                <w:color w:val="FFFFFF"/>
                <w:sz w:val="30"/>
              </w:rPr>
            </w:pPr>
            <w:bookmarkStart w:id="253" w:name="lmnrdef14aa085"/>
            <w:bookmarkEnd w:id="253"/>
            <w:r>
              <w:rPr>
                <w:rFonts w:ascii="Arial;Helvetica;Sans-Serif" w:hAnsi="Arial;Helvetica;Sans-Serif"/>
                <w:b/>
                <w:color w:val="FFFFFF"/>
                <w:sz w:val="30"/>
              </w:rPr>
              <w:t>Proposal 2: Advisory Vote on Executive Compensation</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140" w:right="14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Pursuant to Section 951 of the Dodd-Frank Wall Street Reform and Consumer Protection Act of 2010 (the “Dodd-Frank Act”), as set forth in Section 14A(a) of the Exchange Act (15 U.S.C. 78n-1), we are asking stockholders to vote to approve, on an advisory, non-binding basis, the compensation of our NEOs as disclosed in this proxy statement in accordance with SEC rules.</w:t>
      </w:r>
    </w:p>
    <w:p>
      <w:pPr>
        <w:pStyle w:val="TextBody"/>
        <w:bidi w:val="0"/>
        <w:spacing w:before="0" w:after="0"/>
        <w:ind w:left="140" w:right="14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120" w:right="12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As described in detail under the Compensation Discussion and Analysis, our executive compensation programs are designed to attract, motivate and retain our NEOs, who are critical to our strategic goals and success. Under our executive compensation program, our NEOs receive compensation that encourages both near-term and long-term growth and successes through compensation linked to performance standards aimed to increase stockholder value.</w:t>
      </w:r>
    </w:p>
    <w:p>
      <w:pPr>
        <w:pStyle w:val="TextBody"/>
        <w:bidi w:val="0"/>
        <w:spacing w:before="0" w:after="0"/>
        <w:ind w:left="120" w:right="12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120" w:right="12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Compensation Committee bases its executive compensation decisions on our compensation objectives, which include the following:</w:t>
      </w:r>
    </w:p>
    <w:p>
      <w:pPr>
        <w:pStyle w:val="TextBody"/>
        <w:bidi w:val="0"/>
        <w:spacing w:before="0" w:after="0"/>
        <w:ind w:left="120" w:right="120" w:hanging="0"/>
        <w:jc w:val="left"/>
        <w:rPr>
          <w:caps w:val="false"/>
          <w:smallCaps w:val="false"/>
          <w:bdr w:val="single" w:sz="8" w:space="1" w:color="2872A8"/>
        </w:rPr>
      </w:pPr>
      <w:r>
        <w:rPr>
          <w:caps w:val="false"/>
          <w:smallCaps w:val="false"/>
          <w:bdr w:val="single" w:sz="8" w:space="1" w:color="2872A8"/>
        </w:rPr>
        <w:t> </w:t>
      </w:r>
    </w:p>
    <w:tbl>
      <w:tblPr>
        <w:tblW w:w="6078" w:type="dxa"/>
        <w:jc w:val="left"/>
        <w:tblInd w:w="0" w:type="dxa"/>
        <w:tblLayout w:type="fixed"/>
        <w:tblCellMar>
          <w:top w:w="0" w:type="dxa"/>
          <w:left w:w="0" w:type="dxa"/>
          <w:bottom w:w="0" w:type="dxa"/>
          <w:right w:w="0" w:type="dxa"/>
        </w:tblCellMar>
      </w:tblPr>
      <w:tblGrid>
        <w:gridCol w:w="38"/>
        <w:gridCol w:w="170"/>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aligning management’s incentives with the interests of our stockholders;</w:t>
            </w:r>
          </w:p>
        </w:tc>
      </w:tr>
    </w:tbl>
    <w:p>
      <w:pPr>
        <w:pStyle w:val="TextBody"/>
        <w:bidi w:val="0"/>
        <w:spacing w:before="0" w:after="0"/>
        <w:jc w:val="left"/>
        <w:rPr>
          <w:caps w:val="false"/>
          <w:smallCaps w:val="false"/>
          <w:bdr w:val="single" w:sz="8" w:space="1" w:color="2872A8"/>
        </w:rPr>
      </w:pPr>
      <w:r>
        <w:rPr>
          <w:caps w:val="false"/>
          <w:smallCaps w:val="false"/>
          <w:bdr w:val="single" w:sz="8" w:space="1" w:color="2872A8"/>
        </w:rPr>
        <w:t> </w:t>
      </w:r>
    </w:p>
    <w:tbl>
      <w:tblPr>
        <w:tblW w:w="4263" w:type="dxa"/>
        <w:jc w:val="left"/>
        <w:tblInd w:w="0" w:type="dxa"/>
        <w:tblLayout w:type="fixed"/>
        <w:tblCellMar>
          <w:top w:w="0" w:type="dxa"/>
          <w:left w:w="0" w:type="dxa"/>
          <w:bottom w:w="0" w:type="dxa"/>
          <w:right w:w="0" w:type="dxa"/>
        </w:tblCellMar>
      </w:tblPr>
      <w:tblGrid>
        <w:gridCol w:w="38"/>
        <w:gridCol w:w="170"/>
        <w:gridCol w:w="4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55"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providing competitive compensation to our NEOs;</w:t>
            </w:r>
          </w:p>
        </w:tc>
      </w:tr>
    </w:tbl>
    <w:p>
      <w:pPr>
        <w:pStyle w:val="TextBody"/>
        <w:bidi w:val="0"/>
        <w:spacing w:before="0" w:after="0"/>
        <w:jc w:val="left"/>
        <w:rPr>
          <w:caps w:val="false"/>
          <w:smallCaps w:val="false"/>
          <w:bdr w:val="single" w:sz="8" w:space="1" w:color="2872A8"/>
        </w:rPr>
      </w:pPr>
      <w:r>
        <w:rPr>
          <w:caps w:val="false"/>
          <w:smallCaps w:val="false"/>
          <w:bdr w:val="single" w:sz="8" w:space="1" w:color="2872A8"/>
        </w:rPr>
        <w:t> </w:t>
      </w:r>
    </w:p>
    <w:tbl>
      <w:tblPr>
        <w:tblW w:w="7098" w:type="dxa"/>
        <w:jc w:val="left"/>
        <w:tblInd w:w="0" w:type="dxa"/>
        <w:tblLayout w:type="fixed"/>
        <w:tblCellMar>
          <w:top w:w="0" w:type="dxa"/>
          <w:left w:w="0" w:type="dxa"/>
          <w:bottom w:w="0" w:type="dxa"/>
          <w:right w:w="0" w:type="dxa"/>
        </w:tblCellMar>
      </w:tblPr>
      <w:tblGrid>
        <w:gridCol w:w="38"/>
        <w:gridCol w:w="170"/>
        <w:gridCol w:w="6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9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rewarding NEOs for past performance and motivating them to excel in the future; and</w:t>
            </w:r>
          </w:p>
        </w:tc>
      </w:tr>
    </w:tbl>
    <w:p>
      <w:pPr>
        <w:pStyle w:val="TextBody"/>
        <w:bidi w:val="0"/>
        <w:spacing w:before="0" w:after="0"/>
        <w:jc w:val="left"/>
        <w:rPr>
          <w:caps w:val="false"/>
          <w:smallCaps w:val="false"/>
          <w:bdr w:val="single" w:sz="8" w:space="1" w:color="2872A8"/>
        </w:rPr>
      </w:pPr>
      <w:r>
        <w:rPr>
          <w:caps w:val="false"/>
          <w:smallCaps w:val="false"/>
          <w:bdr w:val="single" w:sz="8" w:space="1" w:color="2872A8"/>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rewarding superior performance of both the Company and each individual executive and encouraging actions that promote our near-term and long-term strategic goals.</w:t>
            </w:r>
          </w:p>
        </w:tc>
      </w:tr>
    </w:tbl>
    <w:p>
      <w:pPr>
        <w:pStyle w:val="TextBody"/>
        <w:bidi w:val="0"/>
        <w:spacing w:before="0" w:after="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60" w:right="6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We believe that our existing compensation programs have been effective at motivating our NEOs to achieve superior performance and success, aligning compensation with performance measures and stockholder interests and enabling us to attract, retain and motivate talented executive officers.</w:t>
      </w:r>
    </w:p>
    <w:p>
      <w:pPr>
        <w:pStyle w:val="TextBody"/>
        <w:bidi w:val="0"/>
        <w:spacing w:before="0" w:after="0"/>
        <w:ind w:left="60" w:right="6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 xml:space="preserve">We are asking our stockholders to indicate their support for our NEOs’ compensation as described in this proxy statement. This proposal, commonly known as a “Say-on-Pay” proposal, gives our stockholders the opportunity to express their views on our NEOs’ compensation. Accordingly, we will ask our stockholders to approve, on an advisory basis, the compensation of the NEOs, as disclosed in the Company’s proxy statement for the Annual Meeting pursuant to the compensation disclosure rules of the SEC, including the Compensation Discussion and Analysis, the Summary Compensation Table and the other related tables and disclosures by voting </w:t>
      </w:r>
      <w:r>
        <w:rPr>
          <w:rFonts w:ascii="Arial;Helvetica;Sans-Serif" w:hAnsi="Arial;Helvetica;Sans-Serif"/>
          <w:b/>
          <w:i w:val="false"/>
          <w:caps w:val="false"/>
          <w:smallCaps w:val="false"/>
          <w:sz w:val="18"/>
          <w:bdr w:val="single" w:sz="8" w:space="1" w:color="2872A8"/>
        </w:rPr>
        <w:t>FOR</w:t>
      </w:r>
      <w:r>
        <w:rPr>
          <w:rFonts w:ascii="Arial;Helvetica;Sans-Serif" w:hAnsi="Arial;Helvetica;Sans-Serif"/>
          <w:b w:val="false"/>
          <w:i w:val="false"/>
          <w:caps w:val="false"/>
          <w:smallCaps w:val="false"/>
          <w:sz w:val="18"/>
          <w:bdr w:val="single" w:sz="8" w:space="1" w:color="2872A8"/>
        </w:rPr>
        <w:t xml:space="preserve"> the approval of our executive compensation program.</w:t>
      </w:r>
    </w:p>
    <w:p>
      <w:pPr>
        <w:pStyle w:val="TextBody"/>
        <w:bidi w:val="0"/>
        <w:spacing w:before="0" w:after="0"/>
        <w:ind w:left="120" w:right="12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260" w:right="26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Say-on-Pay vote is advisory, and therefore not binding on the Company, the Compensation Committee or the Board. The Board and the Compensation Committee value the opinions of our stockholders and will review and consider the outcome of this advisory vote when making future compensation decisions for our NEOs and will evaluate whether any actions are necessary.</w:t>
      </w:r>
    </w:p>
    <w:p>
      <w:pPr>
        <w:pStyle w:val="TextBody"/>
        <w:bidi w:val="0"/>
        <w:spacing w:before="0" w:after="0"/>
        <w:ind w:left="260" w:right="26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color w:val="008DCF"/>
          <w:sz w:val="24"/>
          <w:bdr w:val="single" w:sz="8" w:space="1" w:color="2872A8"/>
        </w:rPr>
      </w:pPr>
      <w:bookmarkStart w:id="254" w:name="lmnrdef14aa086"/>
      <w:bookmarkEnd w:id="254"/>
      <w:r>
        <w:rPr>
          <w:rFonts w:ascii="Arial;Helvetica;Sans-Serif" w:hAnsi="Arial;Helvetica;Sans-Serif"/>
          <w:b/>
          <w:i w:val="false"/>
          <w:caps w:val="false"/>
          <w:smallCaps w:val="false"/>
          <w:color w:val="008DCF"/>
          <w:sz w:val="24"/>
          <w:bdr w:val="single" w:sz="8" w:space="1" w:color="2872A8"/>
        </w:rPr>
        <w:t>Required Vote for Stockholder Approval</w:t>
      </w:r>
    </w:p>
    <w:p>
      <w:pPr>
        <w:pStyle w:val="TextBody"/>
        <w:bidi w:val="0"/>
        <w:spacing w:before="0" w:after="0"/>
        <w:ind w:left="0" w:right="0" w:hanging="0"/>
        <w:jc w:val="left"/>
        <w:rPr>
          <w:caps w:val="false"/>
          <w:smallCaps w:val="false"/>
          <w:color w:val="008DCF"/>
          <w:bdr w:val="single" w:sz="8" w:space="1" w:color="2872A8"/>
        </w:rPr>
      </w:pPr>
      <w:r>
        <w:rPr>
          <w:caps w:val="false"/>
          <w:smallCaps w:val="false"/>
          <w:color w:val="008DCF"/>
          <w:bdr w:val="single" w:sz="8" w:space="1" w:color="2872A8"/>
        </w:rPr>
        <w:t> </w:t>
      </w:r>
    </w:p>
    <w:p>
      <w:pPr>
        <w:pStyle w:val="TextBody"/>
        <w:bidi w:val="0"/>
        <w:spacing w:before="0" w:after="0"/>
        <w:ind w:left="120" w:right="12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affirmative vote of the holders of at least a majority of the votes of the outstanding shares of Voting Stock present, in person or by proxy, at the Annual Meeting and entitled to vote thereon is required to approve this proposal. Abstentions will have the same effect as a vote “against” the proposal. Broker non-votes will have no impact on the proposal.</w:t>
      </w:r>
    </w:p>
    <w:p>
      <w:pPr>
        <w:pStyle w:val="TextBody"/>
        <w:bidi w:val="0"/>
        <w:spacing w:before="0" w:after="0"/>
        <w:ind w:left="120" w:right="12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color w:val="008DCF"/>
          <w:sz w:val="24"/>
          <w:bdr w:val="single" w:sz="8" w:space="1" w:color="2872A8"/>
        </w:rPr>
      </w:pPr>
      <w:bookmarkStart w:id="255" w:name="lmnrdef14aa087"/>
      <w:bookmarkEnd w:id="255"/>
      <w:r>
        <w:rPr>
          <w:rFonts w:ascii="Arial;Helvetica;Sans-Serif" w:hAnsi="Arial;Helvetica;Sans-Serif"/>
          <w:b/>
          <w:i w:val="false"/>
          <w:caps w:val="false"/>
          <w:smallCaps w:val="false"/>
          <w:color w:val="008DCF"/>
          <w:sz w:val="24"/>
          <w:bdr w:val="single" w:sz="8" w:space="1" w:color="2872A8"/>
        </w:rPr>
        <w:t>Recommendation of the Board of Directors</w:t>
      </w:r>
    </w:p>
    <w:p>
      <w:pPr>
        <w:pStyle w:val="TextBody"/>
        <w:bidi w:val="0"/>
        <w:spacing w:before="0" w:after="0"/>
        <w:ind w:left="0" w:right="0" w:hanging="0"/>
        <w:jc w:val="left"/>
        <w:rPr>
          <w:caps w:val="false"/>
          <w:smallCaps w:val="false"/>
          <w:color w:val="008DCF"/>
          <w:bdr w:val="single" w:sz="8" w:space="1" w:color="2872A8"/>
        </w:rPr>
      </w:pPr>
      <w:r>
        <w:rPr>
          <w:caps w:val="false"/>
          <w:smallCaps w:val="false"/>
          <w:color w:val="008DCF"/>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 xml:space="preserve">The Board recommends that you vote </w:t>
      </w:r>
      <w:r>
        <w:rPr>
          <w:rFonts w:ascii="Arial;Helvetica;Sans-Serif" w:hAnsi="Arial;Helvetica;Sans-Serif"/>
          <w:b/>
          <w:i w:val="false"/>
          <w:caps w:val="false"/>
          <w:smallCaps w:val="false"/>
          <w:sz w:val="18"/>
          <w:bdr w:val="single" w:sz="8" w:space="1" w:color="2872A8"/>
        </w:rPr>
        <w:t>FOR</w:t>
      </w:r>
      <w:r>
        <w:rPr>
          <w:rFonts w:ascii="Arial;Helvetica;Sans-Serif" w:hAnsi="Arial;Helvetica;Sans-Serif"/>
          <w:b w:val="false"/>
          <w:i w:val="false"/>
          <w:caps w:val="false"/>
          <w:smallCaps w:val="false"/>
          <w:sz w:val="18"/>
          <w:bdr w:val="single" w:sz="8" w:space="1" w:color="2872A8"/>
        </w:rPr>
        <w:t xml:space="preserve"> the approval of the compensation of our NEOs.</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53</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120" w:type="dxa"/>
          <w:left w:w="120" w:type="dxa"/>
          <w:bottom w:w="120" w:type="dxa"/>
          <w:right w:w="120" w:type="dxa"/>
        </w:tblCellMar>
      </w:tblPr>
      <w:tblGrid>
        <w:gridCol w:w="10205"/>
      </w:tblGrid>
      <w:tr>
        <w:trPr/>
        <w:tc>
          <w:tcPr>
            <w:tcW w:w="10205" w:type="dxa"/>
            <w:tcBorders/>
            <w:vAlign w:val="center"/>
          </w:tcPr>
          <w:p>
            <w:pPr>
              <w:pStyle w:val="TableContents"/>
              <w:bidi w:val="0"/>
              <w:spacing w:before="0" w:after="283"/>
              <w:jc w:val="both"/>
              <w:rPr>
                <w:rFonts w:ascii="Arial;Helvetica;Sans-Serif" w:hAnsi="Arial;Helvetica;Sans-Serif"/>
                <w:b/>
                <w:color w:val="FFFFFF"/>
                <w:sz w:val="30"/>
              </w:rPr>
            </w:pPr>
            <w:bookmarkStart w:id="256" w:name="lmnrdef14aa088"/>
            <w:bookmarkEnd w:id="256"/>
            <w:r>
              <w:rPr>
                <w:rFonts w:ascii="Arial;Helvetica;Sans-Serif" w:hAnsi="Arial;Helvetica;Sans-Serif"/>
                <w:b/>
                <w:color w:val="FFFFFF"/>
                <w:sz w:val="30"/>
              </w:rPr>
              <w:t>Proposal 3: Ratification of Selection of Independent Registered Public Accounting Firm</w:t>
            </w:r>
          </w:p>
        </w:tc>
      </w:tr>
    </w:tbl>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color w:val="008DCF"/>
          <w:sz w:val="24"/>
          <w:bdr w:val="single" w:sz="8" w:space="1" w:color="2872A8"/>
        </w:rPr>
      </w:pPr>
      <w:bookmarkStart w:id="257" w:name="lmnrdef14aa089"/>
      <w:bookmarkEnd w:id="257"/>
      <w:r>
        <w:rPr>
          <w:rFonts w:ascii="Arial;Helvetica;Sans-Serif" w:hAnsi="Arial;Helvetica;Sans-Serif"/>
          <w:b/>
          <w:i w:val="false"/>
          <w:caps w:val="false"/>
          <w:smallCaps w:val="false"/>
          <w:color w:val="008DCF"/>
          <w:sz w:val="24"/>
          <w:bdr w:val="single" w:sz="8" w:space="1" w:color="2872A8"/>
        </w:rPr>
        <w:t>General</w:t>
      </w:r>
    </w:p>
    <w:p>
      <w:pPr>
        <w:pStyle w:val="TextBody"/>
        <w:bidi w:val="0"/>
        <w:spacing w:before="0" w:after="0"/>
        <w:ind w:left="0" w:right="0" w:hanging="0"/>
        <w:jc w:val="left"/>
        <w:rPr>
          <w:caps w:val="false"/>
          <w:smallCaps w:val="false"/>
          <w:color w:val="008DCF"/>
          <w:bdr w:val="single" w:sz="8" w:space="1" w:color="2872A8"/>
        </w:rPr>
      </w:pPr>
      <w:r>
        <w:rPr>
          <w:caps w:val="false"/>
          <w:smallCaps w:val="false"/>
          <w:color w:val="008DCF"/>
          <w:bdr w:val="single" w:sz="8" w:space="1" w:color="2872A8"/>
        </w:rPr>
        <w:t> </w:t>
      </w:r>
    </w:p>
    <w:p>
      <w:pPr>
        <w:pStyle w:val="TextBody"/>
        <w:bidi w:val="0"/>
        <w:spacing w:before="0" w:after="0"/>
        <w:ind w:left="220" w:right="22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Audit Committee of the Board recommended, and the Board now asks, that the stockholders of the Company ratify the selection of Deloitte &amp; Touche LLP as independent registered public accounting firm for the Company for the fiscal year ending October 31, 2026.</w:t>
      </w:r>
    </w:p>
    <w:p>
      <w:pPr>
        <w:pStyle w:val="TextBody"/>
        <w:bidi w:val="0"/>
        <w:spacing w:before="0" w:after="0"/>
        <w:ind w:left="220" w:right="22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Audit Committee appointed Deloitte &amp; Touche LLP, a registered public accounting firm, to audit the annual financial statements for the fiscal year ended October 31, 2025. Based on its past performance during these audits, the Audit Committee has selected Deloitte &amp; Touche LLP as the independent registered public accounting firm to perform the audit of our financial statements and internal control over financial reporting for fiscal year 2026.</w:t>
      </w:r>
    </w:p>
    <w:p>
      <w:pPr>
        <w:pStyle w:val="TextBody"/>
        <w:bidi w:val="0"/>
        <w:spacing w:before="0" w:after="0"/>
        <w:ind w:left="200" w:right="20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220" w:right="22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selection of our independent registered public accounting firm is not required to be submitted for stockholder approval, but the Board has determined that it would be desirable to request that the stockholders ratify the appointment. If stockholders do not ratify this selection, the Board will reconsider its selection of Deloitte &amp; Touche LLP and may, in its sole discretion, either continue to retain this firm or appoint a new independent registered public accounting firm. Representatives of Deloitte &amp; Touche LLP are expected to participate in the Annual Meeting and will be available to respond to appropriate questions.</w:t>
      </w:r>
    </w:p>
    <w:p>
      <w:pPr>
        <w:pStyle w:val="TextBody"/>
        <w:bidi w:val="0"/>
        <w:spacing w:before="0" w:after="0"/>
        <w:ind w:left="80" w:right="8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color w:val="008DCF"/>
          <w:sz w:val="24"/>
          <w:bdr w:val="single" w:sz="8" w:space="1" w:color="2872A8"/>
        </w:rPr>
      </w:pPr>
      <w:bookmarkStart w:id="258" w:name="lmnrdef14aa090"/>
      <w:bookmarkEnd w:id="258"/>
      <w:r>
        <w:rPr>
          <w:rFonts w:ascii="Arial;Helvetica;Sans-Serif" w:hAnsi="Arial;Helvetica;Sans-Serif"/>
          <w:b/>
          <w:i w:val="false"/>
          <w:caps w:val="false"/>
          <w:smallCaps w:val="false"/>
          <w:color w:val="008DCF"/>
          <w:sz w:val="24"/>
          <w:bdr w:val="single" w:sz="8" w:space="1" w:color="2872A8"/>
        </w:rPr>
        <w:t>Fees</w:t>
      </w:r>
    </w:p>
    <w:p>
      <w:pPr>
        <w:pStyle w:val="TextBody"/>
        <w:bidi w:val="0"/>
        <w:spacing w:before="0" w:after="0"/>
        <w:ind w:left="0" w:right="0" w:hanging="0"/>
        <w:jc w:val="left"/>
        <w:rPr>
          <w:caps w:val="false"/>
          <w:smallCaps w:val="false"/>
          <w:color w:val="008DCF"/>
          <w:bdr w:val="single" w:sz="8" w:space="1" w:color="2872A8"/>
        </w:rPr>
      </w:pPr>
      <w:r>
        <w:rPr>
          <w:caps w:val="false"/>
          <w:smallCaps w:val="false"/>
          <w:color w:val="008DCF"/>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chart below sets forth the total annual amount, including the amounts by category of service, billed to us by Deloitte &amp; Touche LLP for services performed for fiscal year 2025.</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5921" w:type="dxa"/>
        <w:jc w:val="left"/>
        <w:tblInd w:w="0" w:type="dxa"/>
        <w:tblLayout w:type="fixed"/>
        <w:tblCellMar>
          <w:top w:w="0" w:type="dxa"/>
          <w:left w:w="0" w:type="dxa"/>
          <w:bottom w:w="0" w:type="dxa"/>
          <w:right w:w="0" w:type="dxa"/>
        </w:tblCellMar>
      </w:tblPr>
      <w:tblGrid>
        <w:gridCol w:w="1670"/>
        <w:gridCol w:w="60"/>
        <w:gridCol w:w="143"/>
        <w:gridCol w:w="1772"/>
        <w:gridCol w:w="143"/>
        <w:gridCol w:w="60"/>
        <w:gridCol w:w="142"/>
        <w:gridCol w:w="1754"/>
        <w:gridCol w:w="177"/>
      </w:tblGrid>
      <w:tr>
        <w:trPr/>
        <w:tc>
          <w:tcPr>
            <w:tcW w:w="1670" w:type="dxa"/>
            <w:tcBorders/>
            <w:shd w:fill="D2D6E4" w:val="clear"/>
            <w:vAlign w:val="center"/>
          </w:tcPr>
          <w:p>
            <w:pPr>
              <w:pStyle w:val="TableContents"/>
              <w:bidi w:val="0"/>
              <w:spacing w:before="0" w:after="283"/>
              <w:jc w:val="left"/>
              <w:rPr/>
            </w:pPr>
            <w:r>
              <w:rPr/>
              <w:t> </w:t>
            </w:r>
          </w:p>
        </w:tc>
        <w:tc>
          <w:tcPr>
            <w:tcW w:w="60" w:type="dxa"/>
            <w:tcBorders>
              <w:right w:val="single" w:sz="8" w:space="0" w:color="FFFFFF"/>
            </w:tcBorders>
            <w:shd w:fill="D2D6E4" w:val="clear"/>
            <w:tcMar>
              <w:right w:w="28" w:type="dxa"/>
            </w:tcMar>
            <w:vAlign w:val="center"/>
          </w:tcPr>
          <w:p>
            <w:pPr>
              <w:pStyle w:val="TableContents"/>
              <w:bidi w:val="0"/>
              <w:spacing w:before="0" w:after="283"/>
              <w:jc w:val="left"/>
              <w:rPr/>
            </w:pPr>
            <w:r>
              <w:rPr/>
              <w:t> </w:t>
            </w:r>
          </w:p>
        </w:tc>
        <w:tc>
          <w:tcPr>
            <w:tcW w:w="2058" w:type="dxa"/>
            <w:gridSpan w:val="3"/>
            <w:tcBorders/>
            <w:shd w:fill="D2D6E4" w:val="clear"/>
            <w:vAlign w:val="center"/>
          </w:tcPr>
          <w:p>
            <w:pPr>
              <w:pStyle w:val="TableContents"/>
              <w:bidi w:val="0"/>
              <w:spacing w:before="0" w:after="283"/>
              <w:jc w:val="center"/>
              <w:rPr>
                <w:b/>
                <w:sz w:val="16"/>
              </w:rPr>
            </w:pPr>
            <w:r>
              <w:rPr>
                <w:b/>
                <w:sz w:val="16"/>
              </w:rPr>
              <w:t>Fiscal Year 2025</w:t>
              <w:br/>
              <w:t>Deloitte &amp; Touche LLP Fees</w:t>
              <w:br/>
              <w:t>($)</w:t>
            </w:r>
          </w:p>
        </w:tc>
        <w:tc>
          <w:tcPr>
            <w:tcW w:w="60" w:type="dxa"/>
            <w:tcBorders>
              <w:right w:val="single" w:sz="8" w:space="0" w:color="FFFFFF"/>
            </w:tcBorders>
            <w:shd w:fill="D2D6E4" w:val="clear"/>
            <w:tcMar>
              <w:right w:w="28" w:type="dxa"/>
            </w:tcMar>
            <w:vAlign w:val="center"/>
          </w:tcPr>
          <w:p>
            <w:pPr>
              <w:pStyle w:val="TableContents"/>
              <w:bidi w:val="0"/>
              <w:spacing w:before="0" w:after="283"/>
              <w:jc w:val="left"/>
              <w:rPr/>
            </w:pPr>
            <w:r>
              <w:rPr/>
              <w:t> </w:t>
            </w:r>
          </w:p>
        </w:tc>
        <w:tc>
          <w:tcPr>
            <w:tcW w:w="2073" w:type="dxa"/>
            <w:gridSpan w:val="3"/>
            <w:tcBorders/>
            <w:shd w:fill="D2D6E4" w:val="clear"/>
            <w:vAlign w:val="center"/>
          </w:tcPr>
          <w:p>
            <w:pPr>
              <w:pStyle w:val="TableContents"/>
              <w:bidi w:val="0"/>
              <w:spacing w:before="0" w:after="283"/>
              <w:jc w:val="center"/>
              <w:rPr>
                <w:b/>
                <w:sz w:val="16"/>
              </w:rPr>
            </w:pPr>
            <w:r>
              <w:rPr>
                <w:b/>
                <w:sz w:val="16"/>
              </w:rPr>
              <w:t>Fiscal Year 2024</w:t>
              <w:br/>
              <w:t>Deloitte &amp; Touche LLP Fees</w:t>
              <w:br/>
              <w:t>($)</w:t>
            </w:r>
          </w:p>
        </w:tc>
      </w:tr>
      <w:tr>
        <w:trPr/>
        <w:tc>
          <w:tcPr>
            <w:tcW w:w="167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Audit Fees</w:t>
            </w:r>
            <w:r>
              <w:rPr>
                <w:rFonts w:ascii="Arial;Helvetica;Sans-Serif" w:hAnsi="Arial;Helvetica;Sans-Serif"/>
                <w:position w:val="5"/>
                <w:sz w:val="13"/>
                <w:sz w:val="16"/>
              </w:rPr>
              <w:t>(1)</w:t>
            </w:r>
          </w:p>
        </w:tc>
        <w:tc>
          <w:tcPr>
            <w:tcW w:w="60" w:type="dxa"/>
            <w:tcBorders>
              <w:right w:val="single" w:sz="8" w:space="0" w:color="D6EFFC"/>
            </w:tcBorders>
            <w:tcMar>
              <w:right w:w="28" w:type="dxa"/>
            </w:tcMar>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772" w:type="dxa"/>
            <w:tcBorders/>
            <w:vAlign w:val="center"/>
          </w:tcPr>
          <w:p>
            <w:pPr>
              <w:pStyle w:val="TableContents"/>
              <w:bidi w:val="0"/>
              <w:spacing w:before="0" w:after="283"/>
              <w:jc w:val="right"/>
              <w:rPr>
                <w:sz w:val="16"/>
              </w:rPr>
            </w:pPr>
            <w:r>
              <w:rPr>
                <w:sz w:val="16"/>
              </w:rPr>
              <w:t>1,598,126</w:t>
            </w:r>
          </w:p>
        </w:tc>
        <w:tc>
          <w:tcPr>
            <w:tcW w:w="143" w:type="dxa"/>
            <w:tcBorders/>
            <w:vAlign w:val="center"/>
          </w:tcPr>
          <w:p>
            <w:pPr>
              <w:pStyle w:val="TableContents"/>
              <w:bidi w:val="0"/>
              <w:spacing w:before="0" w:after="283"/>
              <w:jc w:val="left"/>
              <w:rPr/>
            </w:pPr>
            <w:r>
              <w:rPr/>
              <w:t> </w:t>
            </w:r>
          </w:p>
        </w:tc>
        <w:tc>
          <w:tcPr>
            <w:tcW w:w="60" w:type="dxa"/>
            <w:tcBorders>
              <w:right w:val="single" w:sz="8" w:space="0" w:color="D6EFFC"/>
            </w:tcBorders>
            <w:tcMar>
              <w:right w:w="28" w:type="dxa"/>
            </w:tcMar>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1754" w:type="dxa"/>
            <w:tcBorders/>
            <w:vAlign w:val="center"/>
          </w:tcPr>
          <w:p>
            <w:pPr>
              <w:pStyle w:val="TableContents"/>
              <w:bidi w:val="0"/>
              <w:spacing w:before="0" w:after="283"/>
              <w:jc w:val="right"/>
              <w:rPr>
                <w:sz w:val="16"/>
              </w:rPr>
            </w:pPr>
            <w:r>
              <w:rPr>
                <w:sz w:val="16"/>
              </w:rPr>
              <w:t>1,546,847</w:t>
            </w:r>
          </w:p>
        </w:tc>
        <w:tc>
          <w:tcPr>
            <w:tcW w:w="177" w:type="dxa"/>
            <w:tcBorders/>
            <w:vAlign w:val="center"/>
          </w:tcPr>
          <w:p>
            <w:pPr>
              <w:pStyle w:val="TableContents"/>
              <w:bidi w:val="0"/>
              <w:spacing w:before="0" w:after="283"/>
              <w:jc w:val="left"/>
              <w:rPr/>
            </w:pPr>
            <w:r>
              <w:rPr/>
              <w:t> </w:t>
            </w:r>
          </w:p>
        </w:tc>
      </w:tr>
      <w:tr>
        <w:trPr/>
        <w:tc>
          <w:tcPr>
            <w:tcW w:w="1670" w:type="dxa"/>
            <w:tcBorders/>
            <w:shd w:fill="E6F5FD"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Audit-Related Fees</w:t>
            </w:r>
            <w:r>
              <w:rPr>
                <w:rFonts w:ascii="Arial;Helvetica;Sans-Serif" w:hAnsi="Arial;Helvetica;Sans-Serif"/>
                <w:position w:val="5"/>
                <w:sz w:val="13"/>
                <w:sz w:val="16"/>
              </w:rPr>
              <w:t>(2)</w:t>
            </w:r>
          </w:p>
        </w:tc>
        <w:tc>
          <w:tcPr>
            <w:tcW w:w="60" w:type="dxa"/>
            <w:tcBorders>
              <w:right w:val="single" w:sz="8" w:space="0" w:color="D6EFFC"/>
            </w:tcBorders>
            <w:shd w:fill="E6F5FD" w:val="clear"/>
            <w:tcMar>
              <w:right w:w="28" w:type="dxa"/>
            </w:tcMar>
            <w:vAlign w:val="center"/>
          </w:tcPr>
          <w:p>
            <w:pPr>
              <w:pStyle w:val="TableContents"/>
              <w:bidi w:val="0"/>
              <w:spacing w:before="0" w:after="283"/>
              <w:jc w:val="left"/>
              <w:rPr/>
            </w:pPr>
            <w:r>
              <w:rPr/>
              <w:t> </w:t>
            </w:r>
          </w:p>
        </w:tc>
        <w:tc>
          <w:tcPr>
            <w:tcW w:w="143" w:type="dxa"/>
            <w:tcBorders/>
            <w:shd w:fill="E6F5FD" w:val="clear"/>
            <w:vAlign w:val="center"/>
          </w:tcPr>
          <w:p>
            <w:pPr>
              <w:pStyle w:val="TableContents"/>
              <w:bidi w:val="0"/>
              <w:spacing w:before="0" w:after="283"/>
              <w:jc w:val="left"/>
              <w:rPr/>
            </w:pPr>
            <w:r>
              <w:rPr/>
              <w:t> </w:t>
            </w:r>
          </w:p>
        </w:tc>
        <w:tc>
          <w:tcPr>
            <w:tcW w:w="1772" w:type="dxa"/>
            <w:tcBorders/>
            <w:shd w:fill="E6F5FD" w:val="clear"/>
            <w:vAlign w:val="center"/>
          </w:tcPr>
          <w:p>
            <w:pPr>
              <w:pStyle w:val="TableContents"/>
              <w:bidi w:val="0"/>
              <w:spacing w:before="0" w:after="283"/>
              <w:jc w:val="right"/>
              <w:rPr/>
            </w:pPr>
            <w:r>
              <w:rPr/>
              <w:t>—</w:t>
            </w:r>
          </w:p>
        </w:tc>
        <w:tc>
          <w:tcPr>
            <w:tcW w:w="143" w:type="dxa"/>
            <w:tcBorders/>
            <w:shd w:fill="E6F5FD" w:val="clear"/>
            <w:vAlign w:val="center"/>
          </w:tcPr>
          <w:p>
            <w:pPr>
              <w:pStyle w:val="TableContents"/>
              <w:bidi w:val="0"/>
              <w:spacing w:before="0" w:after="283"/>
              <w:jc w:val="left"/>
              <w:rPr/>
            </w:pPr>
            <w:r>
              <w:rPr/>
              <w:t> </w:t>
            </w:r>
          </w:p>
        </w:tc>
        <w:tc>
          <w:tcPr>
            <w:tcW w:w="60" w:type="dxa"/>
            <w:tcBorders>
              <w:right w:val="single" w:sz="8" w:space="0" w:color="D6EFFC"/>
            </w:tcBorders>
            <w:shd w:fill="E6F5FD" w:val="clear"/>
            <w:tcMar>
              <w:right w:w="28" w:type="dxa"/>
            </w:tcMar>
            <w:vAlign w:val="center"/>
          </w:tcPr>
          <w:p>
            <w:pPr>
              <w:pStyle w:val="TableContents"/>
              <w:bidi w:val="0"/>
              <w:spacing w:before="0" w:after="283"/>
              <w:jc w:val="left"/>
              <w:rPr/>
            </w:pPr>
            <w:r>
              <w:rPr/>
              <w:t> </w:t>
            </w:r>
          </w:p>
        </w:tc>
        <w:tc>
          <w:tcPr>
            <w:tcW w:w="142" w:type="dxa"/>
            <w:tcBorders/>
            <w:shd w:fill="E6F5FD" w:val="clear"/>
            <w:vAlign w:val="center"/>
          </w:tcPr>
          <w:p>
            <w:pPr>
              <w:pStyle w:val="TableContents"/>
              <w:bidi w:val="0"/>
              <w:spacing w:before="0" w:after="283"/>
              <w:jc w:val="left"/>
              <w:rPr/>
            </w:pPr>
            <w:r>
              <w:rPr/>
              <w:t> </w:t>
            </w:r>
          </w:p>
        </w:tc>
        <w:tc>
          <w:tcPr>
            <w:tcW w:w="1754" w:type="dxa"/>
            <w:tcBorders/>
            <w:shd w:fill="E6F5FD" w:val="clear"/>
            <w:vAlign w:val="center"/>
          </w:tcPr>
          <w:p>
            <w:pPr>
              <w:pStyle w:val="TableContents"/>
              <w:bidi w:val="0"/>
              <w:spacing w:before="0" w:after="283"/>
              <w:jc w:val="right"/>
              <w:rPr/>
            </w:pPr>
            <w:r>
              <w:rPr/>
              <w:t>—</w:t>
            </w:r>
          </w:p>
        </w:tc>
        <w:tc>
          <w:tcPr>
            <w:tcW w:w="177" w:type="dxa"/>
            <w:tcBorders/>
            <w:shd w:fill="E6F5FD"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Tax Fees</w:t>
            </w:r>
            <w:r>
              <w:rPr>
                <w:rFonts w:ascii="Arial;Helvetica;Sans-Serif" w:hAnsi="Arial;Helvetica;Sans-Serif"/>
                <w:position w:val="5"/>
                <w:sz w:val="13"/>
                <w:sz w:val="16"/>
              </w:rPr>
              <w:t>(3)</w:t>
            </w:r>
          </w:p>
        </w:tc>
        <w:tc>
          <w:tcPr>
            <w:tcW w:w="60" w:type="dxa"/>
            <w:tcBorders>
              <w:right w:val="single" w:sz="8" w:space="0" w:color="D6EFFC"/>
            </w:tcBorders>
            <w:shd w:fill="FFFFFF" w:val="clear"/>
            <w:tcMar>
              <w:right w:w="28" w:type="dxa"/>
            </w:tcM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772" w:type="dxa"/>
            <w:tcBorders/>
            <w:shd w:fill="FFFFFF" w:val="clear"/>
            <w:vAlign w:val="center"/>
          </w:tcPr>
          <w:p>
            <w:pPr>
              <w:pStyle w:val="TableContents"/>
              <w:bidi w:val="0"/>
              <w:spacing w:before="0" w:after="283"/>
              <w:jc w:val="right"/>
              <w:rPr>
                <w:sz w:val="16"/>
              </w:rPr>
            </w:pPr>
            <w:r>
              <w:rPr>
                <w:sz w:val="16"/>
              </w:rPr>
              <w:t>193,635</w:t>
            </w:r>
          </w:p>
        </w:tc>
        <w:tc>
          <w:tcPr>
            <w:tcW w:w="143" w:type="dxa"/>
            <w:tcBorders/>
            <w:shd w:fill="FFFFFF" w:val="clear"/>
            <w:vAlign w:val="center"/>
          </w:tcPr>
          <w:p>
            <w:pPr>
              <w:pStyle w:val="TableContents"/>
              <w:bidi w:val="0"/>
              <w:spacing w:before="0" w:after="283"/>
              <w:jc w:val="left"/>
              <w:rPr/>
            </w:pPr>
            <w:r>
              <w:rPr/>
              <w:t> </w:t>
            </w:r>
          </w:p>
        </w:tc>
        <w:tc>
          <w:tcPr>
            <w:tcW w:w="60" w:type="dxa"/>
            <w:tcBorders>
              <w:right w:val="single" w:sz="8" w:space="0" w:color="D6EFFC"/>
            </w:tcBorders>
            <w:shd w:fill="FFFFFF" w:val="clear"/>
            <w:tcMar>
              <w:right w:w="28" w:type="dxa"/>
            </w:tcM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754" w:type="dxa"/>
            <w:tcBorders/>
            <w:shd w:fill="FFFFFF" w:val="clear"/>
            <w:vAlign w:val="center"/>
          </w:tcPr>
          <w:p>
            <w:pPr>
              <w:pStyle w:val="TableContents"/>
              <w:bidi w:val="0"/>
              <w:spacing w:before="0" w:after="283"/>
              <w:jc w:val="right"/>
              <w:rPr>
                <w:sz w:val="16"/>
              </w:rPr>
            </w:pPr>
            <w:r>
              <w:rPr>
                <w:sz w:val="16"/>
              </w:rPr>
              <w:t>200,870</w:t>
            </w:r>
          </w:p>
        </w:tc>
        <w:tc>
          <w:tcPr>
            <w:tcW w:w="177" w:type="dxa"/>
            <w:tcBorders/>
            <w:shd w:fill="FFFFFF" w:val="clear"/>
            <w:vAlign w:val="center"/>
          </w:tcPr>
          <w:p>
            <w:pPr>
              <w:pStyle w:val="TableContents"/>
              <w:bidi w:val="0"/>
              <w:spacing w:before="0" w:after="283"/>
              <w:jc w:val="left"/>
              <w:rPr/>
            </w:pPr>
            <w:r>
              <w:rPr/>
              <w:t> </w:t>
            </w:r>
          </w:p>
        </w:tc>
      </w:tr>
      <w:tr>
        <w:trPr/>
        <w:tc>
          <w:tcPr>
            <w:tcW w:w="1670" w:type="dxa"/>
            <w:tcBorders/>
            <w:shd w:fill="E6F5FD"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All Other Fees Fees</w:t>
            </w:r>
            <w:r>
              <w:rPr>
                <w:rFonts w:ascii="Arial;Helvetica;Sans-Serif" w:hAnsi="Arial;Helvetica;Sans-Serif"/>
                <w:position w:val="5"/>
                <w:sz w:val="13"/>
                <w:sz w:val="16"/>
              </w:rPr>
              <w:t>(4)</w:t>
            </w:r>
          </w:p>
        </w:tc>
        <w:tc>
          <w:tcPr>
            <w:tcW w:w="60" w:type="dxa"/>
            <w:tcBorders>
              <w:right w:val="single" w:sz="8" w:space="0" w:color="D6EFFC"/>
            </w:tcBorders>
            <w:shd w:fill="E6F5FD" w:val="clear"/>
            <w:tcMar>
              <w:right w:w="28" w:type="dxa"/>
            </w:tcMar>
            <w:vAlign w:val="center"/>
          </w:tcPr>
          <w:p>
            <w:pPr>
              <w:pStyle w:val="TableContents"/>
              <w:bidi w:val="0"/>
              <w:spacing w:before="0" w:after="283"/>
              <w:jc w:val="left"/>
              <w:rPr/>
            </w:pPr>
            <w:r>
              <w:rPr/>
              <w:t> </w:t>
            </w:r>
          </w:p>
        </w:tc>
        <w:tc>
          <w:tcPr>
            <w:tcW w:w="143" w:type="dxa"/>
            <w:tcBorders/>
            <w:shd w:fill="E6F5FD" w:val="clear"/>
            <w:vAlign w:val="center"/>
          </w:tcPr>
          <w:p>
            <w:pPr>
              <w:pStyle w:val="TableContents"/>
              <w:bidi w:val="0"/>
              <w:spacing w:before="0" w:after="283"/>
              <w:jc w:val="left"/>
              <w:rPr/>
            </w:pPr>
            <w:r>
              <w:rPr/>
              <w:t> </w:t>
            </w:r>
          </w:p>
        </w:tc>
        <w:tc>
          <w:tcPr>
            <w:tcW w:w="1772" w:type="dxa"/>
            <w:tcBorders/>
            <w:shd w:fill="E6F5FD" w:val="clear"/>
            <w:vAlign w:val="center"/>
          </w:tcPr>
          <w:p>
            <w:pPr>
              <w:pStyle w:val="TableContents"/>
              <w:bidi w:val="0"/>
              <w:spacing w:before="0" w:after="283"/>
              <w:jc w:val="right"/>
              <w:rPr/>
            </w:pPr>
            <w:r>
              <w:rPr/>
              <w:t>—</w:t>
            </w:r>
          </w:p>
        </w:tc>
        <w:tc>
          <w:tcPr>
            <w:tcW w:w="143" w:type="dxa"/>
            <w:tcBorders/>
            <w:shd w:fill="E6F5FD" w:val="clear"/>
            <w:vAlign w:val="center"/>
          </w:tcPr>
          <w:p>
            <w:pPr>
              <w:pStyle w:val="TableContents"/>
              <w:bidi w:val="0"/>
              <w:spacing w:before="0" w:after="283"/>
              <w:jc w:val="left"/>
              <w:rPr/>
            </w:pPr>
            <w:r>
              <w:rPr/>
              <w:t> </w:t>
            </w:r>
          </w:p>
        </w:tc>
        <w:tc>
          <w:tcPr>
            <w:tcW w:w="60" w:type="dxa"/>
            <w:tcBorders>
              <w:right w:val="single" w:sz="8" w:space="0" w:color="D6EFFC"/>
            </w:tcBorders>
            <w:shd w:fill="E6F5FD" w:val="clear"/>
            <w:tcMar>
              <w:right w:w="28" w:type="dxa"/>
            </w:tcMar>
            <w:vAlign w:val="center"/>
          </w:tcPr>
          <w:p>
            <w:pPr>
              <w:pStyle w:val="TableContents"/>
              <w:bidi w:val="0"/>
              <w:spacing w:before="0" w:after="283"/>
              <w:jc w:val="left"/>
              <w:rPr/>
            </w:pPr>
            <w:r>
              <w:rPr/>
              <w:t> </w:t>
            </w:r>
          </w:p>
        </w:tc>
        <w:tc>
          <w:tcPr>
            <w:tcW w:w="142" w:type="dxa"/>
            <w:tcBorders/>
            <w:shd w:fill="E6F5FD" w:val="clear"/>
            <w:vAlign w:val="center"/>
          </w:tcPr>
          <w:p>
            <w:pPr>
              <w:pStyle w:val="TableContents"/>
              <w:bidi w:val="0"/>
              <w:spacing w:before="0" w:after="283"/>
              <w:jc w:val="left"/>
              <w:rPr/>
            </w:pPr>
            <w:r>
              <w:rPr/>
              <w:t> </w:t>
            </w:r>
          </w:p>
        </w:tc>
        <w:tc>
          <w:tcPr>
            <w:tcW w:w="1754" w:type="dxa"/>
            <w:tcBorders/>
            <w:shd w:fill="E6F5FD" w:val="clear"/>
            <w:vAlign w:val="center"/>
          </w:tcPr>
          <w:p>
            <w:pPr>
              <w:pStyle w:val="TableContents"/>
              <w:bidi w:val="0"/>
              <w:spacing w:before="0" w:after="283"/>
              <w:jc w:val="right"/>
              <w:rPr/>
            </w:pPr>
            <w:r>
              <w:rPr/>
              <w:t>—</w:t>
            </w:r>
          </w:p>
        </w:tc>
        <w:tc>
          <w:tcPr>
            <w:tcW w:w="177" w:type="dxa"/>
            <w:tcBorders/>
            <w:shd w:fill="E6F5FD"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b/>
                <w:sz w:val="16"/>
              </w:rPr>
            </w:pPr>
            <w:r>
              <w:rPr>
                <w:b/>
                <w:sz w:val="16"/>
              </w:rPr>
              <w:t>Total Fees</w:t>
            </w:r>
          </w:p>
        </w:tc>
        <w:tc>
          <w:tcPr>
            <w:tcW w:w="60" w:type="dxa"/>
            <w:tcBorders>
              <w:right w:val="single" w:sz="8" w:space="0" w:color="D6EFFC"/>
            </w:tcBorders>
            <w:shd w:fill="FFFFFF" w:val="clear"/>
            <w:tcMar>
              <w:right w:w="28" w:type="dxa"/>
            </w:tcM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772" w:type="dxa"/>
            <w:tcBorders/>
            <w:shd w:fill="FFFFFF" w:val="clear"/>
            <w:vAlign w:val="center"/>
          </w:tcPr>
          <w:p>
            <w:pPr>
              <w:pStyle w:val="TableContents"/>
              <w:bidi w:val="0"/>
              <w:spacing w:before="0" w:after="283"/>
              <w:jc w:val="right"/>
              <w:rPr>
                <w:b/>
                <w:sz w:val="16"/>
              </w:rPr>
            </w:pPr>
            <w:r>
              <w:rPr>
                <w:b/>
                <w:sz w:val="16"/>
              </w:rPr>
              <w:t>1,791,761</w:t>
            </w:r>
          </w:p>
        </w:tc>
        <w:tc>
          <w:tcPr>
            <w:tcW w:w="143" w:type="dxa"/>
            <w:tcBorders/>
            <w:shd w:fill="FFFFFF" w:val="clear"/>
            <w:vAlign w:val="center"/>
          </w:tcPr>
          <w:p>
            <w:pPr>
              <w:pStyle w:val="TableContents"/>
              <w:bidi w:val="0"/>
              <w:spacing w:before="0" w:after="283"/>
              <w:jc w:val="left"/>
              <w:rPr/>
            </w:pPr>
            <w:r>
              <w:rPr/>
              <w:t> </w:t>
            </w:r>
          </w:p>
        </w:tc>
        <w:tc>
          <w:tcPr>
            <w:tcW w:w="60" w:type="dxa"/>
            <w:tcBorders>
              <w:right w:val="single" w:sz="8" w:space="0" w:color="D6EFFC"/>
            </w:tcBorders>
            <w:shd w:fill="FFFFFF" w:val="clear"/>
            <w:tcMar>
              <w:right w:w="28" w:type="dxa"/>
            </w:tcM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1754" w:type="dxa"/>
            <w:tcBorders/>
            <w:shd w:fill="FFFFFF" w:val="clear"/>
            <w:vAlign w:val="center"/>
          </w:tcPr>
          <w:p>
            <w:pPr>
              <w:pStyle w:val="TableContents"/>
              <w:bidi w:val="0"/>
              <w:spacing w:before="0" w:after="283"/>
              <w:jc w:val="right"/>
              <w:rPr>
                <w:b/>
                <w:sz w:val="16"/>
              </w:rPr>
            </w:pPr>
            <w:r>
              <w:rPr>
                <w:b/>
                <w:sz w:val="16"/>
              </w:rPr>
              <w:t>1,747,717</w:t>
            </w:r>
          </w:p>
        </w:tc>
        <w:tc>
          <w:tcPr>
            <w:tcW w:w="177" w:type="dxa"/>
            <w:tcBorders/>
            <w:shd w:fill="FFFFFF" w:val="clear"/>
            <w:vAlign w:val="center"/>
          </w:tcPr>
          <w:p>
            <w:pPr>
              <w:pStyle w:val="TableContents"/>
              <w:bidi w:val="0"/>
              <w:spacing w:before="0" w:after="283"/>
              <w:jc w:val="left"/>
              <w:rPr/>
            </w:pPr>
            <w:r>
              <w:rPr/>
              <w:t> </w:t>
            </w:r>
          </w:p>
        </w:tc>
      </w:tr>
    </w:tbl>
    <w:p>
      <w:pPr>
        <w:pStyle w:val="TextBody"/>
        <w:bidi w:val="0"/>
        <w:jc w:val="left"/>
        <w:rPr>
          <w:bdr w:val="single" w:sz="8" w:space="1" w:color="2872A8"/>
        </w:rPr>
      </w:pPr>
      <w:r>
        <w:rPr>
          <w:bdr w:val="single" w:sz="8" w:space="1" w:color="2872A8"/>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(1)</w:t>
            </w:r>
          </w:p>
        </w:tc>
        <w:tc>
          <w:tcPr>
            <w:tcW w:w="10007" w:type="dxa"/>
            <w:tcBorders/>
            <w:vAlign w:val="center"/>
          </w:tcPr>
          <w:p>
            <w:pPr>
              <w:pStyle w:val="TableContents"/>
              <w:bidi w:val="0"/>
              <w:spacing w:before="0" w:after="283"/>
              <w:jc w:val="both"/>
              <w:rPr/>
            </w:pPr>
            <w:r>
              <w:rPr/>
              <w:t>“</w:t>
            </w:r>
            <w:r>
              <w:rPr>
                <w:rFonts w:ascii="Arial;Helvetica;Sans-Serif" w:hAnsi="Arial;Helvetica;Sans-Serif"/>
                <w:sz w:val="14"/>
              </w:rPr>
              <w:t>Audit Fees” are fees billed for professional services for the audit of our consolidated annual financial statements filed on Form 10-K, the audit of our internal controls over financial reporting, the review of our interim financial statements included in our quarterly reports on Form 10-Q, and other SEC registration statement and consent services.</w:t>
            </w:r>
          </w:p>
        </w:tc>
      </w:tr>
    </w:tbl>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w:t>
            </w:r>
          </w:p>
        </w:tc>
        <w:tc>
          <w:tcPr>
            <w:tcW w:w="9985" w:type="dxa"/>
            <w:tcBorders/>
            <w:vAlign w:val="center"/>
          </w:tcPr>
          <w:p>
            <w:pPr>
              <w:pStyle w:val="TableContents"/>
              <w:bidi w:val="0"/>
              <w:spacing w:before="0" w:after="283"/>
              <w:jc w:val="both"/>
              <w:rPr/>
            </w:pPr>
            <w:r>
              <w:rPr/>
              <w:t>“</w:t>
            </w:r>
            <w:r>
              <w:rPr>
                <w:rFonts w:ascii="Arial;Helvetica;Sans-Serif" w:hAnsi="Arial;Helvetica;Sans-Serif"/>
                <w:sz w:val="14"/>
              </w:rPr>
              <w:t>Audit-Related Fees” are fees billed for assurance and related services that are reasonably related to the performance of the audit or review of our financial statements.</w:t>
            </w:r>
          </w:p>
        </w:tc>
      </w:tr>
    </w:tbl>
    <w:tbl>
      <w:tblPr>
        <w:tblW w:w="7548" w:type="dxa"/>
        <w:jc w:val="left"/>
        <w:tblInd w:w="0" w:type="dxa"/>
        <w:tblLayout w:type="fixed"/>
        <w:tblCellMar>
          <w:top w:w="0" w:type="dxa"/>
          <w:left w:w="0" w:type="dxa"/>
          <w:bottom w:w="0" w:type="dxa"/>
          <w:right w:w="0" w:type="dxa"/>
        </w:tblCellMar>
      </w:tblPr>
      <w:tblGrid>
        <w:gridCol w:w="38"/>
        <w:gridCol w:w="185"/>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(3)</w:t>
            </w:r>
          </w:p>
        </w:tc>
        <w:tc>
          <w:tcPr>
            <w:tcW w:w="7325" w:type="dxa"/>
            <w:tcBorders/>
            <w:vAlign w:val="center"/>
          </w:tcPr>
          <w:p>
            <w:pPr>
              <w:pStyle w:val="TableContents"/>
              <w:bidi w:val="0"/>
              <w:spacing w:before="0" w:after="283"/>
              <w:jc w:val="both"/>
              <w:rPr/>
            </w:pPr>
            <w:r>
              <w:rPr/>
              <w:t>“</w:t>
            </w:r>
            <w:r>
              <w:rPr>
                <w:rFonts w:ascii="Arial;Helvetica;Sans-Serif" w:hAnsi="Arial;Helvetica;Sans-Serif"/>
                <w:sz w:val="14"/>
              </w:rPr>
              <w:t>Tax Fees” are fees billed for professional services rendered in connection with tax compliance, advice and planning.</w:t>
            </w:r>
          </w:p>
        </w:tc>
      </w:tr>
    </w:tbl>
    <w:tbl>
      <w:tblPr>
        <w:tblW w:w="8778" w:type="dxa"/>
        <w:jc w:val="left"/>
        <w:tblInd w:w="0" w:type="dxa"/>
        <w:tblLayout w:type="fixed"/>
        <w:tblCellMar>
          <w:top w:w="0" w:type="dxa"/>
          <w:left w:w="0" w:type="dxa"/>
          <w:bottom w:w="0" w:type="dxa"/>
          <w:right w:w="0" w:type="dxa"/>
        </w:tblCellMar>
      </w:tblPr>
      <w:tblGrid>
        <w:gridCol w:w="38"/>
        <w:gridCol w:w="185"/>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(4)</w:t>
            </w:r>
          </w:p>
        </w:tc>
        <w:tc>
          <w:tcPr>
            <w:tcW w:w="8555" w:type="dxa"/>
            <w:tcBorders/>
            <w:vAlign w:val="center"/>
          </w:tcPr>
          <w:p>
            <w:pPr>
              <w:pStyle w:val="TableContents"/>
              <w:bidi w:val="0"/>
              <w:spacing w:before="0" w:after="283"/>
              <w:jc w:val="both"/>
              <w:rPr/>
            </w:pPr>
            <w:r>
              <w:rPr/>
              <w:t>“</w:t>
            </w:r>
            <w:r>
              <w:rPr>
                <w:rFonts w:ascii="Arial;Helvetica;Sans-Serif" w:hAnsi="Arial;Helvetica;Sans-Serif"/>
                <w:sz w:val="14"/>
              </w:rPr>
              <w:t>All Other Fees” are fees billed for products and services other than those reported in “Audit Fees”, “Audit-Related Fees” and “Tax Fees”.</w:t>
            </w:r>
          </w:p>
        </w:tc>
      </w:tr>
    </w:tbl>
    <w:p>
      <w:pPr>
        <w:pStyle w:val="TextBody"/>
        <w:bidi w:val="0"/>
        <w:spacing w:before="0" w:after="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color w:val="008DCF"/>
          <w:sz w:val="24"/>
          <w:bdr w:val="single" w:sz="8" w:space="1" w:color="2872A8"/>
        </w:rPr>
      </w:pPr>
      <w:bookmarkStart w:id="259" w:name="lmnrdef14aa091"/>
      <w:bookmarkEnd w:id="259"/>
      <w:r>
        <w:rPr>
          <w:rFonts w:ascii="Arial;Helvetica;Sans-Serif" w:hAnsi="Arial;Helvetica;Sans-Serif"/>
          <w:b/>
          <w:i w:val="false"/>
          <w:caps w:val="false"/>
          <w:smallCaps w:val="false"/>
          <w:color w:val="008DCF"/>
          <w:sz w:val="24"/>
          <w:bdr w:val="single" w:sz="8" w:space="1" w:color="2872A8"/>
        </w:rPr>
        <w:t>Pre-Approval Policies and Procedures</w:t>
      </w:r>
    </w:p>
    <w:p>
      <w:pPr>
        <w:pStyle w:val="TextBody"/>
        <w:bidi w:val="0"/>
        <w:spacing w:before="0" w:after="0"/>
        <w:ind w:left="0" w:right="0" w:hanging="0"/>
        <w:jc w:val="left"/>
        <w:rPr>
          <w:caps w:val="false"/>
          <w:smallCaps w:val="false"/>
          <w:color w:val="008DCF"/>
          <w:bdr w:val="single" w:sz="8" w:space="1" w:color="2872A8"/>
        </w:rPr>
      </w:pPr>
      <w:r>
        <w:rPr>
          <w:caps w:val="false"/>
          <w:smallCaps w:val="false"/>
          <w:color w:val="008DCF"/>
          <w:bdr w:val="single" w:sz="8" w:space="1" w:color="2872A8"/>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Audit Committee has responsibility for conducting its appraisal and approval of audit and non-audit services. The Audit Committee allows delegation to its members to approve additional audit and non-audit services. The Audit Committee or one of its members pre-approved all the services provided by Deloitte &amp; Touche LLP for the fiscal year ended October 31, 2025. Management reviewed out-of-scope fees for fiscal year 2025 audit services prior to approval by the Audit Committee. Audit and non-audit services for next fiscal year are reviewed by management prior to approval by the Audit Committee. Non-audit services include, but are not limited to, planning, advisory, consulting and tax compliance services. In making its recommendation to ratify the selection of Deloitte &amp; Touche LLP as independent registered public accounting firm for the fiscal year ending October 31, 2026, the Audit Committee has considered whether the services provided by Deloitte &amp; Touche LLP</w:t>
      </w:r>
    </w:p>
    <w:p>
      <w:pPr>
        <w:pStyle w:val="TextBody"/>
        <w:bidi w:val="0"/>
        <w:spacing w:before="0" w:after="0"/>
        <w:ind w:left="200" w:right="200" w:hanging="0"/>
        <w:jc w:val="left"/>
        <w:rPr>
          <w:caps w:val="false"/>
          <w:smallCaps w:val="false"/>
          <w:bdr w:val="single" w:sz="8" w:space="1" w:color="2872A8"/>
        </w:rPr>
      </w:pPr>
      <w:r>
        <w:rPr>
          <w:caps w:val="false"/>
          <w:smallCaps w:val="false"/>
          <w:bdr w:val="single" w:sz="8" w:space="1" w:color="2872A8"/>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54</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0" w:right="2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20" w:right="2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are compatible with maintaining the independence of Deloitte &amp; Touche LLP and has determined that such services do not interfere with Deloitte &amp; Touche LLP’s independence. If an independence breach occurs, Deloitte &amp; Touch LLP communicates the nature of the breach, in writing, to the Audit Committee.</w:t>
      </w:r>
    </w:p>
    <w:p>
      <w:pPr>
        <w:pStyle w:val="TextBody"/>
        <w:bidi w:val="0"/>
        <w:spacing w:before="0" w:after="0"/>
        <w:ind w:left="20" w:right="2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color w:val="008DCF"/>
          <w:sz w:val="24"/>
          <w:bdr w:val="single" w:sz="8" w:space="1" w:color="2872A8"/>
        </w:rPr>
      </w:pPr>
      <w:bookmarkStart w:id="260" w:name="lmnrdef14aa092"/>
      <w:bookmarkEnd w:id="260"/>
      <w:r>
        <w:rPr>
          <w:rFonts w:ascii="Arial;Helvetica;Sans-Serif" w:hAnsi="Arial;Helvetica;Sans-Serif"/>
          <w:b/>
          <w:i w:val="false"/>
          <w:caps w:val="false"/>
          <w:smallCaps w:val="false"/>
          <w:color w:val="008DCF"/>
          <w:sz w:val="24"/>
          <w:bdr w:val="single" w:sz="8" w:space="1" w:color="2872A8"/>
        </w:rPr>
        <w:t>Required Vote for Stockholder Approval</w:t>
      </w:r>
    </w:p>
    <w:p>
      <w:pPr>
        <w:pStyle w:val="TextBody"/>
        <w:bidi w:val="0"/>
        <w:spacing w:before="0" w:after="0"/>
        <w:ind w:left="0" w:right="0" w:hanging="0"/>
        <w:jc w:val="left"/>
        <w:rPr>
          <w:caps w:val="false"/>
          <w:smallCaps w:val="false"/>
          <w:color w:val="008DCF"/>
          <w:bdr w:val="single" w:sz="8" w:space="1" w:color="2872A8"/>
        </w:rPr>
      </w:pPr>
      <w:r>
        <w:rPr>
          <w:caps w:val="false"/>
          <w:smallCaps w:val="false"/>
          <w:color w:val="008DCF"/>
          <w:bdr w:val="single" w:sz="8" w:space="1" w:color="2872A8"/>
        </w:rPr>
        <w:t> </w:t>
      </w:r>
    </w:p>
    <w:p>
      <w:pPr>
        <w:pStyle w:val="TextBody"/>
        <w:bidi w:val="0"/>
        <w:spacing w:before="0" w:after="0"/>
        <w:ind w:left="120" w:right="12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ratification of our independent registered public accounting firm requires the affirmative vote of the holders of at least a majority of the votes of the shares of Voting Stock present or represented by proxy and entitled to vote on the proposal at the Annual Meeting.</w:t>
      </w:r>
    </w:p>
    <w:p>
      <w:pPr>
        <w:pStyle w:val="TextBody"/>
        <w:bidi w:val="0"/>
        <w:spacing w:before="0" w:after="0"/>
        <w:ind w:left="120" w:right="12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An abstention will not be counted toward the ratification of Deloitte &amp; Touche LLP as the independent registered public accounting firm, and the effect of an abstention is the same as a vote against the ratification. Brokers have discretion to vote on the ratification of our independent registered public accounting firm and, as such, no votes on this proposal will be considered broker non-votes.</w:t>
      </w:r>
    </w:p>
    <w:p>
      <w:pPr>
        <w:pStyle w:val="TextBody"/>
        <w:bidi w:val="0"/>
        <w:spacing w:before="0" w:after="0"/>
        <w:ind w:left="200" w:right="20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color w:val="008DCF"/>
          <w:sz w:val="24"/>
          <w:bdr w:val="single" w:sz="8" w:space="1" w:color="2872A8"/>
        </w:rPr>
      </w:pPr>
      <w:bookmarkStart w:id="261" w:name="lmnrdef14aa093"/>
      <w:bookmarkEnd w:id="261"/>
      <w:r>
        <w:rPr>
          <w:rFonts w:ascii="Arial;Helvetica;Sans-Serif" w:hAnsi="Arial;Helvetica;Sans-Serif"/>
          <w:b/>
          <w:i w:val="false"/>
          <w:caps w:val="false"/>
          <w:smallCaps w:val="false"/>
          <w:color w:val="008DCF"/>
          <w:sz w:val="24"/>
          <w:bdr w:val="single" w:sz="8" w:space="1" w:color="2872A8"/>
        </w:rPr>
        <w:t>Recommendation of the Board of Directors</w:t>
      </w:r>
    </w:p>
    <w:p>
      <w:pPr>
        <w:pStyle w:val="TextBody"/>
        <w:bidi w:val="0"/>
        <w:spacing w:before="0" w:after="0"/>
        <w:ind w:left="0" w:right="0" w:hanging="0"/>
        <w:jc w:val="left"/>
        <w:rPr>
          <w:caps w:val="false"/>
          <w:smallCaps w:val="false"/>
          <w:color w:val="008DCF"/>
          <w:bdr w:val="single" w:sz="8" w:space="1" w:color="2872A8"/>
        </w:rPr>
      </w:pPr>
      <w:r>
        <w:rPr>
          <w:caps w:val="false"/>
          <w:smallCaps w:val="false"/>
          <w:color w:val="008DCF"/>
          <w:bdr w:val="single" w:sz="8" w:space="1" w:color="2872A8"/>
        </w:rPr>
        <w:t> </w:t>
      </w:r>
    </w:p>
    <w:p>
      <w:pPr>
        <w:pStyle w:val="TextBody"/>
        <w:bidi w:val="0"/>
        <w:spacing w:before="0" w:after="0"/>
        <w:ind w:left="20" w:right="2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 xml:space="preserve">The Board recommends that you vote </w:t>
      </w:r>
      <w:r>
        <w:rPr>
          <w:rFonts w:ascii="Arial;Helvetica;Sans-Serif" w:hAnsi="Arial;Helvetica;Sans-Serif"/>
          <w:b/>
          <w:i w:val="false"/>
          <w:caps w:val="false"/>
          <w:smallCaps w:val="false"/>
          <w:sz w:val="18"/>
          <w:bdr w:val="single" w:sz="8" w:space="1" w:color="2872A8"/>
        </w:rPr>
        <w:t>FOR</w:t>
      </w:r>
      <w:r>
        <w:rPr>
          <w:rFonts w:ascii="Arial;Helvetica;Sans-Serif" w:hAnsi="Arial;Helvetica;Sans-Serif"/>
          <w:b w:val="false"/>
          <w:i w:val="false"/>
          <w:caps w:val="false"/>
          <w:smallCaps w:val="false"/>
          <w:sz w:val="18"/>
          <w:bdr w:val="single" w:sz="8" w:space="1" w:color="2872A8"/>
        </w:rPr>
        <w:t xml:space="preserve"> the ratification of the selection of Deloitte &amp; Touche LLP to serve as independent registered public accounting firm for the Company for the fiscal year ending October 31, 2026.</w:t>
      </w:r>
    </w:p>
    <w:p>
      <w:pPr>
        <w:pStyle w:val="TextBody"/>
        <w:bidi w:val="0"/>
        <w:spacing w:before="0" w:after="0"/>
        <w:ind w:left="20" w:right="2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color w:val="008DCF"/>
          <w:sz w:val="24"/>
          <w:bdr w:val="single" w:sz="8" w:space="1" w:color="2872A8"/>
        </w:rPr>
      </w:pPr>
      <w:bookmarkStart w:id="262" w:name="lmnrdef14aa094"/>
      <w:bookmarkEnd w:id="262"/>
      <w:r>
        <w:rPr>
          <w:rFonts w:ascii="Arial;Helvetica;Sans-Serif" w:hAnsi="Arial;Helvetica;Sans-Serif"/>
          <w:b/>
          <w:i w:val="false"/>
          <w:caps w:val="false"/>
          <w:smallCaps w:val="false"/>
          <w:color w:val="008DCF"/>
          <w:sz w:val="24"/>
          <w:bdr w:val="single" w:sz="8" w:space="1" w:color="2872A8"/>
        </w:rPr>
        <w:t>Audit and Finance Committee Report</w:t>
      </w:r>
    </w:p>
    <w:p>
      <w:pPr>
        <w:pStyle w:val="TextBody"/>
        <w:bidi w:val="0"/>
        <w:spacing w:before="0" w:after="0"/>
        <w:ind w:left="0" w:right="0" w:hanging="0"/>
        <w:jc w:val="left"/>
        <w:rPr>
          <w:caps w:val="false"/>
          <w:smallCaps w:val="false"/>
          <w:color w:val="008DCF"/>
          <w:bdr w:val="single" w:sz="8" w:space="1" w:color="2872A8"/>
        </w:rPr>
      </w:pPr>
      <w:r>
        <w:rPr>
          <w:caps w:val="false"/>
          <w:smallCaps w:val="false"/>
          <w:color w:val="008DCF"/>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Audit Committee’s primary role is to assist the Board in fulfilling its responsibility for oversight of:</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7458" w:type="dxa"/>
        <w:jc w:val="left"/>
        <w:tblInd w:w="0" w:type="dxa"/>
        <w:tblLayout w:type="fixed"/>
        <w:tblCellMar>
          <w:top w:w="0" w:type="dxa"/>
          <w:left w:w="0" w:type="dxa"/>
          <w:bottom w:w="0" w:type="dxa"/>
          <w:right w:w="0" w:type="dxa"/>
        </w:tblCellMar>
      </w:tblPr>
      <w:tblGrid>
        <w:gridCol w:w="38"/>
        <w:gridCol w:w="245"/>
        <w:gridCol w:w="71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(1)</w:t>
            </w:r>
          </w:p>
        </w:tc>
        <w:tc>
          <w:tcPr>
            <w:tcW w:w="7175"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the quality and integrity of the consolidated financial statements and related disclosures;</w:t>
            </w:r>
          </w:p>
        </w:tc>
      </w:tr>
    </w:tbl>
    <w:p>
      <w:pPr>
        <w:pStyle w:val="TextBody"/>
        <w:bidi w:val="0"/>
        <w:spacing w:before="0" w:after="0"/>
        <w:jc w:val="left"/>
        <w:rPr>
          <w:caps w:val="false"/>
          <w:smallCaps w:val="false"/>
          <w:bdr w:val="single" w:sz="8" w:space="1" w:color="2872A8"/>
        </w:rPr>
      </w:pPr>
      <w:r>
        <w:rPr>
          <w:caps w:val="false"/>
          <w:smallCaps w:val="false"/>
          <w:bdr w:val="single" w:sz="8" w:space="1" w:color="2872A8"/>
        </w:rPr>
        <w:t> </w:t>
      </w:r>
    </w:p>
    <w:tbl>
      <w:tblPr>
        <w:tblW w:w="4488" w:type="dxa"/>
        <w:jc w:val="left"/>
        <w:tblInd w:w="0" w:type="dxa"/>
        <w:tblLayout w:type="fixed"/>
        <w:tblCellMar>
          <w:top w:w="0" w:type="dxa"/>
          <w:left w:w="0" w:type="dxa"/>
          <w:bottom w:w="0" w:type="dxa"/>
          <w:right w:w="0" w:type="dxa"/>
        </w:tblCellMar>
      </w:tblPr>
      <w:tblGrid>
        <w:gridCol w:w="38"/>
        <w:gridCol w:w="245"/>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(2)</w:t>
            </w:r>
          </w:p>
        </w:tc>
        <w:tc>
          <w:tcPr>
            <w:tcW w:w="4205"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compliance with legal and regulatory requirements;</w:t>
            </w:r>
          </w:p>
        </w:tc>
      </w:tr>
    </w:tbl>
    <w:p>
      <w:pPr>
        <w:pStyle w:val="TextBody"/>
        <w:bidi w:val="0"/>
        <w:spacing w:before="0" w:after="0"/>
        <w:jc w:val="left"/>
        <w:rPr>
          <w:caps w:val="false"/>
          <w:smallCaps w:val="false"/>
          <w:bdr w:val="single" w:sz="8" w:space="1" w:color="2872A8"/>
        </w:rPr>
      </w:pPr>
      <w:r>
        <w:rPr>
          <w:caps w:val="false"/>
          <w:smallCaps w:val="false"/>
          <w:bdr w:val="single" w:sz="8" w:space="1" w:color="2872A8"/>
        </w:rPr>
        <w:t> </w:t>
      </w:r>
    </w:p>
    <w:tbl>
      <w:tblPr>
        <w:tblW w:w="8733" w:type="dxa"/>
        <w:jc w:val="left"/>
        <w:tblInd w:w="0" w:type="dxa"/>
        <w:tblLayout w:type="fixed"/>
        <w:tblCellMar>
          <w:top w:w="0" w:type="dxa"/>
          <w:left w:w="0" w:type="dxa"/>
          <w:bottom w:w="0" w:type="dxa"/>
          <w:right w:w="0" w:type="dxa"/>
        </w:tblCellMar>
      </w:tblPr>
      <w:tblGrid>
        <w:gridCol w:w="38"/>
        <w:gridCol w:w="245"/>
        <w:gridCol w:w="84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(3)</w:t>
            </w:r>
          </w:p>
        </w:tc>
        <w:tc>
          <w:tcPr>
            <w:tcW w:w="8450"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the independent registered public accounting firm’s qualifications, independence and performance; and</w:t>
            </w:r>
          </w:p>
        </w:tc>
      </w:tr>
    </w:tbl>
    <w:p>
      <w:pPr>
        <w:pStyle w:val="TextBody"/>
        <w:bidi w:val="0"/>
        <w:spacing w:before="0" w:after="0"/>
        <w:jc w:val="left"/>
        <w:rPr>
          <w:caps w:val="false"/>
          <w:smallCaps w:val="false"/>
          <w:bdr w:val="single" w:sz="8" w:space="1" w:color="2872A8"/>
        </w:rPr>
      </w:pPr>
      <w:r>
        <w:rPr>
          <w:caps w:val="false"/>
          <w:smallCaps w:val="false"/>
          <w:bdr w:val="single" w:sz="8" w:space="1" w:color="2872A8"/>
        </w:rPr>
        <w:t> </w:t>
      </w:r>
    </w:p>
    <w:tbl>
      <w:tblPr>
        <w:tblW w:w="5058" w:type="dxa"/>
        <w:jc w:val="left"/>
        <w:tblInd w:w="0" w:type="dxa"/>
        <w:tblLayout w:type="fixed"/>
        <w:tblCellMar>
          <w:top w:w="0" w:type="dxa"/>
          <w:left w:w="0" w:type="dxa"/>
          <w:bottom w:w="0" w:type="dxa"/>
          <w:right w:w="0" w:type="dxa"/>
        </w:tblCellMar>
      </w:tblPr>
      <w:tblGrid>
        <w:gridCol w:w="38"/>
        <w:gridCol w:w="245"/>
        <w:gridCol w:w="47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(4)</w:t>
            </w:r>
          </w:p>
        </w:tc>
        <w:tc>
          <w:tcPr>
            <w:tcW w:w="4775"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the performance of our internal audit and control functions.</w:t>
            </w:r>
          </w:p>
        </w:tc>
      </w:tr>
    </w:tbl>
    <w:p>
      <w:pPr>
        <w:pStyle w:val="TextBody"/>
        <w:bidi w:val="0"/>
        <w:spacing w:before="0" w:after="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40" w:right="4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Company’s management is responsible for the preparation of the financial statements, the financial reporting process and the system of internal controls. The independent registered public accounting firm is responsible for performing an audit of the financial statements in accordance with auditing standards generally accepted in the United States and issuing an opinion as to the conformity of those audited financial statements to United States generally accepted accounting principles. The Audit Committee monitors and oversees these processes.</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Audit Committee has adopted a policy designed to ensure proper oversight of our independent registered public accounting firm. Under the policy, the Audit Committee is directly responsible for the appointment, compensation, retention and oversight of the work of any registered public accounting firm engaged for the purpose of preparing or issuing an audit report or performing any other audit review (including resolution of disagreements among management and the independent registered public accounting firm regarding financial reporting), or attestation services. In addition, the Audit Committee is responsible for pre-approving any non-audit services provided by the Company’s independent registered public accounting firm. The Audit Committee’s charter also ensures that the independent registered public accounting firm discusses with the Audit Committee important issues such as internal controls, critical accounting policies, any instances of fraud and the consistency and appropriateness of our accounting policies and practices.</w:t>
      </w:r>
    </w:p>
    <w:p>
      <w:pPr>
        <w:pStyle w:val="TextBody"/>
        <w:bidi w:val="0"/>
        <w:spacing w:before="0" w:after="0"/>
        <w:ind w:left="220" w:right="22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Audit Committee of the Board has:</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reviewed and discussed with management and Deloitte &amp; Touche LLP, the audited financial statements as of and for the year ended October 31, 2025;</w:t>
            </w:r>
          </w:p>
        </w:tc>
      </w:tr>
    </w:tbl>
    <w:p>
      <w:pPr>
        <w:pStyle w:val="TextBody"/>
        <w:bidi w:val="0"/>
        <w:spacing w:before="0" w:after="0"/>
        <w:jc w:val="left"/>
        <w:rPr>
          <w:caps w:val="false"/>
          <w:smallCaps w:val="false"/>
          <w:bdr w:val="single" w:sz="8" w:space="1" w:color="2872A8"/>
        </w:rPr>
      </w:pPr>
      <w:r>
        <w:rPr>
          <w:caps w:val="false"/>
          <w:smallCaps w:val="false"/>
          <w:bdr w:val="single" w:sz="8" w:space="1" w:color="2872A8"/>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discussed with Deloitte &amp; Touche LLP the matters required to be discussed by the applicable requirements of the Public Company Accounting Oversight Board (“PCAOB”) and the SEC; and</w:t>
            </w:r>
          </w:p>
        </w:tc>
      </w:tr>
    </w:tbl>
    <w:p>
      <w:pPr>
        <w:pStyle w:val="TextBody"/>
        <w:bidi w:val="0"/>
        <w:spacing w:before="0" w:after="0"/>
        <w:jc w:val="left"/>
        <w:rPr>
          <w:caps w:val="false"/>
          <w:smallCaps w:val="false"/>
          <w:bdr w:val="single" w:sz="8" w:space="1" w:color="2872A8"/>
        </w:rPr>
      </w:pPr>
      <w:r>
        <w:rPr>
          <w:caps w:val="false"/>
          <w:smallCaps w:val="false"/>
          <w:bdr w:val="single" w:sz="8" w:space="1" w:color="2872A8"/>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received the written disclosures and the letter from Deloitte &amp; Touche LLP required by applicable requirements of the PCAOB regarding Deloitte &amp; Touche LLP’s communications with the Audit Committee concerning independence and discussed with Deloitte &amp; Touche LLP its independence.</w:t>
            </w:r>
          </w:p>
        </w:tc>
      </w:tr>
    </w:tbl>
    <w:p>
      <w:pPr>
        <w:pStyle w:val="TextBody"/>
        <w:bidi w:val="0"/>
        <w:spacing w:before="0" w:after="0"/>
        <w:jc w:val="left"/>
        <w:rPr>
          <w:caps w:val="false"/>
          <w:smallCaps w:val="false"/>
          <w:bdr w:val="single" w:sz="8" w:space="1" w:color="2872A8"/>
        </w:rPr>
      </w:pPr>
      <w:r>
        <w:rPr>
          <w:caps w:val="false"/>
          <w:smallCaps w:val="false"/>
          <w:bdr w:val="single" w:sz="8" w:space="1" w:color="2872A8"/>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55</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40" w:right="44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440" w:right="44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Based on these reviews and discussions, the Audit Committee has recommended to the Board, and the Board has approved, the inclusion of the audited financial statements in the Company’s Annual Report on Form 10-K for the year ended October 31, 2025, for filing with the SEC.</w:t>
      </w:r>
    </w:p>
    <w:p>
      <w:pPr>
        <w:pStyle w:val="TextBody"/>
        <w:bidi w:val="0"/>
        <w:spacing w:before="0" w:after="0"/>
        <w:ind w:left="440" w:right="44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i w:val="false"/>
          <w:caps w:val="false"/>
          <w:smallCaps w:val="false"/>
          <w:sz w:val="18"/>
          <w:bdr w:val="single" w:sz="8" w:space="1" w:color="2872A8"/>
        </w:rPr>
      </w:pPr>
      <w:r>
        <w:rPr>
          <w:rFonts w:ascii="Arial;Helvetica;Sans-Serif" w:hAnsi="Arial;Helvetica;Sans-Serif"/>
          <w:b/>
          <w:i w:val="false"/>
          <w:caps w:val="false"/>
          <w:smallCaps w:val="false"/>
          <w:sz w:val="18"/>
          <w:bdr w:val="single" w:sz="8" w:space="1" w:color="2872A8"/>
        </w:rPr>
        <w:t>Members of the Audit and Finance Committee:</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Barbara Carbone, Chairperson</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Gordon E. Kimball</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Peter J. Nolan</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p>
      <w:pPr>
        <w:pStyle w:val="TextBody"/>
        <w:bidi w:val="0"/>
        <w:spacing w:before="0" w:after="0"/>
        <w:ind w:left="0" w:right="0" w:hanging="0"/>
        <w:jc w:val="left"/>
        <w:rPr>
          <w:rFonts w:ascii="Arial;Helvetica;Sans-Serif" w:hAnsi="Arial;Helvetica;Sans-Serif"/>
          <w:b w:val="false"/>
          <w:i w:val="false"/>
          <w:caps w:val="false"/>
          <w:smallCaps w:val="false"/>
          <w:sz w:val="18"/>
          <w:bdr w:val="single" w:sz="8" w:space="1" w:color="2872A8"/>
        </w:rPr>
      </w:pPr>
      <w:r>
        <w:rPr>
          <w:rFonts w:ascii="Arial;Helvetica;Sans-Serif" w:hAnsi="Arial;Helvetica;Sans-Serif"/>
          <w:b w:val="false"/>
          <w:i w:val="false"/>
          <w:caps w:val="false"/>
          <w:smallCaps w:val="false"/>
          <w:sz w:val="18"/>
          <w:bdr w:val="single" w:sz="8" w:space="1" w:color="2872A8"/>
        </w:rPr>
        <w:t>The information contained in the report above shall not be deemed to be “soliciting material” or to be “filed” with the SEC, nor shall such information be incorporated by reference into any future filing under the Exchange Act or the Securities Act of 1933, as amended, except to the extent that we specifically incorporate it by reference in such filing.</w:t>
      </w:r>
    </w:p>
    <w:p>
      <w:pPr>
        <w:pStyle w:val="TextBody"/>
        <w:bidi w:val="0"/>
        <w:spacing w:before="0" w:after="0"/>
        <w:ind w:left="0" w:right="0" w:hanging="0"/>
        <w:jc w:val="left"/>
        <w:rPr>
          <w:caps w:val="false"/>
          <w:smallCaps w:val="false"/>
          <w:bdr w:val="single" w:sz="8" w:space="1" w:color="2872A8"/>
        </w:rPr>
      </w:pPr>
      <w:r>
        <w:rPr>
          <w:caps w:val="false"/>
          <w:smallCaps w:val="false"/>
          <w:bdr w:val="single" w:sz="8" w:space="1" w:color="2872A8"/>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56</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2615" w:type="dxa"/>
        <w:jc w:val="center"/>
        <w:tblInd w:w="0" w:type="dxa"/>
        <w:tblLayout w:type="fixed"/>
        <w:tblCellMar>
          <w:top w:w="0" w:type="dxa"/>
          <w:left w:w="0" w:type="dxa"/>
          <w:bottom w:w="0" w:type="dxa"/>
          <w:right w:w="0" w:type="dxa"/>
        </w:tblCellMar>
      </w:tblPr>
      <w:tblGrid>
        <w:gridCol w:w="2615"/>
      </w:tblGrid>
      <w:tr>
        <w:trPr/>
        <w:tc>
          <w:tcPr>
            <w:tcW w:w="2615" w:type="dxa"/>
            <w:tcBorders/>
            <w:vAlign w:val="center"/>
          </w:tcPr>
          <w:p>
            <w:pPr>
              <w:pStyle w:val="TableContents"/>
              <w:bidi w:val="0"/>
              <w:spacing w:before="0" w:after="283"/>
              <w:jc w:val="left"/>
              <w:rPr>
                <w:rFonts w:ascii="Arial;Helvetica;Sans-Serif" w:hAnsi="Arial;Helvetica;Sans-Serif"/>
                <w:b/>
                <w:color w:val="FFFFFF"/>
                <w:sz w:val="30"/>
              </w:rPr>
            </w:pPr>
            <w:bookmarkStart w:id="263" w:name="lmnrdef14aa095"/>
            <w:bookmarkEnd w:id="263"/>
            <w:r>
              <w:rPr>
                <w:rFonts w:ascii="Arial;Helvetica;Sans-Serif" w:hAnsi="Arial;Helvetica;Sans-Serif"/>
                <w:b/>
                <w:color w:val="FFFFFF"/>
                <w:sz w:val="30"/>
              </w:rPr>
              <w:t>Other Information</w:t>
            </w:r>
          </w:p>
        </w:tc>
      </w:tr>
    </w:tbl>
    <w:p>
      <w:pPr>
        <w:pStyle w:val="TextBody"/>
        <w:bidi w:val="0"/>
        <w:spacing w:before="0" w:after="0"/>
        <w:ind w:left="200" w:right="200" w:hanging="0"/>
        <w:jc w:val="center"/>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008DCF"/>
          <w:sz w:val="24"/>
          <w:bdr w:val="single" w:sz="8" w:space="1" w:color="008DCF"/>
        </w:rPr>
      </w:pPr>
      <w:bookmarkStart w:id="264" w:name="lmnrdef14aa096"/>
      <w:bookmarkEnd w:id="264"/>
      <w:r>
        <w:rPr>
          <w:rFonts w:ascii="Arial;Helvetica;Sans-Serif" w:hAnsi="Arial;Helvetica;Sans-Serif"/>
          <w:b/>
          <w:i w:val="false"/>
          <w:caps w:val="false"/>
          <w:smallCaps w:val="false"/>
          <w:color w:val="008DCF"/>
          <w:sz w:val="24"/>
          <w:bdr w:val="single" w:sz="8" w:space="1" w:color="008DCF"/>
        </w:rPr>
        <w:t>Stock Ownership Information</w:t>
      </w:r>
    </w:p>
    <w:p>
      <w:pPr>
        <w:pStyle w:val="TextBody"/>
        <w:bidi w:val="0"/>
        <w:spacing w:before="0" w:after="0"/>
        <w:ind w:left="200" w:right="200" w:hanging="0"/>
        <w:jc w:val="left"/>
        <w:rPr>
          <w:caps w:val="false"/>
          <w:smallCaps w:val="false"/>
          <w:color w:val="008DCF"/>
          <w:bdr w:val="single" w:sz="8" w:space="1" w:color="008DCF"/>
        </w:rPr>
      </w:pPr>
      <w:r>
        <w:rPr>
          <w:caps w:val="false"/>
          <w:smallCaps w:val="false"/>
          <w:color w:val="008DCF"/>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008DCF"/>
          <w:sz w:val="24"/>
          <w:bdr w:val="single" w:sz="8" w:space="1" w:color="008DCF"/>
        </w:rPr>
      </w:pPr>
      <w:bookmarkStart w:id="265" w:name="lmnrdef14aa097"/>
      <w:bookmarkEnd w:id="265"/>
      <w:r>
        <w:rPr>
          <w:rFonts w:ascii="Arial;Helvetica;Sans-Serif" w:hAnsi="Arial;Helvetica;Sans-Serif"/>
          <w:b/>
          <w:i w:val="false"/>
          <w:caps w:val="false"/>
          <w:smallCaps w:val="false"/>
          <w:color w:val="008DCF"/>
          <w:sz w:val="24"/>
          <w:bdr w:val="single" w:sz="8" w:space="1" w:color="008DCF"/>
        </w:rPr>
        <w:t>Security Ownership of Certain Beneficial Owners and Management</w:t>
      </w:r>
    </w:p>
    <w:p>
      <w:pPr>
        <w:pStyle w:val="TextBody"/>
        <w:bidi w:val="0"/>
        <w:spacing w:before="0" w:after="0"/>
        <w:ind w:left="200" w:right="200" w:hanging="0"/>
        <w:jc w:val="left"/>
        <w:rPr>
          <w:caps w:val="false"/>
          <w:smallCaps w:val="false"/>
          <w:color w:val="008DCF"/>
          <w:bdr w:val="single" w:sz="8" w:space="1" w:color="008DCF"/>
        </w:rPr>
      </w:pPr>
      <w:r>
        <w:rPr>
          <w:caps w:val="false"/>
          <w:smallCaps w:val="false"/>
          <w:color w:val="008DCF"/>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The following table sets forth the beneficial ownership of our Common Stock as of January 30, 2026 by (i) each person who is known to us to be the beneficial owner of more than 5% of the outstanding shares of our Common Stock, (ii) each director, (iii) each director nominee, (iv) our NEOs and (v) all of our directors and officers as a group. The applicable percentage ownership is based on 18,130,967 shares of Common Stock outstanding as of January 30, 2026, plus the number of shares of Common Stock issuable upon the conversion of Series B Convertible Preferred Stock and Series B-2 Convertible Preferred Stock. All holders of Common Stock are entitled to one vote per share on all matters submitted to a vote of holders of Common Stock.</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The number of shares beneficially owned by each entity or individual is determined pursuant to Rule 13d-3 of the Exchange Act, and the information is not necessarily indicative of beneficial ownership for any other purpose. Under Rule 13d-3 of the Exchange Act, “beneficial ownership” includes any shares as to which the entity or individual has sole or shared voting power or investment power and any shares that the entity or individual has the right to acquire within sixty (60) days through the exercise of any stock option or other right. Unless otherwise indicated, each person has sole voting and investment power (or shares such powers with his or her spouse pursuant to applicable community property laws) with respect to the shares set forth in the following table.</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There are no arrangements currently known to the Company, the operation of which may at a subsequent date result in a change in control.</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Security Ownership of Certain Beneficial Owners and Management as of January 30, 2026:</w:t>
      </w:r>
    </w:p>
    <w:p>
      <w:pPr>
        <w:pStyle w:val="TextBody"/>
        <w:bidi w:val="0"/>
        <w:spacing w:before="0" w:after="0"/>
        <w:ind w:left="200" w:right="200" w:hanging="0"/>
        <w:jc w:val="center"/>
        <w:rPr>
          <w:caps w:val="false"/>
          <w:smallCaps w:val="false"/>
          <w:bdr w:val="single" w:sz="8" w:space="1" w:color="008DCF"/>
        </w:rPr>
      </w:pPr>
      <w:r>
        <w:rPr>
          <w:caps w:val="false"/>
          <w:smallCaps w:val="false"/>
          <w:bdr w:val="single" w:sz="8" w:space="1" w:color="008DCF"/>
        </w:rPr>
        <w:t> </w:t>
      </w:r>
    </w:p>
    <w:tbl>
      <w:tblPr>
        <w:tblW w:w="4975" w:type="dxa"/>
        <w:jc w:val="center"/>
        <w:tblInd w:w="0" w:type="dxa"/>
        <w:tblLayout w:type="fixed"/>
        <w:tblCellMar>
          <w:top w:w="76" w:type="dxa"/>
          <w:left w:w="0" w:type="dxa"/>
          <w:bottom w:w="0" w:type="dxa"/>
          <w:right w:w="28" w:type="dxa"/>
        </w:tblCellMar>
      </w:tblPr>
      <w:tblGrid>
        <w:gridCol w:w="4130"/>
        <w:gridCol w:w="845"/>
      </w:tblGrid>
      <w:tr>
        <w:trPr/>
        <w:tc>
          <w:tcPr>
            <w:tcW w:w="4130" w:type="dxa"/>
            <w:tcBorders>
              <w:top w:val="single" w:sz="8" w:space="0" w:color="E5F5FD"/>
              <w:right w:val="single" w:sz="8" w:space="0" w:color="E3F2E7"/>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January 30, 2026 - outstanding shares - Common Stock</w:t>
            </w:r>
          </w:p>
        </w:tc>
        <w:tc>
          <w:tcPr>
            <w:tcW w:w="845" w:type="dxa"/>
            <w:tcBorders>
              <w:top w:val="single" w:sz="8" w:space="0" w:color="E5F5FD"/>
            </w:tcBorders>
            <w:tcMar>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18,130,967</w:t>
            </w:r>
          </w:p>
        </w:tc>
      </w:tr>
      <w:tr>
        <w:trPr/>
        <w:tc>
          <w:tcPr>
            <w:tcW w:w="4130" w:type="dxa"/>
            <w:tcBorders>
              <w:right w:val="single" w:sz="8" w:space="0" w:color="E3F2E7"/>
            </w:tcBorders>
            <w:shd w:fill="EEF8FD"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Series B Convertible Preferred Stock</w:t>
            </w:r>
          </w:p>
        </w:tc>
        <w:tc>
          <w:tcPr>
            <w:tcW w:w="845" w:type="dxa"/>
            <w:tcBorders/>
            <w:shd w:fill="EEF8FD" w:val="clear"/>
            <w:tcMar>
              <w:top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14,790</w:t>
            </w:r>
          </w:p>
        </w:tc>
      </w:tr>
      <w:tr>
        <w:trPr/>
        <w:tc>
          <w:tcPr>
            <w:tcW w:w="4130" w:type="dxa"/>
            <w:tcBorders>
              <w:right w:val="single" w:sz="8" w:space="0" w:color="E3F2E7"/>
            </w:tcBorders>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Series B-2 Convertible Preferred Stock</w:t>
            </w:r>
          </w:p>
        </w:tc>
        <w:tc>
          <w:tcPr>
            <w:tcW w:w="845" w:type="dxa"/>
            <w:tcBorders/>
            <w:tcMar>
              <w:top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9,300</w:t>
            </w:r>
          </w:p>
        </w:tc>
      </w:tr>
      <w:tr>
        <w:trPr/>
        <w:tc>
          <w:tcPr>
            <w:tcW w:w="4130" w:type="dxa"/>
            <w:tcBorders>
              <w:right w:val="single" w:sz="8" w:space="0" w:color="E3F2E7"/>
            </w:tcBorders>
            <w:shd w:fill="EEF8FD" w:val="clear"/>
            <w:tcMar>
              <w:top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Total Outstanding (less treasury)</w:t>
            </w:r>
          </w:p>
        </w:tc>
        <w:tc>
          <w:tcPr>
            <w:tcW w:w="845" w:type="dxa"/>
            <w:tcBorders/>
            <w:shd w:fill="EEF8FD" w:val="clear"/>
            <w:tcMar>
              <w:top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18,155,057</w:t>
            </w:r>
          </w:p>
        </w:tc>
      </w:tr>
    </w:tbl>
    <w:p>
      <w:pPr>
        <w:pStyle w:val="TextBody"/>
        <w:bidi w:val="0"/>
        <w:jc w:val="center"/>
        <w:rPr>
          <w:bdr w:val="single" w:sz="8" w:space="1" w:color="008DCF"/>
        </w:rPr>
      </w:pPr>
      <w:r>
        <w:rPr>
          <w:bdr w:val="single" w:sz="8" w:space="1" w:color="008DCF"/>
        </w:rPr>
        <w:t> </w:t>
      </w:r>
    </w:p>
    <w:tbl>
      <w:tblPr>
        <w:tblW w:w="6640" w:type="dxa"/>
        <w:jc w:val="center"/>
        <w:tblInd w:w="0" w:type="dxa"/>
        <w:tblLayout w:type="fixed"/>
        <w:tblCellMar>
          <w:top w:w="28" w:type="dxa"/>
          <w:left w:w="108" w:type="dxa"/>
          <w:bottom w:w="0" w:type="dxa"/>
          <w:right w:w="28" w:type="dxa"/>
        </w:tblCellMar>
      </w:tblPr>
      <w:tblGrid>
        <w:gridCol w:w="4780"/>
        <w:gridCol w:w="940"/>
        <w:gridCol w:w="920"/>
      </w:tblGrid>
      <w:tr>
        <w:trPr/>
        <w:tc>
          <w:tcPr>
            <w:tcW w:w="4780" w:type="dxa"/>
            <w:vMerge w:val="restart"/>
            <w:tcBorders>
              <w:top w:val="single" w:sz="8" w:space="0" w:color="FFFFFF"/>
              <w:left w:val="single" w:sz="8" w:space="0" w:color="FFFFFF"/>
              <w:right w:val="single" w:sz="8" w:space="0" w:color="FFFFFF"/>
            </w:tcBorders>
            <w:shd w:fill="D2D6E4" w:val="clear"/>
            <w:vAlign w:val="center"/>
          </w:tcPr>
          <w:p>
            <w:pPr>
              <w:pStyle w:val="TableContents"/>
              <w:bidi w:val="0"/>
              <w:spacing w:before="0" w:after="0"/>
              <w:ind w:left="0" w:right="200" w:hanging="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Name and Address of Beneficial Owner</w:t>
            </w:r>
          </w:p>
        </w:tc>
        <w:tc>
          <w:tcPr>
            <w:tcW w:w="1860" w:type="dxa"/>
            <w:gridSpan w:val="2"/>
            <w:tcBorders>
              <w:top w:val="single" w:sz="8" w:space="0" w:color="FFFFFF"/>
              <w:right w:val="single" w:sz="8" w:space="0" w:color="FFFFFF"/>
            </w:tcBorders>
            <w:shd w:fill="D2D6E4" w:val="clear"/>
            <w:tcMar>
              <w:left w:w="0" w:type="dxa"/>
              <w:right w:w="108"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 xml:space="preserve">Common Stock </w:t>
              <w:br/>
              <w:t>Beneficially Owned</w:t>
            </w:r>
          </w:p>
        </w:tc>
      </w:tr>
      <w:tr>
        <w:trPr/>
        <w:tc>
          <w:tcPr>
            <w:tcW w:w="4780" w:type="dxa"/>
            <w:vMerge w:val="continue"/>
            <w:tcBorders>
              <w:top w:val="single" w:sz="8" w:space="0" w:color="FFFFFF"/>
              <w:left w:val="single" w:sz="8" w:space="0" w:color="FFFFFF"/>
              <w:right w:val="single" w:sz="8" w:space="0" w:color="FFFFFF"/>
            </w:tcBorders>
            <w:shd w:fill="D2D6E4" w:val="clear"/>
            <w:vAlign w:val="center"/>
          </w:tcPr>
          <w:p>
            <w:pPr>
              <w:pStyle w:val="Normal"/>
              <w:bidi w:val="0"/>
              <w:jc w:val="left"/>
              <w:rPr/>
            </w:pPr>
            <w:r>
              <w:rPr/>
            </w:r>
          </w:p>
        </w:tc>
        <w:tc>
          <w:tcPr>
            <w:tcW w:w="940" w:type="dxa"/>
            <w:tcBorders>
              <w:right w:val="single" w:sz="8" w:space="0" w:color="FFFFFF"/>
            </w:tcBorders>
            <w:shd w:fill="D2D6E4" w:val="clear"/>
            <w:tcMar>
              <w:top w:w="0" w:type="dxa"/>
              <w:left w:w="0" w:type="dxa"/>
              <w:right w:w="108"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 of shares</w:t>
            </w:r>
          </w:p>
        </w:tc>
        <w:tc>
          <w:tcPr>
            <w:tcW w:w="920" w:type="dxa"/>
            <w:tcBorders>
              <w:right w:val="single" w:sz="8" w:space="0" w:color="FFFFFF"/>
            </w:tcBorders>
            <w:shd w:fill="D2D6E4" w:val="clear"/>
            <w:tcMar>
              <w:top w:w="0" w:type="dxa"/>
              <w:left w:w="0" w:type="dxa"/>
              <w:right w:w="108"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Percentage</w:t>
            </w:r>
          </w:p>
        </w:tc>
      </w:tr>
      <w:tr>
        <w:trPr/>
        <w:tc>
          <w:tcPr>
            <w:tcW w:w="4780" w:type="dxa"/>
            <w:tcBorders>
              <w:right w:val="single" w:sz="8" w:space="0" w:color="E5F5FD"/>
            </w:tcBorders>
            <w:tcMar>
              <w:top w:w="0" w:type="dxa"/>
              <w:left w:w="0" w:type="dxa"/>
            </w:tcMar>
            <w:vAlign w:val="center"/>
          </w:tcPr>
          <w:p>
            <w:pPr>
              <w:pStyle w:val="TableContents"/>
              <w:bidi w:val="0"/>
              <w:spacing w:before="0" w:after="283"/>
              <w:jc w:val="left"/>
              <w:rPr>
                <w:rFonts w:ascii="Arial;Helvetica;Sans-Serif" w:hAnsi="Arial;Helvetica;Sans-Serif"/>
                <w:b/>
                <w:i/>
                <w:caps w:val="false"/>
                <w:smallCaps w:val="false"/>
                <w:sz w:val="16"/>
              </w:rPr>
            </w:pPr>
            <w:r>
              <w:rPr>
                <w:rFonts w:ascii="Arial;Helvetica;Sans-Serif" w:hAnsi="Arial;Helvetica;Sans-Serif"/>
                <w:b/>
                <w:i/>
                <w:caps w:val="false"/>
                <w:smallCaps w:val="false"/>
                <w:sz w:val="16"/>
              </w:rPr>
              <w:t>5% Beneficial Owners</w:t>
            </w:r>
          </w:p>
        </w:tc>
        <w:tc>
          <w:tcPr>
            <w:tcW w:w="940" w:type="dxa"/>
            <w:tcBorders>
              <w:right w:val="single" w:sz="8" w:space="0" w:color="E3F2E7"/>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80" w:type="dxa"/>
            <w:tcBorders/>
            <w:shd w:fill="EEF8FD" w:val="clear"/>
            <w:tcMar>
              <w:top w:w="0" w:type="dxa"/>
              <w:left w:w="0" w:type="dxa"/>
              <w:right w:w="0" w:type="dxa"/>
            </w:tcMar>
            <w:vAlign w:val="center"/>
          </w:tcPr>
          <w:p>
            <w:pPr>
              <w:pStyle w:val="TableContents"/>
              <w:bidi w:val="0"/>
              <w:spacing w:before="0" w:after="0"/>
              <w:ind w:left="0" w:right="20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Global Alpha</w:t>
            </w:r>
            <w:r>
              <w:rPr>
                <w:rFonts w:ascii="Arial;Helvetica;Sans-Serif" w:hAnsi="Arial;Helvetica;Sans-Serif"/>
                <w:b w:val="false"/>
                <w:i w:val="false"/>
                <w:caps w:val="false"/>
                <w:smallCaps w:val="false"/>
                <w:position w:val="5"/>
                <w:sz w:val="13"/>
                <w:sz w:val="16"/>
              </w:rPr>
              <w:t>(7)</w:t>
            </w:r>
          </w:p>
          <w:p>
            <w:pPr>
              <w:pStyle w:val="TableContents"/>
              <w:bidi w:val="0"/>
              <w:spacing w:before="0" w:after="0"/>
              <w:ind w:left="0" w:right="20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1800 McGill College Avenue, Suite 1300, Montreal A8 H3A 3JB</w:t>
            </w:r>
          </w:p>
        </w:tc>
        <w:tc>
          <w:tcPr>
            <w:tcW w:w="940" w:type="dxa"/>
            <w:tcBorders>
              <w:right w:val="single" w:sz="8" w:space="0" w:color="E3F2E7"/>
            </w:tcBorders>
            <w:shd w:fill="EEF8FD" w:val="clear"/>
            <w:tcMar>
              <w:top w:w="0" w:type="dxa"/>
              <w:left w:w="0" w:type="dxa"/>
            </w:tcMar>
            <w:vAlign w:val="center"/>
          </w:tcPr>
          <w:p>
            <w:pPr>
              <w:pStyle w:val="TableContents"/>
              <w:bidi w:val="0"/>
              <w:spacing w:before="0" w:after="0"/>
              <w:ind w:left="200" w:right="200" w:hanging="0"/>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3,185,281</w:t>
            </w:r>
          </w:p>
        </w:tc>
        <w:tc>
          <w:tcPr>
            <w:tcW w:w="920" w:type="dxa"/>
            <w:tcBorders/>
            <w:shd w:fill="EEF8FD" w:val="clear"/>
            <w:tcMar>
              <w:top w:w="0" w:type="dxa"/>
              <w:left w:w="0" w:type="dxa"/>
              <w:right w:w="0" w:type="dxa"/>
            </w:tcMar>
            <w:vAlign w:val="center"/>
          </w:tcPr>
          <w:p>
            <w:pPr>
              <w:pStyle w:val="TableContents"/>
              <w:bidi w:val="0"/>
              <w:spacing w:before="0" w:after="0"/>
              <w:ind w:left="200" w:right="200" w:hanging="0"/>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17.54%</w:t>
            </w:r>
          </w:p>
        </w:tc>
      </w:tr>
      <w:tr>
        <w:trPr/>
        <w:tc>
          <w:tcPr>
            <w:tcW w:w="4780" w:type="dxa"/>
            <w:tcBorders>
              <w:right w:val="single" w:sz="8" w:space="0" w:color="E5F5FD"/>
            </w:tcBorders>
            <w:tcMar>
              <w:top w:w="0" w:type="dxa"/>
              <w:left w:w="0" w:type="dxa"/>
            </w:tcMar>
            <w:vAlign w:val="center"/>
          </w:tcPr>
          <w:p>
            <w:pPr>
              <w:pStyle w:val="TableContents"/>
              <w:bidi w:val="0"/>
              <w:spacing w:before="0" w:after="0"/>
              <w:ind w:left="0" w:right="20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Black Rock</w:t>
            </w:r>
            <w:r>
              <w:rPr>
                <w:rFonts w:ascii="Arial;Helvetica;Sans-Serif" w:hAnsi="Arial;Helvetica;Sans-Serif"/>
                <w:b w:val="false"/>
                <w:i w:val="false"/>
                <w:caps w:val="false"/>
                <w:smallCaps w:val="false"/>
                <w:position w:val="5"/>
                <w:sz w:val="13"/>
                <w:sz w:val="16"/>
              </w:rPr>
              <w:t>(7)</w:t>
            </w:r>
          </w:p>
          <w:p>
            <w:pPr>
              <w:pStyle w:val="TableContents"/>
              <w:bidi w:val="0"/>
              <w:spacing w:before="0" w:after="0"/>
              <w:ind w:left="0" w:right="20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 Hudson Yards, New York, NY 10001</w:t>
            </w:r>
          </w:p>
        </w:tc>
        <w:tc>
          <w:tcPr>
            <w:tcW w:w="940" w:type="dxa"/>
            <w:tcBorders>
              <w:right w:val="single" w:sz="8" w:space="0" w:color="E3F2E7"/>
            </w:tcBorders>
            <w:tcMar>
              <w:top w:w="0" w:type="dxa"/>
              <w:left w:w="0" w:type="dxa"/>
            </w:tcMar>
            <w:vAlign w:val="center"/>
          </w:tcPr>
          <w:p>
            <w:pPr>
              <w:pStyle w:val="TableContents"/>
              <w:bidi w:val="0"/>
              <w:spacing w:before="0" w:after="0"/>
              <w:ind w:left="200" w:right="200" w:hanging="0"/>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1,031,722</w:t>
            </w:r>
          </w:p>
        </w:tc>
        <w:tc>
          <w:tcPr>
            <w:tcW w:w="920" w:type="dxa"/>
            <w:tcBorders/>
            <w:tcMar>
              <w:top w:w="0" w:type="dxa"/>
              <w:left w:w="0" w:type="dxa"/>
              <w:right w:w="0" w:type="dxa"/>
            </w:tcMar>
            <w:vAlign w:val="center"/>
          </w:tcPr>
          <w:p>
            <w:pPr>
              <w:pStyle w:val="TableContents"/>
              <w:bidi w:val="0"/>
              <w:spacing w:before="0" w:after="0"/>
              <w:ind w:left="200" w:right="200" w:hanging="0"/>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5.68%</w:t>
            </w:r>
          </w:p>
        </w:tc>
      </w:tr>
      <w:tr>
        <w:trPr/>
        <w:tc>
          <w:tcPr>
            <w:tcW w:w="4780" w:type="dxa"/>
            <w:tcBorders/>
            <w:shd w:fill="EEF8FD" w:val="clear"/>
            <w:tcMar>
              <w:top w:w="0" w:type="dxa"/>
              <w:left w:w="0" w:type="dxa"/>
              <w:right w:w="0" w:type="dxa"/>
            </w:tcMar>
            <w:vAlign w:val="center"/>
          </w:tcPr>
          <w:p>
            <w:pPr>
              <w:pStyle w:val="TableContents"/>
              <w:bidi w:val="0"/>
              <w:spacing w:before="0" w:after="0"/>
              <w:ind w:left="0" w:right="20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Vanguard Group</w:t>
            </w:r>
            <w:r>
              <w:rPr>
                <w:rFonts w:ascii="Arial;Helvetica;Sans-Serif" w:hAnsi="Arial;Helvetica;Sans-Serif"/>
                <w:b w:val="false"/>
                <w:i w:val="false"/>
                <w:caps w:val="false"/>
                <w:smallCaps w:val="false"/>
                <w:position w:val="5"/>
                <w:sz w:val="13"/>
                <w:sz w:val="16"/>
              </w:rPr>
              <w:t>(7)</w:t>
            </w:r>
          </w:p>
          <w:p>
            <w:pPr>
              <w:pStyle w:val="TableContents"/>
              <w:bidi w:val="0"/>
              <w:spacing w:before="0" w:after="0"/>
              <w:ind w:left="0" w:right="20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100 Vanguard Blvd., Malvern, PA 19355</w:t>
            </w:r>
          </w:p>
        </w:tc>
        <w:tc>
          <w:tcPr>
            <w:tcW w:w="940" w:type="dxa"/>
            <w:tcBorders>
              <w:right w:val="single" w:sz="8" w:space="0" w:color="E3F2E7"/>
            </w:tcBorders>
            <w:shd w:fill="EEF8FD" w:val="clear"/>
            <w:tcMar>
              <w:top w:w="0" w:type="dxa"/>
              <w:left w:w="0" w:type="dxa"/>
            </w:tcMar>
            <w:vAlign w:val="center"/>
          </w:tcPr>
          <w:p>
            <w:pPr>
              <w:pStyle w:val="TableContents"/>
              <w:bidi w:val="0"/>
              <w:spacing w:before="0" w:after="0"/>
              <w:ind w:left="200" w:right="200" w:hanging="0"/>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858,013</w:t>
            </w:r>
          </w:p>
        </w:tc>
        <w:tc>
          <w:tcPr>
            <w:tcW w:w="920" w:type="dxa"/>
            <w:tcBorders/>
            <w:shd w:fill="EEF8FD" w:val="clear"/>
            <w:tcMar>
              <w:top w:w="0" w:type="dxa"/>
              <w:left w:w="0" w:type="dxa"/>
              <w:right w:w="0" w:type="dxa"/>
            </w:tcMar>
            <w:vAlign w:val="center"/>
          </w:tcPr>
          <w:p>
            <w:pPr>
              <w:pStyle w:val="TableContents"/>
              <w:bidi w:val="0"/>
              <w:spacing w:before="0" w:after="0"/>
              <w:ind w:left="200" w:right="200" w:hanging="0"/>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4.73%</w:t>
            </w:r>
          </w:p>
        </w:tc>
      </w:tr>
      <w:tr>
        <w:trPr/>
        <w:tc>
          <w:tcPr>
            <w:tcW w:w="4780" w:type="dxa"/>
            <w:tcBorders>
              <w:right w:val="single" w:sz="8" w:space="0" w:color="E5F5FD"/>
            </w:tcBorders>
            <w:tcMar>
              <w:top w:w="0" w:type="dxa"/>
              <w:lef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i/>
                <w:caps w:val="false"/>
                <w:smallCaps w:val="false"/>
                <w:sz w:val="16"/>
              </w:rPr>
              <w:t>Directors and Officers</w:t>
            </w:r>
            <w:r>
              <w:rPr>
                <w:rFonts w:ascii="Arial;Helvetica;Sans-Serif" w:hAnsi="Arial;Helvetica;Sans-Serif"/>
                <w:b w:val="false"/>
                <w:i/>
                <w:caps w:val="false"/>
                <w:smallCaps w:val="false"/>
                <w:position w:val="5"/>
                <w:sz w:val="13"/>
                <w:sz w:val="16"/>
              </w:rPr>
              <w:t>(1)</w:t>
            </w:r>
          </w:p>
        </w:tc>
        <w:tc>
          <w:tcPr>
            <w:tcW w:w="940" w:type="dxa"/>
            <w:tcBorders>
              <w:right w:val="single" w:sz="8" w:space="0" w:color="E3F2E7"/>
            </w:tcBorders>
            <w:tcMar>
              <w:top w:w="0" w:type="dxa"/>
              <w:left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top w:w="0" w:type="dxa"/>
              <w:left w:w="0" w:type="dxa"/>
              <w:right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780" w:type="dxa"/>
            <w:tcBorders/>
            <w:shd w:fill="EEF8FD" w:val="clear"/>
            <w:tcMar>
              <w:top w:w="0" w:type="dxa"/>
              <w:left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Barbara Carbone</w:t>
            </w:r>
            <w:r>
              <w:rPr>
                <w:rFonts w:ascii="Arial;Helvetica;Sans-Serif" w:hAnsi="Arial;Helvetica;Sans-Serif"/>
                <w:b w:val="false"/>
                <w:i w:val="false"/>
                <w:caps w:val="false"/>
                <w:smallCaps w:val="false"/>
                <w:position w:val="5"/>
                <w:sz w:val="13"/>
                <w:sz w:val="16"/>
              </w:rPr>
              <w:t>(2)</w:t>
            </w:r>
          </w:p>
        </w:tc>
        <w:tc>
          <w:tcPr>
            <w:tcW w:w="940" w:type="dxa"/>
            <w:tcBorders>
              <w:right w:val="single" w:sz="8" w:space="0" w:color="E3F2E7"/>
            </w:tcBorders>
            <w:shd w:fill="EEF8FD" w:val="clear"/>
            <w:tcMar>
              <w:top w:w="0" w:type="dxa"/>
              <w:left w:w="0" w:type="dxa"/>
              <w:right w:w="103"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12,978</w:t>
            </w:r>
          </w:p>
        </w:tc>
        <w:tc>
          <w:tcPr>
            <w:tcW w:w="920" w:type="dxa"/>
            <w:tcBorders/>
            <w:shd w:fill="EEF8FD"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r>
      <w:tr>
        <w:trPr/>
        <w:tc>
          <w:tcPr>
            <w:tcW w:w="4780" w:type="dxa"/>
            <w:tcBorders>
              <w:right w:val="single" w:sz="8" w:space="0" w:color="E5F5FD"/>
            </w:tcBorders>
            <w:tcMar>
              <w:top w:w="0" w:type="dxa"/>
              <w:lef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Harold S. Edwards</w:t>
            </w:r>
            <w:r>
              <w:rPr>
                <w:rFonts w:ascii="Arial;Helvetica;Sans-Serif" w:hAnsi="Arial;Helvetica;Sans-Serif"/>
                <w:b w:val="false"/>
                <w:i w:val="false"/>
                <w:caps w:val="false"/>
                <w:smallCaps w:val="false"/>
                <w:position w:val="5"/>
                <w:sz w:val="13"/>
                <w:sz w:val="16"/>
              </w:rPr>
              <w:t>(3)</w:t>
            </w:r>
          </w:p>
        </w:tc>
        <w:tc>
          <w:tcPr>
            <w:tcW w:w="940" w:type="dxa"/>
            <w:tcBorders>
              <w:right w:val="single" w:sz="8" w:space="0" w:color="E3F2E7"/>
            </w:tcBorders>
            <w:tcMar>
              <w:top w:w="0" w:type="dxa"/>
              <w:left w:w="0" w:type="dxa"/>
              <w:right w:w="103"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243,609</w:t>
            </w:r>
          </w:p>
        </w:tc>
        <w:tc>
          <w:tcPr>
            <w:tcW w:w="92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1.34%</w:t>
            </w:r>
          </w:p>
        </w:tc>
      </w:tr>
      <w:tr>
        <w:trPr/>
        <w:tc>
          <w:tcPr>
            <w:tcW w:w="4780" w:type="dxa"/>
            <w:tcBorders/>
            <w:shd w:fill="EEF8FD" w:val="clear"/>
            <w:tcMar>
              <w:top w:w="0" w:type="dxa"/>
              <w:left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Gordon E. Kimball</w:t>
            </w:r>
            <w:r>
              <w:rPr>
                <w:rFonts w:ascii="Arial;Helvetica;Sans-Serif" w:hAnsi="Arial;Helvetica;Sans-Serif"/>
                <w:b w:val="false"/>
                <w:i w:val="false"/>
                <w:caps w:val="false"/>
                <w:smallCaps w:val="false"/>
                <w:position w:val="5"/>
                <w:sz w:val="13"/>
                <w:sz w:val="16"/>
              </w:rPr>
              <w:t>(2)(4)</w:t>
            </w:r>
          </w:p>
        </w:tc>
        <w:tc>
          <w:tcPr>
            <w:tcW w:w="940" w:type="dxa"/>
            <w:tcBorders>
              <w:right w:val="single" w:sz="8" w:space="0" w:color="E3F2E7"/>
            </w:tcBorders>
            <w:shd w:fill="EEF8FD" w:val="clear"/>
            <w:tcMar>
              <w:top w:w="0" w:type="dxa"/>
              <w:left w:w="0" w:type="dxa"/>
              <w:right w:w="103"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58,033</w:t>
            </w:r>
          </w:p>
        </w:tc>
        <w:tc>
          <w:tcPr>
            <w:tcW w:w="920" w:type="dxa"/>
            <w:tcBorders/>
            <w:shd w:fill="EEF8FD"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r>
      <w:tr>
        <w:trPr/>
        <w:tc>
          <w:tcPr>
            <w:tcW w:w="4780" w:type="dxa"/>
            <w:tcBorders>
              <w:bottom w:val="single" w:sz="8" w:space="0" w:color="E5F5FD"/>
              <w:right w:val="single" w:sz="8" w:space="0" w:color="E5F5FD"/>
            </w:tcBorders>
            <w:tcMar>
              <w:top w:w="0" w:type="dxa"/>
              <w:left w:w="0" w:type="dxa"/>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Elizabeth Mora</w:t>
            </w:r>
            <w:r>
              <w:rPr>
                <w:rFonts w:ascii="Arial;Helvetica;Sans-Serif" w:hAnsi="Arial;Helvetica;Sans-Serif"/>
                <w:b w:val="false"/>
                <w:i w:val="false"/>
                <w:caps w:val="false"/>
                <w:smallCaps w:val="false"/>
                <w:position w:val="5"/>
                <w:sz w:val="13"/>
                <w:sz w:val="16"/>
              </w:rPr>
              <w:t>(2)</w:t>
            </w:r>
          </w:p>
        </w:tc>
        <w:tc>
          <w:tcPr>
            <w:tcW w:w="940" w:type="dxa"/>
            <w:tcBorders>
              <w:bottom w:val="single" w:sz="8" w:space="0" w:color="E5F5FD"/>
              <w:right w:val="single" w:sz="8" w:space="0" w:color="E3F2E7"/>
            </w:tcBorders>
            <w:tcMar>
              <w:top w:w="0" w:type="dxa"/>
              <w:left w:w="0" w:type="dxa"/>
              <w:bottom w:w="28" w:type="dxa"/>
              <w:right w:w="103"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17,535</w:t>
            </w:r>
          </w:p>
        </w:tc>
        <w:tc>
          <w:tcPr>
            <w:tcW w:w="920" w:type="dxa"/>
            <w:tcBorders>
              <w:bottom w:val="single" w:sz="8" w:space="0" w:color="E5F5FD"/>
            </w:tcBorders>
            <w:tcMar>
              <w:top w:w="0" w:type="dxa"/>
              <w:left w:w="0" w:type="dxa"/>
              <w:bottom w:w="28"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r>
    </w:tbl>
    <w:p>
      <w:pPr>
        <w:pStyle w:val="TextBody"/>
        <w:bidi w:val="0"/>
        <w:spacing w:before="0" w:after="0"/>
        <w:ind w:left="200" w:right="200" w:hanging="0"/>
        <w:jc w:val="center"/>
        <w:rPr>
          <w:caps w:val="false"/>
          <w:smallCaps w:val="false"/>
          <w:color w:val="FF0000"/>
          <w:bdr w:val="single" w:sz="8" w:space="1" w:color="008DCF"/>
        </w:rPr>
      </w:pPr>
      <w:r>
        <w:rPr>
          <w:caps w:val="false"/>
          <w:smallCaps w:val="false"/>
          <w:color w:val="FF0000"/>
          <w:bdr w:val="single" w:sz="8" w:space="1" w:color="008DCF"/>
        </w:rPr>
        <w:t> </w:t>
      </w:r>
    </w:p>
    <w:p>
      <w:pPr>
        <w:pStyle w:val="TextBody"/>
        <w:bidi w:val="0"/>
        <w:spacing w:before="0" w:after="0"/>
        <w:ind w:left="200" w:right="200" w:hanging="0"/>
        <w:jc w:val="left"/>
        <w:rPr>
          <w:caps w:val="false"/>
          <w:smallCaps w:val="false"/>
          <w:color w:val="FF0000"/>
        </w:rPr>
      </w:pPr>
      <w:r>
        <w:rPr>
          <w:caps w:val="false"/>
          <w:smallCaps w:val="false"/>
          <w:color w:val="FF0000"/>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57</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00" w:right="200" w:hanging="0"/>
        <w:jc w:val="left"/>
        <w:rPr>
          <w:caps w:val="false"/>
          <w:smallCaps w:val="false"/>
          <w:color w:val="FF0000"/>
        </w:rPr>
      </w:pPr>
      <w:r>
        <w:rPr>
          <w:caps w:val="false"/>
          <w:smallCaps w:val="false"/>
          <w:color w:val="FF0000"/>
        </w:rPr>
        <w:t> </w:t>
      </w:r>
    </w:p>
    <w:tbl>
      <w:tblPr>
        <w:tblW w:w="7095" w:type="dxa"/>
        <w:jc w:val="center"/>
        <w:tblInd w:w="0" w:type="dxa"/>
        <w:tblLayout w:type="fixed"/>
        <w:tblCellMar>
          <w:top w:w="28" w:type="dxa"/>
          <w:left w:w="108" w:type="dxa"/>
          <w:bottom w:w="0" w:type="dxa"/>
          <w:right w:w="28" w:type="dxa"/>
        </w:tblCellMar>
      </w:tblPr>
      <w:tblGrid>
        <w:gridCol w:w="5285"/>
        <w:gridCol w:w="890"/>
        <w:gridCol w:w="920"/>
      </w:tblGrid>
      <w:tr>
        <w:trPr/>
        <w:tc>
          <w:tcPr>
            <w:tcW w:w="5285" w:type="dxa"/>
            <w:vMerge w:val="restart"/>
            <w:tcBorders>
              <w:top w:val="single" w:sz="8" w:space="0" w:color="FFFFFF"/>
              <w:left w:val="single" w:sz="8" w:space="0" w:color="FFFFFF"/>
              <w:right w:val="single" w:sz="8" w:space="0" w:color="FFFFFF"/>
            </w:tcBorders>
            <w:shd w:fill="D2D6E4" w:val="clear"/>
            <w:vAlign w:val="center"/>
          </w:tcPr>
          <w:p>
            <w:pPr>
              <w:pStyle w:val="TableContents"/>
              <w:bidi w:val="0"/>
              <w:spacing w:before="0" w:after="0"/>
              <w:ind w:left="0" w:right="200" w:hanging="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Name and Address of Beneficial Owner</w:t>
            </w:r>
          </w:p>
        </w:tc>
        <w:tc>
          <w:tcPr>
            <w:tcW w:w="1810" w:type="dxa"/>
            <w:gridSpan w:val="2"/>
            <w:tcBorders>
              <w:top w:val="single" w:sz="8" w:space="0" w:color="FFFFFF"/>
              <w:right w:val="single" w:sz="8" w:space="0" w:color="FFFFFF"/>
            </w:tcBorders>
            <w:shd w:fill="D2D6E4" w:val="clear"/>
            <w:tcMar>
              <w:left w:w="0" w:type="dxa"/>
              <w:right w:w="108"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 xml:space="preserve">Common Stock </w:t>
              <w:br/>
              <w:t>Beneficially Owned</w:t>
            </w:r>
          </w:p>
        </w:tc>
      </w:tr>
      <w:tr>
        <w:trPr/>
        <w:tc>
          <w:tcPr>
            <w:tcW w:w="5285" w:type="dxa"/>
            <w:vMerge w:val="continue"/>
            <w:tcBorders>
              <w:top w:val="single" w:sz="8" w:space="0" w:color="FFFFFF"/>
              <w:left w:val="single" w:sz="8" w:space="0" w:color="FFFFFF"/>
              <w:right w:val="single" w:sz="8" w:space="0" w:color="FFFFFF"/>
            </w:tcBorders>
            <w:shd w:fill="D2D6E4" w:val="clear"/>
            <w:vAlign w:val="center"/>
          </w:tcPr>
          <w:p>
            <w:pPr>
              <w:pStyle w:val="Normal"/>
              <w:bidi w:val="0"/>
              <w:jc w:val="left"/>
              <w:rPr/>
            </w:pPr>
            <w:r>
              <w:rPr/>
            </w:r>
          </w:p>
        </w:tc>
        <w:tc>
          <w:tcPr>
            <w:tcW w:w="890" w:type="dxa"/>
            <w:tcBorders>
              <w:right w:val="single" w:sz="8" w:space="0" w:color="FFFFFF"/>
            </w:tcBorders>
            <w:shd w:fill="D2D6E4" w:val="clear"/>
            <w:tcMar>
              <w:top w:w="0" w:type="dxa"/>
              <w:left w:w="0" w:type="dxa"/>
              <w:right w:w="108"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 of shares</w:t>
            </w:r>
          </w:p>
        </w:tc>
        <w:tc>
          <w:tcPr>
            <w:tcW w:w="920" w:type="dxa"/>
            <w:tcBorders>
              <w:right w:val="single" w:sz="8" w:space="0" w:color="FFFFFF"/>
            </w:tcBorders>
            <w:shd w:fill="D2D6E4" w:val="clear"/>
            <w:tcMar>
              <w:top w:w="0" w:type="dxa"/>
              <w:left w:w="0" w:type="dxa"/>
              <w:right w:w="108"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Percentage</w:t>
            </w:r>
          </w:p>
        </w:tc>
      </w:tr>
      <w:tr>
        <w:trPr/>
        <w:tc>
          <w:tcPr>
            <w:tcW w:w="5285" w:type="dxa"/>
            <w:tcBorders/>
            <w:shd w:fill="EEF8FD" w:val="clear"/>
            <w:tcMar>
              <w:top w:w="0" w:type="dxa"/>
              <w:left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Mark Palamountain</w:t>
            </w:r>
            <w:r>
              <w:rPr>
                <w:rFonts w:ascii="Arial;Helvetica;Sans-Serif" w:hAnsi="Arial;Helvetica;Sans-Serif"/>
                <w:b w:val="false"/>
                <w:i w:val="false"/>
                <w:caps w:val="false"/>
                <w:smallCaps w:val="false"/>
                <w:position w:val="5"/>
                <w:sz w:val="13"/>
                <w:sz w:val="16"/>
              </w:rPr>
              <w:t>(5)</w:t>
            </w:r>
          </w:p>
        </w:tc>
        <w:tc>
          <w:tcPr>
            <w:tcW w:w="890" w:type="dxa"/>
            <w:tcBorders>
              <w:right w:val="single" w:sz="8" w:space="0" w:color="E3F2E7"/>
            </w:tcBorders>
            <w:shd w:fill="EEF8FD" w:val="clear"/>
            <w:tcMar>
              <w:top w:w="0" w:type="dxa"/>
              <w:left w:w="0" w:type="dxa"/>
              <w:right w:w="103"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107,206</w:t>
            </w:r>
          </w:p>
        </w:tc>
        <w:tc>
          <w:tcPr>
            <w:tcW w:w="920" w:type="dxa"/>
            <w:tcBorders/>
            <w:shd w:fill="EEF8FD"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r>
      <w:tr>
        <w:trPr/>
        <w:tc>
          <w:tcPr>
            <w:tcW w:w="5285" w:type="dxa"/>
            <w:tcBorders>
              <w:right w:val="single" w:sz="8" w:space="0" w:color="E5F5FD"/>
            </w:tcBorders>
            <w:tcMar>
              <w:top w:w="0" w:type="dxa"/>
              <w:lef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Peter J. Nolan</w:t>
            </w:r>
            <w:r>
              <w:rPr>
                <w:rFonts w:ascii="Arial;Helvetica;Sans-Serif" w:hAnsi="Arial;Helvetica;Sans-Serif"/>
                <w:b w:val="false"/>
                <w:i w:val="false"/>
                <w:caps w:val="false"/>
                <w:smallCaps w:val="false"/>
                <w:position w:val="5"/>
                <w:sz w:val="13"/>
                <w:sz w:val="16"/>
              </w:rPr>
              <w:t>(2)</w:t>
            </w:r>
          </w:p>
        </w:tc>
        <w:tc>
          <w:tcPr>
            <w:tcW w:w="890" w:type="dxa"/>
            <w:tcBorders>
              <w:right w:val="single" w:sz="8" w:space="0" w:color="E3F2E7"/>
            </w:tcBorders>
            <w:tcMar>
              <w:top w:w="0" w:type="dxa"/>
              <w:left w:w="0" w:type="dxa"/>
              <w:right w:w="103"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1,133,862</w:t>
            </w:r>
          </w:p>
        </w:tc>
        <w:tc>
          <w:tcPr>
            <w:tcW w:w="92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6.25%</w:t>
            </w:r>
          </w:p>
        </w:tc>
      </w:tr>
      <w:tr>
        <w:trPr/>
        <w:tc>
          <w:tcPr>
            <w:tcW w:w="5285" w:type="dxa"/>
            <w:tcBorders/>
            <w:shd w:fill="EEF8FD" w:val="clear"/>
            <w:tcMar>
              <w:top w:w="0" w:type="dxa"/>
              <w:left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Scott S. Slater</w:t>
            </w:r>
            <w:r>
              <w:rPr>
                <w:rFonts w:ascii="Arial;Helvetica;Sans-Serif" w:hAnsi="Arial;Helvetica;Sans-Serif"/>
                <w:b w:val="false"/>
                <w:i w:val="false"/>
                <w:caps w:val="false"/>
                <w:smallCaps w:val="false"/>
                <w:position w:val="5"/>
                <w:sz w:val="13"/>
                <w:sz w:val="16"/>
              </w:rPr>
              <w:t>(2)</w:t>
            </w:r>
          </w:p>
        </w:tc>
        <w:tc>
          <w:tcPr>
            <w:tcW w:w="890" w:type="dxa"/>
            <w:tcBorders>
              <w:right w:val="single" w:sz="8" w:space="0" w:color="E3F2E7"/>
            </w:tcBorders>
            <w:shd w:fill="EEF8FD" w:val="clear"/>
            <w:tcMar>
              <w:top w:w="0" w:type="dxa"/>
              <w:left w:w="0" w:type="dxa"/>
              <w:right w:w="103"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64,447</w:t>
            </w:r>
          </w:p>
        </w:tc>
        <w:tc>
          <w:tcPr>
            <w:tcW w:w="920" w:type="dxa"/>
            <w:tcBorders/>
            <w:shd w:fill="EEF8FD"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r>
      <w:tr>
        <w:trPr/>
        <w:tc>
          <w:tcPr>
            <w:tcW w:w="5285" w:type="dxa"/>
            <w:tcBorders>
              <w:right w:val="single" w:sz="8" w:space="0" w:color="E5F5FD"/>
            </w:tcBorders>
            <w:tcMar>
              <w:top w:w="0" w:type="dxa"/>
              <w:lef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Edgar A. Terry</w:t>
            </w:r>
            <w:r>
              <w:rPr>
                <w:rFonts w:ascii="Arial;Helvetica;Sans-Serif" w:hAnsi="Arial;Helvetica;Sans-Serif"/>
                <w:b w:val="false"/>
                <w:i w:val="false"/>
                <w:caps w:val="false"/>
                <w:smallCaps w:val="false"/>
                <w:position w:val="5"/>
                <w:sz w:val="13"/>
                <w:sz w:val="16"/>
              </w:rPr>
              <w:t>(2)(6)</w:t>
            </w:r>
          </w:p>
        </w:tc>
        <w:tc>
          <w:tcPr>
            <w:tcW w:w="890" w:type="dxa"/>
            <w:tcBorders>
              <w:right w:val="single" w:sz="8" w:space="0" w:color="E3F2E7"/>
            </w:tcBorders>
            <w:tcMar>
              <w:top w:w="0" w:type="dxa"/>
              <w:left w:w="0" w:type="dxa"/>
              <w:right w:w="103"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26,275</w:t>
            </w:r>
          </w:p>
        </w:tc>
        <w:tc>
          <w:tcPr>
            <w:tcW w:w="920" w:type="dxa"/>
            <w:tcBorders/>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r>
      <w:tr>
        <w:trPr/>
        <w:tc>
          <w:tcPr>
            <w:tcW w:w="5285" w:type="dxa"/>
            <w:tcBorders/>
            <w:shd w:fill="EEF8FD" w:val="clear"/>
            <w:tcMar>
              <w:top w:w="0" w:type="dxa"/>
              <w:left w:w="0" w:type="dxa"/>
              <w:right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All Current Directors &amp; Officers as of the Record date, January 30, 2026</w:t>
            </w:r>
          </w:p>
        </w:tc>
        <w:tc>
          <w:tcPr>
            <w:tcW w:w="890" w:type="dxa"/>
            <w:tcBorders>
              <w:right w:val="single" w:sz="8" w:space="0" w:color="E3F2E7"/>
            </w:tcBorders>
            <w:shd w:fill="EEF8FD" w:val="clear"/>
            <w:tcMar>
              <w:top w:w="0" w:type="dxa"/>
              <w:left w:w="0" w:type="dxa"/>
              <w:right w:w="103"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1,663,945</w:t>
            </w:r>
          </w:p>
        </w:tc>
        <w:tc>
          <w:tcPr>
            <w:tcW w:w="920" w:type="dxa"/>
            <w:tcBorders/>
            <w:shd w:fill="EEF8FD" w:val="clear"/>
            <w:tcMar>
              <w:top w:w="0" w:type="dxa"/>
              <w:left w:w="0" w:type="dxa"/>
              <w:right w:w="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9.17%</w:t>
            </w:r>
          </w:p>
        </w:tc>
      </w:tr>
    </w:tbl>
    <w:p>
      <w:pPr>
        <w:pStyle w:val="TextBody"/>
        <w:bidi w:val="0"/>
        <w:spacing w:before="0" w:after="0"/>
        <w:ind w:left="200" w:right="200" w:hanging="0"/>
        <w:jc w:val="center"/>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4"/>
          <w:bdr w:val="single" w:sz="8" w:space="1" w:color="008DCF"/>
        </w:rPr>
      </w:pPr>
      <w:r>
        <w:rPr>
          <w:rFonts w:ascii="Arial;Helvetica;Sans-Serif" w:hAnsi="Arial;Helvetica;Sans-Serif"/>
          <w:b w:val="false"/>
          <w:i w:val="false"/>
          <w:caps w:val="false"/>
          <w:smallCaps w:val="false"/>
          <w:sz w:val="14"/>
          <w:bdr w:val="single" w:sz="8" w:space="1" w:color="008DCF"/>
        </w:rPr>
        <w:t>(*)  Less than 1%</w:t>
      </w:r>
    </w:p>
    <w:tbl>
      <w:tblPr>
        <w:tblW w:w="10205" w:type="dxa"/>
        <w:jc w:val="center"/>
        <w:tblInd w:w="0" w:type="dxa"/>
        <w:tblLayout w:type="fixed"/>
        <w:tblCellMar>
          <w:top w:w="0" w:type="dxa"/>
          <w:left w:w="0" w:type="dxa"/>
          <w:bottom w:w="0" w:type="dxa"/>
          <w:right w:w="0" w:type="dxa"/>
        </w:tblCellMar>
      </w:tblPr>
      <w:tblGrid>
        <w:gridCol w:w="38"/>
        <w:gridCol w:w="123"/>
        <w:gridCol w:w="10044"/>
      </w:tblGrid>
      <w:tr>
        <w:trPr/>
        <w:tc>
          <w:tcPr>
            <w:tcW w:w="3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w:t>
            </w:r>
          </w:p>
        </w:tc>
        <w:tc>
          <w:tcPr>
            <w:tcW w:w="10044"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information provided in this table is based on the Company’s records and information supplied by the Directors and Officers. The business address for each director and officer is Limoneira Company, 1141 Cummings Road, Santa Paula, CA 93060.</w:t>
            </w:r>
          </w:p>
        </w:tc>
      </w:tr>
    </w:tbl>
    <w:tbl>
      <w:tblPr>
        <w:tblW w:w="7818" w:type="dxa"/>
        <w:jc w:val="center"/>
        <w:tblInd w:w="0" w:type="dxa"/>
        <w:tblLayout w:type="fixed"/>
        <w:tblCellMar>
          <w:top w:w="0" w:type="dxa"/>
          <w:left w:w="0" w:type="dxa"/>
          <w:bottom w:w="0" w:type="dxa"/>
          <w:right w:w="0" w:type="dxa"/>
        </w:tblCellMar>
      </w:tblPr>
      <w:tblGrid>
        <w:gridCol w:w="38"/>
        <w:gridCol w:w="140"/>
        <w:gridCol w:w="764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2.</w:t>
            </w:r>
          </w:p>
        </w:tc>
        <w:tc>
          <w:tcPr>
            <w:tcW w:w="7640"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Includes 5,090 restricted shares to vest on April 9, 2026. Each grantee holds voting and dividend right to all 5,090 shares.</w:t>
            </w:r>
          </w:p>
        </w:tc>
      </w:tr>
    </w:tbl>
    <w:tbl>
      <w:tblPr>
        <w:tblW w:w="10205" w:type="dxa"/>
        <w:jc w:val="center"/>
        <w:tblInd w:w="0" w:type="dxa"/>
        <w:tblLayout w:type="fixed"/>
        <w:tblCellMar>
          <w:top w:w="0" w:type="dxa"/>
          <w:left w:w="0" w:type="dxa"/>
          <w:bottom w:w="0" w:type="dxa"/>
          <w:right w:w="0" w:type="dxa"/>
        </w:tblCellMar>
      </w:tblPr>
      <w:tblGrid>
        <w:gridCol w:w="38"/>
        <w:gridCol w:w="114"/>
        <w:gridCol w:w="10053"/>
      </w:tblGrid>
      <w:tr>
        <w:trPr/>
        <w:tc>
          <w:tcPr>
            <w:tcW w:w="3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w:t>
            </w:r>
          </w:p>
        </w:tc>
        <w:tc>
          <w:tcPr>
            <w:tcW w:w="10053"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Mr. Edwards owns all shares as a beneficiary of a trust. He holds voting and dividend rights to all shares including restricted shares. The number includes 62,497 equity shares granted for annual equity-based incentive bonuses. 11,795 shares vest in fiscal year 2026; 19,077 in fiscal year 2027; 19,075 in fiscal year 2028 and 12,550 in fiscal year 2029.</w:t>
            </w:r>
          </w:p>
        </w:tc>
      </w:tr>
    </w:tbl>
    <w:tbl>
      <w:tblPr>
        <w:tblW w:w="10205" w:type="dxa"/>
        <w:jc w:val="center"/>
        <w:tblInd w:w="0" w:type="dxa"/>
        <w:tblLayout w:type="fixed"/>
        <w:tblCellMar>
          <w:top w:w="0" w:type="dxa"/>
          <w:left w:w="0" w:type="dxa"/>
          <w:bottom w:w="0" w:type="dxa"/>
          <w:right w:w="0" w:type="dxa"/>
        </w:tblCellMar>
      </w:tblPr>
      <w:tblGrid>
        <w:gridCol w:w="38"/>
        <w:gridCol w:w="131"/>
        <w:gridCol w:w="10036"/>
      </w:tblGrid>
      <w:tr>
        <w:trPr/>
        <w:tc>
          <w:tcPr>
            <w:tcW w:w="3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w:t>
            </w:r>
          </w:p>
        </w:tc>
        <w:tc>
          <w:tcPr>
            <w:tcW w:w="10036"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Mr. Kimball is the beneficial owner of 54,543 shares held in a trust. He shares voting and investment power over these shares. The number also includes 3,490 shares owned by Mr. Kimball’s wife.</w:t>
            </w:r>
          </w:p>
        </w:tc>
      </w:tr>
    </w:tbl>
    <w:tbl>
      <w:tblPr>
        <w:tblW w:w="10205" w:type="dxa"/>
        <w:jc w:val="center"/>
        <w:tblInd w:w="0" w:type="dxa"/>
        <w:tblLayout w:type="fixed"/>
        <w:tblCellMar>
          <w:top w:w="0" w:type="dxa"/>
          <w:left w:w="0" w:type="dxa"/>
          <w:bottom w:w="0" w:type="dxa"/>
          <w:right w:w="0" w:type="dxa"/>
        </w:tblCellMar>
      </w:tblPr>
      <w:tblGrid>
        <w:gridCol w:w="38"/>
        <w:gridCol w:w="117"/>
        <w:gridCol w:w="10050"/>
      </w:tblGrid>
      <w:tr>
        <w:trPr/>
        <w:tc>
          <w:tcPr>
            <w:tcW w:w="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w:t>
            </w:r>
          </w:p>
        </w:tc>
        <w:tc>
          <w:tcPr>
            <w:tcW w:w="1005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Mr. Palamountain holds voting and dividend rights to all shares including restricted shares. The number includes 31,248 equity shares granted for annual equity-based incentive bonuses. 5,897 shares vest in fiscal year 2026; 9,538 in fiscal year 2027; 9,538 in fiscal year 2028 and 6,275 in fiscal year 2029.</w:t>
            </w:r>
          </w:p>
        </w:tc>
      </w:tr>
    </w:tbl>
    <w:tbl>
      <w:tblPr>
        <w:tblW w:w="7698" w:type="dxa"/>
        <w:jc w:val="center"/>
        <w:tblInd w:w="0" w:type="dxa"/>
        <w:tblLayout w:type="fixed"/>
        <w:tblCellMar>
          <w:top w:w="0" w:type="dxa"/>
          <w:left w:w="0" w:type="dxa"/>
          <w:bottom w:w="0" w:type="dxa"/>
          <w:right w:w="0" w:type="dxa"/>
        </w:tblCellMar>
      </w:tblPr>
      <w:tblGrid>
        <w:gridCol w:w="38"/>
        <w:gridCol w:w="14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6.</w:t>
            </w:r>
          </w:p>
        </w:tc>
        <w:tc>
          <w:tcPr>
            <w:tcW w:w="752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Mr. Terry as a joint trustee of a trust owns shares beneficially. He holds voting and investment power over these shares.</w:t>
            </w:r>
          </w:p>
        </w:tc>
      </w:tr>
    </w:tbl>
    <w:tbl>
      <w:tblPr>
        <w:tblW w:w="8793" w:type="dxa"/>
        <w:jc w:val="center"/>
        <w:tblInd w:w="0" w:type="dxa"/>
        <w:tblLayout w:type="fixed"/>
        <w:tblCellMar>
          <w:top w:w="0" w:type="dxa"/>
          <w:left w:w="0" w:type="dxa"/>
          <w:bottom w:w="0" w:type="dxa"/>
          <w:right w:w="0" w:type="dxa"/>
        </w:tblCellMar>
      </w:tblPr>
      <w:tblGrid>
        <w:gridCol w:w="38"/>
        <w:gridCol w:w="140"/>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7.</w:t>
            </w:r>
          </w:p>
        </w:tc>
        <w:tc>
          <w:tcPr>
            <w:tcW w:w="861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Pursuant to data as of September 30, 2025 from IPREO, a database used by ICR and developed by IHS Markit, now a part of S&amp;P Global.</w:t>
            </w:r>
          </w:p>
        </w:tc>
      </w:tr>
    </w:tbl>
    <w:p>
      <w:pPr>
        <w:pStyle w:val="TextBody"/>
        <w:bidi w:val="0"/>
        <w:spacing w:before="0" w:after="0"/>
        <w:ind w:left="200" w:right="200" w:hanging="239"/>
        <w:jc w:val="left"/>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58</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00" w:right="200" w:hanging="0"/>
        <w:jc w:val="left"/>
        <w:rPr>
          <w:caps w:val="false"/>
          <w:smallCaps w:val="false"/>
          <w:color w:val="FF0000"/>
        </w:rPr>
      </w:pPr>
      <w:r>
        <w:rPr>
          <w:caps w:val="false"/>
          <w:smallCaps w:val="false"/>
          <w:color w:val="FF0000"/>
        </w:rPr>
        <w:t> </w:t>
      </w:r>
    </w:p>
    <w:p>
      <w:pPr>
        <w:pStyle w:val="TextBody"/>
        <w:bidi w:val="0"/>
        <w:spacing w:before="0" w:after="0"/>
        <w:ind w:left="200" w:right="200" w:hanging="0"/>
        <w:jc w:val="left"/>
        <w:rPr>
          <w:rFonts w:ascii="Arial;Helvetica;Sans-Serif" w:hAnsi="Arial;Helvetica;Sans-Serif"/>
          <w:b/>
          <w:i w:val="false"/>
          <w:caps w:val="false"/>
          <w:smallCaps w:val="false"/>
          <w:color w:val="008DCF"/>
          <w:sz w:val="26"/>
          <w:bdr w:val="single" w:sz="8" w:space="1" w:color="008DCF"/>
        </w:rPr>
      </w:pPr>
      <w:bookmarkStart w:id="266" w:name="lmnrdef14aa098"/>
      <w:bookmarkEnd w:id="266"/>
      <w:r>
        <w:rPr>
          <w:rFonts w:ascii="Arial;Helvetica;Sans-Serif" w:hAnsi="Arial;Helvetica;Sans-Serif"/>
          <w:b/>
          <w:i w:val="false"/>
          <w:caps w:val="false"/>
          <w:smallCaps w:val="false"/>
          <w:color w:val="008DCF"/>
          <w:sz w:val="26"/>
          <w:bdr w:val="single" w:sz="8" w:space="1" w:color="008DCF"/>
        </w:rPr>
        <w:t>Securities Authorized for Issuance Under Equity Compensation Plans</w:t>
      </w:r>
    </w:p>
    <w:p>
      <w:pPr>
        <w:pStyle w:val="TextBody"/>
        <w:bidi w:val="0"/>
        <w:spacing w:before="0" w:after="0"/>
        <w:ind w:left="200" w:right="200" w:hanging="0"/>
        <w:jc w:val="left"/>
        <w:rPr>
          <w:caps w:val="false"/>
          <w:smallCaps w:val="false"/>
          <w:color w:val="008DCF"/>
          <w:bdr w:val="single" w:sz="8" w:space="1" w:color="008DCF"/>
        </w:rPr>
      </w:pPr>
      <w:r>
        <w:rPr>
          <w:caps w:val="false"/>
          <w:smallCaps w:val="false"/>
          <w:color w:val="008DCF"/>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The following table sets forth information as of October 31, 2025, about the Common Stock issuable to employees and directors under the 2022 Plan, which was approved by stockholders on March 22, 2022. Stockholders approved an amendment to the 2022 Plan on March 26, 2024, to increase the number of shares of the Common Stock available for awards thereunder by 1,000,000 shares to 1,500,000 shares. As of October 31, 2025, other than as described below, no equity securities were authorized for issuance under equity compensation plans not approved by security holders.</w:t>
      </w:r>
    </w:p>
    <w:p>
      <w:pPr>
        <w:pStyle w:val="TextBody"/>
        <w:bidi w:val="0"/>
        <w:spacing w:before="0" w:after="0"/>
        <w:ind w:left="200" w:right="200" w:hanging="0"/>
        <w:jc w:val="center"/>
        <w:rPr>
          <w:caps w:val="false"/>
          <w:smallCaps w:val="false"/>
          <w:bdr w:val="single" w:sz="8" w:space="1" w:color="008DCF"/>
        </w:rPr>
      </w:pPr>
      <w:r>
        <w:rPr>
          <w:caps w:val="false"/>
          <w:smallCaps w:val="false"/>
          <w:bdr w:val="single" w:sz="8" w:space="1" w:color="008DCF"/>
        </w:rPr>
        <w:t> </w:t>
      </w:r>
    </w:p>
    <w:tbl>
      <w:tblPr>
        <w:tblW w:w="10205" w:type="dxa"/>
        <w:jc w:val="center"/>
        <w:tblInd w:w="0" w:type="dxa"/>
        <w:tblLayout w:type="fixed"/>
        <w:tblCellMar>
          <w:top w:w="28" w:type="dxa"/>
          <w:left w:w="108" w:type="dxa"/>
          <w:bottom w:w="0" w:type="dxa"/>
          <w:right w:w="108" w:type="dxa"/>
        </w:tblCellMar>
      </w:tblPr>
      <w:tblGrid>
        <w:gridCol w:w="1952"/>
        <w:gridCol w:w="2859"/>
        <w:gridCol w:w="2499"/>
        <w:gridCol w:w="2895"/>
      </w:tblGrid>
      <w:tr>
        <w:trPr/>
        <w:tc>
          <w:tcPr>
            <w:tcW w:w="1952" w:type="dxa"/>
            <w:tcBorders>
              <w:top w:val="single" w:sz="8" w:space="0" w:color="FFFFFF"/>
              <w:left w:val="single" w:sz="8" w:space="0" w:color="FFFFFF"/>
              <w:right w:val="single" w:sz="8" w:space="0" w:color="FFFFFF"/>
            </w:tcBorders>
            <w:shd w:fill="D2D6E4" w:val="clear"/>
            <w:vAlign w:val="center"/>
          </w:tcPr>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rPr>
              <w:t>Plan Category</w:t>
            </w:r>
            <w:r>
              <w:rPr>
                <w:rFonts w:ascii="Arial;Helvetica;Sans-Serif" w:hAnsi="Arial;Helvetica;Sans-Serif"/>
                <w:b w:val="false"/>
                <w:i w:val="false"/>
                <w:caps w:val="false"/>
                <w:smallCaps w:val="false"/>
                <w:sz w:val="16"/>
              </w:rPr>
              <w:t> </w:t>
            </w:r>
          </w:p>
        </w:tc>
        <w:tc>
          <w:tcPr>
            <w:tcW w:w="2859" w:type="dxa"/>
            <w:tcBorders>
              <w:top w:val="single" w:sz="8" w:space="0" w:color="FFFFFF"/>
              <w:right w:val="single" w:sz="8" w:space="0" w:color="FFFFFF"/>
            </w:tcBorders>
            <w:shd w:fill="D2D6E4" w:val="clear"/>
            <w:tcMar>
              <w:left w:w="0" w:type="dxa"/>
            </w:tcMar>
            <w:vAlign w:val="center"/>
          </w:tcPr>
          <w:p>
            <w:pPr>
              <w:pStyle w:val="TableContents"/>
              <w:bidi w:val="0"/>
              <w:spacing w:before="0" w:after="0"/>
              <w:jc w:val="center"/>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rPr>
              <w:t>Number of Securities to be Issued Upon Exercise of Outstanding Options, Warrants and Rights</w:t>
            </w:r>
            <w:r>
              <w:rPr>
                <w:rFonts w:ascii="Arial;Helvetica;Sans-Serif" w:hAnsi="Arial;Helvetica;Sans-Serif"/>
                <w:b w:val="false"/>
                <w:i w:val="false"/>
                <w:caps w:val="false"/>
                <w:smallCaps w:val="false"/>
                <w:sz w:val="16"/>
              </w:rPr>
              <w:t> </w:t>
            </w:r>
          </w:p>
        </w:tc>
        <w:tc>
          <w:tcPr>
            <w:tcW w:w="2499" w:type="dxa"/>
            <w:tcBorders>
              <w:top w:val="single" w:sz="8" w:space="0" w:color="FFFFFF"/>
              <w:right w:val="single" w:sz="8" w:space="0" w:color="FFFFFF"/>
            </w:tcBorders>
            <w:shd w:fill="D2D6E4" w:val="clear"/>
            <w:tcMar>
              <w:left w:w="0" w:type="dxa"/>
            </w:tcMar>
            <w:vAlign w:val="center"/>
          </w:tcPr>
          <w:p>
            <w:pPr>
              <w:pStyle w:val="TableContents"/>
              <w:bidi w:val="0"/>
              <w:spacing w:before="0" w:after="0"/>
              <w:jc w:val="center"/>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rPr>
              <w:t>Weighted Average Exercise Price of Outstanding Options, Warrants and Rights</w:t>
            </w:r>
            <w:r>
              <w:rPr>
                <w:rFonts w:ascii="Arial;Helvetica;Sans-Serif" w:hAnsi="Arial;Helvetica;Sans-Serif"/>
                <w:b w:val="false"/>
                <w:i w:val="false"/>
                <w:caps w:val="false"/>
                <w:smallCaps w:val="false"/>
                <w:sz w:val="16"/>
              </w:rPr>
              <w:t> </w:t>
            </w:r>
          </w:p>
        </w:tc>
        <w:tc>
          <w:tcPr>
            <w:tcW w:w="2895" w:type="dxa"/>
            <w:tcBorders>
              <w:top w:val="single" w:sz="8" w:space="0" w:color="FFFFFF"/>
              <w:right w:val="single" w:sz="8" w:space="0" w:color="FFFFFF"/>
            </w:tcBorders>
            <w:shd w:fill="D2D6E4" w:val="clear"/>
            <w:tcMar>
              <w:left w:w="0" w:type="dxa"/>
            </w:tcMar>
            <w:vAlign w:val="center"/>
          </w:tcPr>
          <w:p>
            <w:pPr>
              <w:pStyle w:val="TableContents"/>
              <w:bidi w:val="0"/>
              <w:spacing w:before="0" w:after="0"/>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Number of Securities Remaining Available for Future Issuance Under Equity Compensation</w:t>
            </w:r>
          </w:p>
          <w:p>
            <w:pPr>
              <w:pStyle w:val="TableContents"/>
              <w:bidi w:val="0"/>
              <w:spacing w:before="0" w:after="0"/>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Plans (excluding Securities Reflected in</w:t>
            </w:r>
          </w:p>
          <w:p>
            <w:pPr>
              <w:pStyle w:val="TableContents"/>
              <w:bidi w:val="0"/>
              <w:spacing w:before="0" w:after="0"/>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Column</w:t>
            </w:r>
            <w:r>
              <w:rPr>
                <w:rFonts w:ascii="Arial;Helvetica;Sans-Serif" w:hAnsi="Arial;Helvetica;Sans-Serif"/>
                <w:b/>
                <w:i w:val="false"/>
                <w:caps w:val="false"/>
                <w:smallCaps w:val="false"/>
                <w:position w:val="5"/>
                <w:sz w:val="13"/>
                <w:sz w:val="16"/>
              </w:rPr>
              <w:t>(A)(1)(2)</w:t>
            </w:r>
          </w:p>
        </w:tc>
      </w:tr>
      <w:tr>
        <w:trPr/>
        <w:tc>
          <w:tcPr>
            <w:tcW w:w="1952" w:type="dxa"/>
            <w:tcBorders>
              <w:bottom w:val="single" w:sz="8" w:space="0" w:color="E5F5FD"/>
              <w:right w:val="single" w:sz="8" w:space="0" w:color="E5F5FD"/>
            </w:tcBorders>
            <w:tcMar>
              <w:top w:w="0" w:type="dxa"/>
              <w:left w:w="0" w:type="dxa"/>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Equity Compensation plans approved by security holders</w:t>
            </w:r>
          </w:p>
        </w:tc>
        <w:tc>
          <w:tcPr>
            <w:tcW w:w="2859" w:type="dxa"/>
            <w:tcBorders>
              <w:bottom w:val="single" w:sz="8" w:space="0" w:color="E5F5FD"/>
              <w:right w:val="single" w:sz="8" w:space="0" w:color="E5F5FD"/>
            </w:tcBorders>
            <w:tcMar>
              <w:top w:w="0" w:type="dxa"/>
              <w:left w:w="0" w:type="dxa"/>
              <w:bottom w:w="28" w:type="dxa"/>
            </w:tcMar>
            <w:vAlign w:val="center"/>
          </w:tcPr>
          <w:p>
            <w:pPr>
              <w:pStyle w:val="TableContents"/>
              <w:bidi w:val="0"/>
              <w:spacing w:before="0" w:after="0"/>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1,500,000</w:t>
            </w:r>
          </w:p>
        </w:tc>
        <w:tc>
          <w:tcPr>
            <w:tcW w:w="2499" w:type="dxa"/>
            <w:tcBorders>
              <w:bottom w:val="single" w:sz="8" w:space="0" w:color="E5F5FD"/>
              <w:right w:val="single" w:sz="8" w:space="0" w:color="E5F5FD"/>
            </w:tcBorders>
            <w:tcMar>
              <w:top w:w="0" w:type="dxa"/>
              <w:left w:w="0" w:type="dxa"/>
              <w:bottom w:w="28" w:type="dxa"/>
            </w:tcMar>
            <w:vAlign w:val="center"/>
          </w:tcPr>
          <w:p>
            <w:pPr>
              <w:pStyle w:val="TableContents"/>
              <w:bidi w:val="0"/>
              <w:spacing w:before="0" w:after="0"/>
              <w:jc w:val="right"/>
              <w:rPr>
                <w:caps w:val="false"/>
                <w:smallCaps w:val="false"/>
              </w:rPr>
            </w:pPr>
            <w:r>
              <w:rPr>
                <w:caps w:val="false"/>
                <w:smallCaps w:val="false"/>
              </w:rPr>
              <w:t>—</w:t>
            </w:r>
          </w:p>
        </w:tc>
        <w:tc>
          <w:tcPr>
            <w:tcW w:w="2895" w:type="dxa"/>
            <w:tcBorders>
              <w:bottom w:val="single" w:sz="8" w:space="0" w:color="E5F5FD"/>
            </w:tcBorders>
            <w:tcMar>
              <w:top w:w="0" w:type="dxa"/>
              <w:left w:w="0" w:type="dxa"/>
              <w:bottom w:w="28" w:type="dxa"/>
              <w:right w:w="0" w:type="dxa"/>
            </w:tcMar>
            <w:vAlign w:val="center"/>
          </w:tcPr>
          <w:p>
            <w:pPr>
              <w:pStyle w:val="TableContents"/>
              <w:bidi w:val="0"/>
              <w:spacing w:before="0" w:after="0"/>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843,925</w:t>
            </w:r>
          </w:p>
        </w:tc>
      </w:tr>
    </w:tbl>
    <w:p>
      <w:pPr>
        <w:pStyle w:val="TextBody"/>
        <w:bidi w:val="0"/>
        <w:jc w:val="left"/>
        <w:rPr>
          <w:bdr w:val="single" w:sz="8" w:space="1" w:color="008DCF"/>
        </w:rPr>
      </w:pPr>
      <w:r>
        <w:rPr>
          <w:bdr w:val="single" w:sz="8" w:space="1" w:color="008DCF"/>
        </w:rPr>
        <w:t> </w:t>
      </w:r>
    </w:p>
    <w:tbl>
      <w:tblPr>
        <w:tblW w:w="10205" w:type="dxa"/>
        <w:jc w:val="center"/>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w:t>
            </w:r>
          </w:p>
        </w:tc>
        <w:tc>
          <w:tcPr>
            <w:tcW w:w="9997"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The Board approved the Limoneira Company 2022 Omnibus Incentive Plan on January 25, 2022. The Stockholders approved the plan at the 2022 Annual Meeting held March 22, 2022, and an amendment to the plan on March 26, 2024.</w:t>
            </w:r>
          </w:p>
        </w:tc>
      </w:tr>
    </w:tbl>
    <w:tbl>
      <w:tblPr>
        <w:tblW w:w="9018" w:type="dxa"/>
        <w:jc w:val="center"/>
        <w:tblInd w:w="0" w:type="dxa"/>
        <w:tblLayout w:type="fixed"/>
        <w:tblCellMar>
          <w:top w:w="0" w:type="dxa"/>
          <w:left w:w="0" w:type="dxa"/>
          <w:bottom w:w="0" w:type="dxa"/>
          <w:right w:w="0" w:type="dxa"/>
        </w:tblCellMar>
      </w:tblPr>
      <w:tblGrid>
        <w:gridCol w:w="38"/>
        <w:gridCol w:w="185"/>
        <w:gridCol w:w="879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w:t>
            </w:r>
          </w:p>
        </w:tc>
        <w:tc>
          <w:tcPr>
            <w:tcW w:w="8795"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Includes 110,815 shares granted, but not issued, in connection with fiscal year 2024 and fiscal year 2025 Performance Share-Based Awards.</w:t>
            </w:r>
          </w:p>
        </w:tc>
      </w:tr>
    </w:tbl>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008DCF"/>
          <w:sz w:val="24"/>
          <w:bdr w:val="single" w:sz="8" w:space="1" w:color="008DCF"/>
        </w:rPr>
      </w:pPr>
      <w:bookmarkStart w:id="267" w:name="lmnrdef14aa099"/>
      <w:bookmarkEnd w:id="267"/>
      <w:r>
        <w:rPr>
          <w:rFonts w:ascii="Arial;Helvetica;Sans-Serif" w:hAnsi="Arial;Helvetica;Sans-Serif"/>
          <w:b/>
          <w:i w:val="false"/>
          <w:caps w:val="false"/>
          <w:smallCaps w:val="false"/>
          <w:color w:val="008DCF"/>
          <w:sz w:val="24"/>
          <w:bdr w:val="single" w:sz="8" w:space="1" w:color="008DCF"/>
        </w:rPr>
        <w:t>Certain Relationships and Related-Party Transactions</w:t>
      </w:r>
    </w:p>
    <w:p>
      <w:pPr>
        <w:pStyle w:val="TextBody"/>
        <w:bidi w:val="0"/>
        <w:spacing w:before="0" w:after="0"/>
        <w:ind w:left="200" w:right="200" w:hanging="0"/>
        <w:jc w:val="left"/>
        <w:rPr>
          <w:caps w:val="false"/>
          <w:smallCaps w:val="false"/>
          <w:color w:val="008DCF"/>
          <w:bdr w:val="single" w:sz="8" w:space="1" w:color="008DCF"/>
        </w:rPr>
      </w:pPr>
      <w:r>
        <w:rPr>
          <w:caps w:val="false"/>
          <w:smallCaps w:val="false"/>
          <w:color w:val="008DCF"/>
          <w:bdr w:val="single" w:sz="8" w:space="1" w:color="008DCF"/>
        </w:rPr>
        <w:t> </w:t>
      </w:r>
    </w:p>
    <w:p>
      <w:pPr>
        <w:pStyle w:val="TextBody"/>
        <w:bidi w:val="0"/>
        <w:spacing w:before="0" w:after="0"/>
        <w:ind w:left="200" w:right="200" w:hanging="0"/>
        <w:jc w:val="left"/>
        <w:rPr>
          <w:rFonts w:ascii="Arial;Helvetica;Sans-Serif" w:hAnsi="Arial;Helvetica;Sans-Serif"/>
          <w:b/>
          <w:i/>
          <w:caps w:val="false"/>
          <w:smallCaps w:val="false"/>
          <w:color w:val="0062AF"/>
          <w:sz w:val="20"/>
          <w:bdr w:val="single" w:sz="8" w:space="1" w:color="008DCF"/>
        </w:rPr>
      </w:pPr>
      <w:bookmarkStart w:id="268" w:name="lmnrdef14aa100"/>
      <w:bookmarkEnd w:id="268"/>
      <w:r>
        <w:rPr>
          <w:rFonts w:ascii="Arial;Helvetica;Sans-Serif" w:hAnsi="Arial;Helvetica;Sans-Serif"/>
          <w:b/>
          <w:i/>
          <w:caps w:val="false"/>
          <w:smallCaps w:val="false"/>
          <w:color w:val="0062AF"/>
          <w:sz w:val="20"/>
          <w:bdr w:val="single" w:sz="8" w:space="1" w:color="008DCF"/>
        </w:rPr>
        <w:t>Policy for Approval of Related Party Transactions</w:t>
      </w:r>
    </w:p>
    <w:p>
      <w:pPr>
        <w:pStyle w:val="TextBody"/>
        <w:bidi w:val="0"/>
        <w:spacing w:before="0" w:after="0"/>
        <w:ind w:left="200" w:right="200" w:hanging="0"/>
        <w:jc w:val="left"/>
        <w:rPr>
          <w:caps w:val="false"/>
          <w:smallCaps w:val="false"/>
          <w:color w:val="0062AF"/>
          <w:bdr w:val="single" w:sz="8" w:space="1" w:color="008DCF"/>
        </w:rPr>
      </w:pPr>
      <w:r>
        <w:rPr>
          <w:caps w:val="false"/>
          <w:smallCaps w:val="false"/>
          <w:color w:val="0062AF"/>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In accordance with the terms of our Audit Committee charter, any transaction required to be disclosed pursuant to SEC regulations (including Item 404 of Regulation S-K) and PCAOB standards, which we refer to as related party transactions, must be identified, reviewed and approved by our Audit Committee, which is comprised entirely of independent directors. Details of such related party transactions will be discussed with the Company’s independent accountants and publicly disclosed as required by applicable law.</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Mr. Slater is a partner at Brownstein Hyatt Farber Schreck, LLP (“Brownstein”). In fiscal year 2025, the Company paid Brownstein approximately $325,432 for various legal services primarily related to the potential entitlement of the Limco Del Mar property, the tender offer to purchase units of Limco Del Mar, and water monetization. This relationship was reviewed and approved by the Audit Committee after determining that Brownstein had significant subject matter expertise for the activities.</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i/>
          <w:caps w:val="false"/>
          <w:smallCaps w:val="false"/>
          <w:color w:val="0062AF"/>
          <w:sz w:val="20"/>
          <w:bdr w:val="single" w:sz="8" w:space="1" w:color="008DCF"/>
        </w:rPr>
      </w:pPr>
      <w:bookmarkStart w:id="269" w:name="lmnrdef14aa101"/>
      <w:bookmarkEnd w:id="269"/>
      <w:r>
        <w:rPr>
          <w:rFonts w:ascii="Arial;Helvetica;Sans-Serif" w:hAnsi="Arial;Helvetica;Sans-Serif"/>
          <w:b/>
          <w:i/>
          <w:caps w:val="false"/>
          <w:smallCaps w:val="false"/>
          <w:color w:val="0062AF"/>
          <w:sz w:val="20"/>
          <w:bdr w:val="single" w:sz="8" w:space="1" w:color="008DCF"/>
        </w:rPr>
        <w:t>Family Relationships and Other Arrangements</w:t>
      </w:r>
    </w:p>
    <w:p>
      <w:pPr>
        <w:pStyle w:val="TextBody"/>
        <w:bidi w:val="0"/>
        <w:spacing w:before="0" w:after="0"/>
        <w:ind w:left="200" w:right="200" w:hanging="0"/>
        <w:jc w:val="left"/>
        <w:rPr>
          <w:caps w:val="false"/>
          <w:smallCaps w:val="false"/>
          <w:color w:val="0062AF"/>
          <w:bdr w:val="single" w:sz="8" w:space="1" w:color="008DCF"/>
        </w:rPr>
      </w:pPr>
      <w:r>
        <w:rPr>
          <w:caps w:val="false"/>
          <w:smallCaps w:val="false"/>
          <w:color w:val="0062AF"/>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There are no family relationships among the members of the Board and executive officers. There are no arrangements or understandings between or among the Company’s executive officers and directors pursuant to which any director or executive officer was or is to be selected as a director or executive officer.</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008DCF"/>
          <w:sz w:val="24"/>
          <w:bdr w:val="single" w:sz="8" w:space="1" w:color="008DCF"/>
        </w:rPr>
      </w:pPr>
      <w:bookmarkStart w:id="270" w:name="lmnrdef14aa102"/>
      <w:bookmarkEnd w:id="270"/>
      <w:r>
        <w:rPr>
          <w:rFonts w:ascii="Arial;Helvetica;Sans-Serif" w:hAnsi="Arial;Helvetica;Sans-Serif"/>
          <w:b/>
          <w:i w:val="false"/>
          <w:caps w:val="false"/>
          <w:smallCaps w:val="false"/>
          <w:color w:val="008DCF"/>
          <w:sz w:val="24"/>
          <w:bdr w:val="single" w:sz="8" w:space="1" w:color="008DCF"/>
        </w:rPr>
        <w:t>Delinquent Section 16(a) Reports</w:t>
      </w:r>
    </w:p>
    <w:p>
      <w:pPr>
        <w:pStyle w:val="TextBody"/>
        <w:bidi w:val="0"/>
        <w:spacing w:before="0" w:after="0"/>
        <w:ind w:left="200" w:right="200" w:hanging="0"/>
        <w:jc w:val="left"/>
        <w:rPr>
          <w:caps w:val="false"/>
          <w:smallCaps w:val="false"/>
          <w:color w:val="008DCF"/>
          <w:bdr w:val="single" w:sz="8" w:space="1" w:color="008DCF"/>
        </w:rPr>
      </w:pPr>
      <w:r>
        <w:rPr>
          <w:caps w:val="false"/>
          <w:smallCaps w:val="false"/>
          <w:color w:val="008DCF"/>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Section 16(a) of the Exchange Act requires our directors and officers, and persons who beneficially own more than 10% of our Common Stock, to file initial reports of ownership and reports of changes in ownership of our stock and our other equity securities with the SEC. As a practical matter, we assist our directors and officers by monitoring transactions and completing and filing Section 16 reports on their behalf. To the Company’s knowledge, during the fiscal year ended October 31, 2025, or with respect to such fiscal year, all Section 16(a) filing requirements were timely met.</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008DCF"/>
          <w:sz w:val="24"/>
          <w:bdr w:val="single" w:sz="8" w:space="1" w:color="008DCF"/>
        </w:rPr>
      </w:pPr>
      <w:bookmarkStart w:id="271" w:name="lmnrdef14aa103"/>
      <w:bookmarkEnd w:id="271"/>
      <w:r>
        <w:rPr>
          <w:rFonts w:ascii="Arial;Helvetica;Sans-Serif" w:hAnsi="Arial;Helvetica;Sans-Serif"/>
          <w:b/>
          <w:i w:val="false"/>
          <w:caps w:val="false"/>
          <w:smallCaps w:val="false"/>
          <w:color w:val="008DCF"/>
          <w:sz w:val="24"/>
          <w:bdr w:val="single" w:sz="8" w:space="1" w:color="008DCF"/>
        </w:rPr>
        <w:t>Stockholder Communications with the Board of Directors</w:t>
      </w:r>
    </w:p>
    <w:p>
      <w:pPr>
        <w:pStyle w:val="TextBody"/>
        <w:bidi w:val="0"/>
        <w:spacing w:before="0" w:after="0"/>
        <w:ind w:left="200" w:right="200" w:hanging="0"/>
        <w:jc w:val="left"/>
        <w:rPr>
          <w:caps w:val="false"/>
          <w:smallCaps w:val="false"/>
          <w:color w:val="008DCF"/>
          <w:bdr w:val="single" w:sz="8" w:space="1" w:color="008DCF"/>
        </w:rPr>
      </w:pPr>
      <w:r>
        <w:rPr>
          <w:caps w:val="false"/>
          <w:smallCaps w:val="false"/>
          <w:color w:val="008DCF"/>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The Company established a process for stockholders to send communications by mail to the Board: Corporate Secretary, Limoneira, 1141 Cummings Road, Santa Paula, CA 93060. Stockholders may also send communications to the Board as a group via the Investor Relations section of our website, www.limoneira.com, under the headings “Investor — Corporate Governance — Contact the Board.” Communications are distributed to the Board, or to any individual directors as</w:t>
      </w:r>
    </w:p>
    <w:p>
      <w:pPr>
        <w:pStyle w:val="TextBody"/>
        <w:bidi w:val="0"/>
        <w:spacing w:before="0" w:after="0"/>
        <w:ind w:left="200" w:right="200" w:hanging="0"/>
        <w:jc w:val="both"/>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59</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00" w:right="200" w:hanging="0"/>
        <w:jc w:val="left"/>
        <w:rPr>
          <w:caps w:val="false"/>
          <w:smallCaps w:val="false"/>
          <w:color w:val="FF0000"/>
        </w:rPr>
      </w:pPr>
      <w:r>
        <w:rPr>
          <w:caps w:val="false"/>
          <w:smallCaps w:val="false"/>
          <w:color w:val="FF0000"/>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appropriate, depending on the facts and circumstances outlined in the communication. Material that is unduly hostile, threatening, illegal or similarly unsuitable will be excluded, with the provision that any communication that is filtered out must be made available to any non-management director upon request.</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i/>
          <w:caps w:val="false"/>
          <w:smallCaps w:val="false"/>
          <w:color w:val="0062AF"/>
          <w:sz w:val="20"/>
          <w:bdr w:val="single" w:sz="8" w:space="1" w:color="008DCF"/>
        </w:rPr>
      </w:pPr>
      <w:bookmarkStart w:id="272" w:name="lmnrdef14aa104"/>
      <w:bookmarkEnd w:id="272"/>
      <w:r>
        <w:rPr>
          <w:rFonts w:ascii="Arial;Helvetica;Sans-Serif" w:hAnsi="Arial;Helvetica;Sans-Serif"/>
          <w:b/>
          <w:i/>
          <w:caps w:val="false"/>
          <w:smallCaps w:val="false"/>
          <w:color w:val="0062AF"/>
          <w:sz w:val="20"/>
          <w:bdr w:val="single" w:sz="8" w:space="1" w:color="008DCF"/>
        </w:rPr>
        <w:t>Stockholder Proposals for the 2026 Annual Meeting of Stockholders</w:t>
      </w:r>
    </w:p>
    <w:p>
      <w:pPr>
        <w:pStyle w:val="TextBody"/>
        <w:bidi w:val="0"/>
        <w:spacing w:before="0" w:after="0"/>
        <w:ind w:left="200" w:right="200" w:hanging="0"/>
        <w:jc w:val="left"/>
        <w:rPr>
          <w:caps w:val="false"/>
          <w:smallCaps w:val="false"/>
          <w:color w:val="0062AF"/>
          <w:bdr w:val="single" w:sz="8" w:space="1" w:color="008DCF"/>
        </w:rPr>
      </w:pPr>
      <w:r>
        <w:rPr>
          <w:caps w:val="false"/>
          <w:smallCaps w:val="false"/>
          <w:color w:val="0062AF"/>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Our Bylaws provide that the only business that may be conducted at an Annual Meeting of Stockholders is business that is (A) pursuant to the Company’s notice of meeting (or any supplement thereto), (B) by or at the direction of the Board (or any committee thereof), or (C) by any stockholder of the Company who is entitled to vote at the meeting and who complies with the notice procedures set forth in Section 2.1 of our Bylaws.</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Stockholder proposals should be addressed to our principal executive office as follows:</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Limoneira Company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Attn: Corporate Secretary</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1141 Cummings Road</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Santa Paula, CA 93060</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i/>
          <w:caps w:val="false"/>
          <w:smallCaps w:val="false"/>
          <w:color w:val="0062AF"/>
          <w:sz w:val="20"/>
          <w:bdr w:val="single" w:sz="8" w:space="1" w:color="008DCF"/>
        </w:rPr>
      </w:pPr>
      <w:bookmarkStart w:id="273" w:name="lmnrdef14aa105"/>
      <w:bookmarkEnd w:id="273"/>
      <w:r>
        <w:rPr>
          <w:rFonts w:ascii="Arial;Helvetica;Sans-Serif" w:hAnsi="Arial;Helvetica;Sans-Serif"/>
          <w:b/>
          <w:i/>
          <w:caps w:val="false"/>
          <w:smallCaps w:val="false"/>
          <w:color w:val="0062AF"/>
          <w:sz w:val="20"/>
          <w:bdr w:val="single" w:sz="8" w:space="1" w:color="008DCF"/>
        </w:rPr>
        <w:t>Stockholder Proposals – Inclusion in Company Proxy Statement</w:t>
      </w:r>
    </w:p>
    <w:p>
      <w:pPr>
        <w:pStyle w:val="TextBody"/>
        <w:bidi w:val="0"/>
        <w:spacing w:before="0" w:after="0"/>
        <w:ind w:left="200" w:right="200" w:hanging="0"/>
        <w:jc w:val="left"/>
        <w:rPr>
          <w:caps w:val="false"/>
          <w:smallCaps w:val="false"/>
          <w:color w:val="0062AF"/>
          <w:bdr w:val="single" w:sz="8" w:space="1" w:color="008DCF"/>
        </w:rPr>
      </w:pPr>
      <w:r>
        <w:rPr>
          <w:caps w:val="false"/>
          <w:smallCaps w:val="false"/>
          <w:color w:val="0062AF"/>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Stockholders may present proper proposals for inclusion in our proxy statement and for consideration at our next Annual Meeting of Stockholders by submitting their proposals in writing to our Corporate Secretary in a timely manner. For a stockholder proposal to be considered for inclusion in our proxy statement for our 2027 Annual Meeting of Stockholders, our Corporate Secretary must receive the written proposal at our principal executive office listed above no later than October 21, 2026, as prescribed by rules and requirements of Rule 14a-8 under the Exchange Act.</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i/>
          <w:caps w:val="false"/>
          <w:smallCaps w:val="false"/>
          <w:color w:val="0062AF"/>
          <w:sz w:val="20"/>
          <w:bdr w:val="single" w:sz="8" w:space="1" w:color="008DCF"/>
        </w:rPr>
      </w:pPr>
      <w:bookmarkStart w:id="274" w:name="lmnrdef14aa106"/>
      <w:bookmarkEnd w:id="274"/>
      <w:r>
        <w:rPr>
          <w:rFonts w:ascii="Arial;Helvetica;Sans-Serif" w:hAnsi="Arial;Helvetica;Sans-Serif"/>
          <w:b/>
          <w:i/>
          <w:caps w:val="false"/>
          <w:smallCaps w:val="false"/>
          <w:color w:val="0062AF"/>
          <w:sz w:val="20"/>
          <w:bdr w:val="single" w:sz="8" w:space="1" w:color="008DCF"/>
        </w:rPr>
        <w:t>Other Stockholder Proposals or Nominations</w:t>
      </w:r>
    </w:p>
    <w:p>
      <w:pPr>
        <w:pStyle w:val="TextBody"/>
        <w:bidi w:val="0"/>
        <w:spacing w:before="0" w:after="0"/>
        <w:ind w:left="200" w:right="200" w:hanging="0"/>
        <w:jc w:val="left"/>
        <w:rPr>
          <w:caps w:val="false"/>
          <w:smallCaps w:val="false"/>
          <w:color w:val="0062AF"/>
          <w:bdr w:val="single" w:sz="8" w:space="1" w:color="008DCF"/>
        </w:rPr>
      </w:pPr>
      <w:r>
        <w:rPr>
          <w:caps w:val="false"/>
          <w:smallCaps w:val="false"/>
          <w:color w:val="0062AF"/>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With respect to stockholders desiring to bring nominations or proposals other than pursuant to Rule 14a-8, our Bylaws prescribe certain advance notice procedures independent of the notice requirement and deadline described above. A stockholder’s notice must be delivered by a nationally recognized courier service or mailed by certified first class United States mail, postage or delivery charges prepaid, and received by the Corporate Secretary at the principal executive offices of the Company listed above not earlier than the November 15 immediately preceding such Annual Meeting of Stockholders nor later than the close of business on the ninetieth (90th) day immediately preceding the anniversary of the previous year’s Annual Meeting of Stockholders if such meeting is scheduled to be held on a day which is no more than thirty (30) days in advance of the anniversary of the previous year’s Annual Meeting of Stockholders nor later than sixty (60) days after the anniversary of the previous year’s Annual Meeting of Stockholders. Therefore, to be timely under our Bylaws, a stockholder proposal or nomination for the 2027 Annual Meeting of Stockholders must be received no earlier than November 15, 2026, and not later than December 25, 2026.</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In addition to satisfying the foregoing requirements under our Bylaws, to comply with the universal proxy rules, stockholders who intend to solicit proxies in support of director nominees other than the Company’s nominees must provide notice that sets forth the information required by Rule 14a-19 under the Exchange Act no later than February 8, 2026.</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008DCF"/>
          <w:sz w:val="24"/>
          <w:bdr w:val="single" w:sz="8" w:space="1" w:color="008DCF"/>
        </w:rPr>
      </w:pPr>
      <w:bookmarkStart w:id="275" w:name="lmnrdef14aa107"/>
      <w:bookmarkEnd w:id="275"/>
      <w:r>
        <w:rPr>
          <w:rFonts w:ascii="Arial;Helvetica;Sans-Serif" w:hAnsi="Arial;Helvetica;Sans-Serif"/>
          <w:b/>
          <w:i w:val="false"/>
          <w:caps w:val="false"/>
          <w:smallCaps w:val="false"/>
          <w:color w:val="008DCF"/>
          <w:sz w:val="24"/>
          <w:bdr w:val="single" w:sz="8" w:space="1" w:color="008DCF"/>
        </w:rPr>
        <w:t>United States Securities and Exchange Commission Reports</w:t>
      </w:r>
    </w:p>
    <w:p>
      <w:pPr>
        <w:pStyle w:val="TextBody"/>
        <w:bidi w:val="0"/>
        <w:spacing w:before="0" w:after="0"/>
        <w:ind w:left="200" w:right="200" w:hanging="0"/>
        <w:jc w:val="left"/>
        <w:rPr>
          <w:caps w:val="false"/>
          <w:smallCaps w:val="false"/>
          <w:color w:val="008DCF"/>
          <w:bdr w:val="single" w:sz="8" w:space="1" w:color="008DCF"/>
        </w:rPr>
      </w:pPr>
      <w:r>
        <w:rPr>
          <w:caps w:val="false"/>
          <w:smallCaps w:val="false"/>
          <w:color w:val="008DCF"/>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Copies of our Annual Report on Form 10-K for the year ended October 31, 2025, as filed with the SEC, are available to stockholders free of charge on our website at www.limoneira.com under the headings “Investor — Financial Information” or by writing to us at 1141 Cummings Road, Santa Paula, California 93060, Attention: Investor Relations.</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008DCF"/>
          <w:sz w:val="24"/>
          <w:bdr w:val="single" w:sz="8" w:space="1" w:color="008DCF"/>
        </w:rPr>
      </w:pPr>
      <w:bookmarkStart w:id="276" w:name="lmnrdef14aa108"/>
      <w:bookmarkEnd w:id="276"/>
      <w:r>
        <w:rPr>
          <w:rFonts w:ascii="Arial;Helvetica;Sans-Serif" w:hAnsi="Arial;Helvetica;Sans-Serif"/>
          <w:b/>
          <w:i w:val="false"/>
          <w:caps w:val="false"/>
          <w:smallCaps w:val="false"/>
          <w:color w:val="008DCF"/>
          <w:sz w:val="24"/>
          <w:bdr w:val="single" w:sz="8" w:space="1" w:color="008DCF"/>
        </w:rPr>
        <w:t>Delivery of Documents to Stockholders Sharing an Address</w:t>
      </w:r>
    </w:p>
    <w:p>
      <w:pPr>
        <w:pStyle w:val="TextBody"/>
        <w:bidi w:val="0"/>
        <w:spacing w:before="0" w:after="0"/>
        <w:ind w:left="200" w:right="200" w:hanging="0"/>
        <w:jc w:val="left"/>
        <w:rPr>
          <w:caps w:val="false"/>
          <w:smallCaps w:val="false"/>
          <w:color w:val="008DCF"/>
          <w:bdr w:val="single" w:sz="8" w:space="1" w:color="008DCF"/>
        </w:rPr>
      </w:pPr>
      <w:r>
        <w:rPr>
          <w:caps w:val="false"/>
          <w:smallCaps w:val="false"/>
          <w:color w:val="008DCF"/>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Some brokers and we have adopted “householding,” a procedure under which stockholders who have the same address will receive a single set of proxy materials, unless one or more of these stockholders provides notice that they wish to receive individual copies. Stockholders who participate in householding will continue to receive separate proxy cards.</w:t>
      </w:r>
    </w:p>
    <w:p>
      <w:pPr>
        <w:pStyle w:val="TextBody"/>
        <w:bidi w:val="0"/>
        <w:spacing w:before="0" w:after="0"/>
        <w:ind w:left="200" w:right="200" w:hanging="0"/>
        <w:jc w:val="left"/>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60</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00" w:right="200" w:hanging="0"/>
        <w:jc w:val="left"/>
        <w:rPr>
          <w:caps w:val="false"/>
          <w:smallCaps w:val="false"/>
          <w:color w:val="FF0000"/>
        </w:rPr>
      </w:pPr>
      <w:r>
        <w:rPr>
          <w:caps w:val="false"/>
          <w:smallCaps w:val="false"/>
          <w:color w:val="FF0000"/>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If you participate in householding and wish to receive a separate set of proxy materials, or if you wish to receive separate copies of future notices, annual reports and proxy statements, please call 1-800-542-1061 or write to: Broadridge Financial Solutions, Inc., Householding Department, 51 Mercedes Way, Edgewood, New York 11717. We will deliver the requested documents to you promptly upon your oral or written request.</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Any stockholders of record who share the same address and currently receive multiple copies of proxy materials who wish to receive only one copy of these materials per household in the future may contact Broadridge Financial Solutions, Inc. at the address or telephone number listed above. If you hold your shares through a broker, bank or other nominee, please contact your broker, bank or other nominee to request information about householding.</w:t>
      </w:r>
    </w:p>
    <w:p>
      <w:pPr>
        <w:pStyle w:val="TextBody"/>
        <w:bidi w:val="0"/>
        <w:spacing w:before="0" w:after="0"/>
        <w:ind w:left="200" w:right="200" w:hanging="0"/>
        <w:jc w:val="left"/>
        <w:rPr>
          <w:caps w:val="false"/>
          <w:smallCaps w:val="false"/>
          <w:bdr w:val="single" w:sz="8" w:space="1" w:color="008DCF"/>
        </w:rPr>
      </w:pPr>
      <w:r>
        <w:rPr>
          <w:caps w:val="false"/>
          <w:smallCaps w:val="false"/>
          <w:bdr w:val="single" w:sz="8" w:space="1" w:color="008DCF"/>
        </w:rPr>
        <w:t> </w:t>
      </w:r>
    </w:p>
    <w:p>
      <w:pPr>
        <w:pStyle w:val="TextBody"/>
        <w:bidi w:val="0"/>
        <w:spacing w:before="0" w:after="0"/>
        <w:ind w:left="200" w:right="200" w:hanging="0"/>
        <w:jc w:val="left"/>
        <w:rPr>
          <w:rFonts w:ascii="Arial;Helvetica;Sans-Serif" w:hAnsi="Arial;Helvetica;Sans-Serif"/>
          <w:b/>
          <w:i w:val="false"/>
          <w:caps w:val="false"/>
          <w:smallCaps w:val="false"/>
          <w:color w:val="008DCF"/>
          <w:sz w:val="24"/>
          <w:bdr w:val="single" w:sz="8" w:space="1" w:color="008DCF"/>
        </w:rPr>
      </w:pPr>
      <w:bookmarkStart w:id="277" w:name="lmnrdef14aa109"/>
      <w:bookmarkEnd w:id="277"/>
      <w:r>
        <w:rPr>
          <w:rFonts w:ascii="Arial;Helvetica;Sans-Serif" w:hAnsi="Arial;Helvetica;Sans-Serif"/>
          <w:b/>
          <w:i w:val="false"/>
          <w:caps w:val="false"/>
          <w:smallCaps w:val="false"/>
          <w:color w:val="008DCF"/>
          <w:sz w:val="24"/>
          <w:bdr w:val="single" w:sz="8" w:space="1" w:color="008DCF"/>
        </w:rPr>
        <w:t>Other Matters</w:t>
      </w:r>
    </w:p>
    <w:p>
      <w:pPr>
        <w:pStyle w:val="TextBody"/>
        <w:bidi w:val="0"/>
        <w:spacing w:before="0" w:after="0"/>
        <w:ind w:left="200" w:right="200" w:hanging="0"/>
        <w:jc w:val="left"/>
        <w:rPr>
          <w:caps w:val="false"/>
          <w:smallCaps w:val="false"/>
          <w:color w:val="008DCF"/>
          <w:bdr w:val="single" w:sz="8" w:space="1" w:color="008DCF"/>
        </w:rPr>
      </w:pPr>
      <w:r>
        <w:rPr>
          <w:caps w:val="false"/>
          <w:smallCaps w:val="false"/>
          <w:color w:val="008DCF"/>
          <w:bdr w:val="single" w:sz="8" w:space="1" w:color="008DCF"/>
        </w:rPr>
        <w:t> </w:t>
      </w:r>
    </w:p>
    <w:p>
      <w:pPr>
        <w:pStyle w:val="TextBody"/>
        <w:bidi w:val="0"/>
        <w:spacing w:before="0" w:after="0"/>
        <w:ind w:left="200" w:right="200" w:hanging="0"/>
        <w:jc w:val="left"/>
        <w:rPr>
          <w:rFonts w:ascii="Arial;Helvetica;Sans-Serif" w:hAnsi="Arial;Helvetica;Sans-Serif"/>
          <w:b w:val="false"/>
          <w:i w:val="false"/>
          <w:caps w:val="false"/>
          <w:smallCaps w:val="false"/>
          <w:sz w:val="18"/>
          <w:bdr w:val="single" w:sz="8" w:space="1" w:color="008DCF"/>
        </w:rPr>
      </w:pPr>
      <w:r>
        <w:rPr>
          <w:rFonts w:ascii="Arial;Helvetica;Sans-Serif" w:hAnsi="Arial;Helvetica;Sans-Serif"/>
          <w:b w:val="false"/>
          <w:i w:val="false"/>
          <w:caps w:val="false"/>
          <w:smallCaps w:val="false"/>
          <w:sz w:val="18"/>
          <w:bdr w:val="single" w:sz="8" w:space="1" w:color="008DCF"/>
        </w:rPr>
        <w:t>We know of no other business that will be brought before the Annual Meeting. If any other matter or any proposal should be properly presented and come before the meeting for action, the persons named in the accompanying proxy will, at their discretion and in accordance with their best judgment, vote upon such proposal.</w:t>
      </w:r>
    </w:p>
    <w:p>
      <w:pPr>
        <w:pStyle w:val="TextBody"/>
        <w:bidi w:val="0"/>
        <w:spacing w:before="0" w:after="0"/>
        <w:ind w:left="200" w:right="200" w:hanging="0"/>
        <w:jc w:val="left"/>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1490"/>
        <w:gridCol w:w="230"/>
        <w:gridCol w:w="1655"/>
      </w:tblGrid>
      <w:tr>
        <w:trPr/>
        <w:tc>
          <w:tcPr>
            <w:tcW w:w="14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Limoneira Company</w:t>
            </w:r>
          </w:p>
        </w:tc>
        <w:tc>
          <w:tcPr>
            <w:tcW w:w="230" w:type="dxa"/>
            <w:tcBorders/>
            <w:vAlign w:val="center"/>
          </w:tcPr>
          <w:p>
            <w:pPr>
              <w:pStyle w:val="TableContents"/>
              <w:bidi w:val="0"/>
              <w:spacing w:before="0" w:after="283"/>
              <w:jc w:val="center"/>
              <w:rPr>
                <w:rFonts w:ascii="Arial;Helvetica;Sans-Serif" w:hAnsi="Arial;Helvetica;Sans-Serif"/>
                <w:b/>
                <w:color w:val="00472E"/>
                <w:sz w:val="20"/>
              </w:rPr>
            </w:pPr>
            <w:r>
              <w:rPr>
                <w:rFonts w:ascii="Arial;Helvetica;Sans-Serif" w:hAnsi="Arial;Helvetica;Sans-Serif"/>
                <w:b/>
                <w:color w:val="00472E"/>
                <w:sz w:val="20"/>
              </w:rPr>
              <w:t>61</w:t>
            </w:r>
          </w:p>
        </w:tc>
        <w:tc>
          <w:tcPr>
            <w:tcW w:w="165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2026 Proxy Statement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00" w:right="200" w:hanging="0"/>
        <w:jc w:val="center"/>
        <w:rPr>
          <w:caps w:val="false"/>
          <w:smallCaps w:val="false"/>
        </w:rPr>
      </w:pPr>
      <w:r>
        <w:rPr>
          <w:caps w:val="false"/>
          <w:smallCaps w:val="false"/>
        </w:rPr>
        <w:t> </w:t>
      </w:r>
    </w:p>
    <w:p>
      <w:pPr>
        <w:pStyle w:val="TextBody"/>
        <w:bidi w:val="0"/>
        <w:spacing w:before="0" w:after="0"/>
        <w:ind w:left="200" w:right="200" w:hanging="0"/>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(This page intentionally left blank)</w:t>
      </w:r>
    </w:p>
    <w:p>
      <w:pPr>
        <w:pStyle w:val="TextBody"/>
        <w:bidi w:val="0"/>
        <w:spacing w:before="0" w:after="0"/>
        <w:ind w:left="200" w:right="200" w:hanging="0"/>
        <w:jc w:val="center"/>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00" w:right="200" w:hanging="0"/>
        <w:jc w:val="center"/>
        <w:rPr>
          <w:caps w:val="false"/>
          <w:smallCaps w:val="false"/>
        </w:rPr>
      </w:pPr>
      <w:r>
        <w:rPr>
          <w:caps w:val="false"/>
          <w:smallCaps w:val="false"/>
        </w:rPr>
        <w:t> </w:t>
      </w:r>
    </w:p>
    <w:p>
      <w:pPr>
        <w:pStyle w:val="TextBody"/>
        <w:bidi w:val="0"/>
        <w:spacing w:before="0" w:after="0"/>
        <w:ind w:left="200" w:right="200" w:hanging="0"/>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(This page intentionally left blank)</w:t>
      </w:r>
    </w:p>
    <w:p>
      <w:pPr>
        <w:pStyle w:val="TextBody"/>
        <w:bidi w:val="0"/>
        <w:spacing w:before="0" w:after="0"/>
        <w:ind w:left="200" w:right="200" w:hanging="0"/>
        <w:jc w:val="center"/>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00" w:right="200" w:hanging="0"/>
        <w:jc w:val="left"/>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5467350" cy="33432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5467350" cy="3343275"/>
                    </a:xfrm>
                    <a:prstGeom prst="rect">
                      <a:avLst/>
                    </a:prstGeom>
                  </pic:spPr>
                </pic:pic>
              </a:graphicData>
            </a:graphic>
          </wp:inline>
        </w:drawing>
      </w: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3609975" cy="69532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3609975" cy="69532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598"/>
        <w:gridCol w:w="615"/>
        <w:gridCol w:w="690"/>
        <w:gridCol w:w="6302"/>
      </w:tblGrid>
      <w:tr>
        <w:trPr/>
        <w:tc>
          <w:tcPr>
            <w:tcW w:w="2598"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pPr>
            <w:r>
              <w:rPr/>
              <w:t> </w:t>
            </w:r>
          </w:p>
        </w:tc>
        <w:tc>
          <w:tcPr>
            <w:tcW w:w="6992" w:type="dxa"/>
            <w:gridSpan w:val="2"/>
            <w:tcBorders/>
            <w:vAlign w:val="center"/>
          </w:tcPr>
          <w:p>
            <w:pPr>
              <w:pStyle w:val="TableContents"/>
              <w:bidi w:val="0"/>
              <w:spacing w:before="0" w:after="283"/>
              <w:jc w:val="left"/>
              <w:rPr/>
            </w:pPr>
            <w:r>
              <w:rPr/>
              <w:t> </w:t>
            </w:r>
          </w:p>
        </w:tc>
      </w:tr>
      <w:tr>
        <w:trPr/>
        <w:tc>
          <w:tcPr>
            <w:tcW w:w="2598"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pPr>
            <w:r>
              <w:rPr/>
              <w:t> </w:t>
            </w:r>
          </w:p>
        </w:tc>
        <w:tc>
          <w:tcPr>
            <w:tcW w:w="6992" w:type="dxa"/>
            <w:gridSpan w:val="2"/>
            <w:tcBorders/>
            <w:vAlign w:val="center"/>
          </w:tcPr>
          <w:p>
            <w:pPr>
              <w:pStyle w:val="TableContents"/>
              <w:bidi w:val="0"/>
              <w:spacing w:before="0" w:after="283"/>
              <w:jc w:val="left"/>
              <w:rPr>
                <w:rFonts w:ascii="Arial;Helvetica;Sans-Serif" w:hAnsi="Arial;Helvetica;Sans-Serif"/>
                <w:b/>
                <w:sz w:val="28"/>
              </w:rPr>
            </w:pPr>
            <w:r>
              <w:rPr>
                <w:rFonts w:ascii="Arial;Helvetica;Sans-Serif" w:hAnsi="Arial;Helvetica;Sans-Serif"/>
                <w:b/>
                <w:sz w:val="28"/>
              </w:rPr>
              <w:t>Your vote matters – here’s how to vote!</w:t>
            </w:r>
          </w:p>
        </w:tc>
      </w:tr>
      <w:tr>
        <w:trPr/>
        <w:tc>
          <w:tcPr>
            <w:tcW w:w="2598"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pPr>
            <w:r>
              <w:rPr/>
              <w:t> </w:t>
            </w:r>
          </w:p>
        </w:tc>
        <w:tc>
          <w:tcPr>
            <w:tcW w:w="6992" w:type="dxa"/>
            <w:gridSpan w:val="2"/>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You may vote online or by phone instead of mailing this card. </w:t>
            </w:r>
          </w:p>
        </w:tc>
      </w:tr>
      <w:tr>
        <w:trPr/>
        <w:tc>
          <w:tcPr>
            <w:tcW w:w="2598"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left"/>
              <w:rPr/>
            </w:pPr>
            <w:r>
              <w:rPr/>
              <w:t> </w:t>
            </w:r>
          </w:p>
        </w:tc>
        <w:tc>
          <w:tcPr>
            <w:tcW w:w="6302" w:type="dxa"/>
            <w:tcBorders/>
            <w:vAlign w:val="center"/>
          </w:tcPr>
          <w:p>
            <w:pPr>
              <w:pStyle w:val="TableContents"/>
              <w:bidi w:val="0"/>
              <w:spacing w:before="0" w:after="283"/>
              <w:jc w:val="left"/>
              <w:rPr/>
            </w:pPr>
            <w:r>
              <w:rPr/>
              <w:t> </w:t>
            </w:r>
          </w:p>
        </w:tc>
      </w:tr>
      <w:tr>
        <w:trPr/>
        <w:tc>
          <w:tcPr>
            <w:tcW w:w="2598"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left"/>
              <w:rPr/>
            </w:pPr>
            <w:r>
              <w:rPr/>
              <w:t> </w:t>
            </w:r>
          </w:p>
        </w:tc>
        <w:tc>
          <w:tcPr>
            <w:tcW w:w="6302"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Online</w:t>
            </w:r>
          </w:p>
        </w:tc>
      </w:tr>
      <w:tr>
        <w:trPr/>
        <w:tc>
          <w:tcPr>
            <w:tcW w:w="2598"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left"/>
              <w:rPr/>
            </w:pPr>
            <w:r>
              <w:rPr/>
              <w:t> </w:t>
            </w:r>
          </w:p>
        </w:tc>
        <w:tc>
          <w:tcPr>
            <w:tcW w:w="63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Go to </w:t>
            </w:r>
            <w:r>
              <w:rPr>
                <w:rFonts w:ascii="Arial;Helvetica;Sans-Serif" w:hAnsi="Arial;Helvetica;Sans-Serif"/>
                <w:b/>
                <w:sz w:val="20"/>
              </w:rPr>
              <w:t>www.envisionreports.com/LMNR</w:t>
            </w:r>
            <w:r>
              <w:rPr>
                <w:rFonts w:ascii="Arial;Helvetica;Sans-Serif" w:hAnsi="Arial;Helvetica;Sans-Serif"/>
                <w:sz w:val="20"/>
              </w:rPr>
              <w:t xml:space="preserve"> or scan the QR code — login details are located in the shaded bar below.</w:t>
            </w:r>
          </w:p>
        </w:tc>
      </w:tr>
      <w:tr>
        <w:trPr/>
        <w:tc>
          <w:tcPr>
            <w:tcW w:w="2598"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left"/>
              <w:rPr/>
            </w:pPr>
            <w:r>
              <w:rPr/>
              <w:t> </w:t>
            </w:r>
          </w:p>
        </w:tc>
        <w:tc>
          <w:tcPr>
            <w:tcW w:w="6302" w:type="dxa"/>
            <w:tcBorders/>
            <w:vAlign w:val="center"/>
          </w:tcPr>
          <w:p>
            <w:pPr>
              <w:pStyle w:val="TableContents"/>
              <w:bidi w:val="0"/>
              <w:spacing w:before="0" w:after="283"/>
              <w:jc w:val="left"/>
              <w:rPr/>
            </w:pPr>
            <w:r>
              <w:rPr/>
              <w:t> </w:t>
            </w:r>
          </w:p>
        </w:tc>
      </w:tr>
      <w:tr>
        <w:trPr/>
        <w:tc>
          <w:tcPr>
            <w:tcW w:w="2598"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left"/>
              <w:rPr/>
            </w:pPr>
            <w:r>
              <w:rPr/>
              <w:drawing>
                <wp:inline distT="0" distB="0" distL="0" distR="0">
                  <wp:extent cx="266700" cy="46672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266700" cy="466725"/>
                          </a:xfrm>
                          <a:prstGeom prst="rect">
                            <a:avLst/>
                          </a:prstGeom>
                        </pic:spPr>
                      </pic:pic>
                    </a:graphicData>
                  </a:graphic>
                </wp:inline>
              </w:drawing>
            </w:r>
            <w:r>
              <w:rPr/>
              <w:t> </w:t>
            </w:r>
          </w:p>
        </w:tc>
        <w:tc>
          <w:tcPr>
            <w:tcW w:w="63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b/>
                <w:sz w:val="20"/>
              </w:rPr>
              <w:t xml:space="preserve">Phone </w:t>
            </w:r>
            <w:r>
              <w:rPr>
                <w:rFonts w:ascii="Arial;Helvetica;Sans-Serif" w:hAnsi="Arial;Helvetica;Sans-Serif"/>
                <w:sz w:val="20"/>
              </w:rPr>
              <w:br/>
              <w:t>Call toll free 1-800-652-VOTE (8683) within the USA, US territories and Canada</w:t>
            </w:r>
          </w:p>
        </w:tc>
      </w:tr>
      <w:tr>
        <w:trPr/>
        <w:tc>
          <w:tcPr>
            <w:tcW w:w="2598"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left"/>
              <w:rPr/>
            </w:pPr>
            <w:r>
              <w:rPr/>
              <w:t> </w:t>
            </w:r>
          </w:p>
        </w:tc>
        <w:tc>
          <w:tcPr>
            <w:tcW w:w="6302" w:type="dxa"/>
            <w:tcBorders/>
            <w:vAlign w:val="center"/>
          </w:tcPr>
          <w:p>
            <w:pPr>
              <w:pStyle w:val="TableContents"/>
              <w:bidi w:val="0"/>
              <w:spacing w:before="0" w:after="283"/>
              <w:jc w:val="left"/>
              <w:rPr/>
            </w:pPr>
            <w:r>
              <w:rPr/>
              <w:t> </w:t>
            </w:r>
          </w:p>
        </w:tc>
      </w:tr>
      <w:tr>
        <w:trPr/>
        <w:tc>
          <w:tcPr>
            <w:tcW w:w="2598" w:type="dxa"/>
            <w:tcBorders/>
            <w:vAlign w:val="center"/>
          </w:tcPr>
          <w:p>
            <w:pPr>
              <w:pStyle w:val="TableContents"/>
              <w:bidi w:val="0"/>
              <w:jc w:val="left"/>
              <w:rPr>
                <w:rFonts w:ascii="Arial;Helvetica;Sans-Serif" w:hAnsi="Arial;Helvetica;Sans-Serif"/>
                <w:sz w:val="14"/>
              </w:rPr>
            </w:pPr>
            <w:r>
              <w:rPr>
                <w:rFonts w:ascii="Arial;Helvetica;Sans-Serif" w:hAnsi="Arial;Helvetica;Sans-Serif"/>
                <w:sz w:val="14"/>
              </w:rPr>
              <w:t xml:space="preserve">Using a </w:t>
            </w:r>
            <w:r>
              <w:rPr>
                <w:rFonts w:ascii="Arial;Helvetica;Sans-Serif" w:hAnsi="Arial;Helvetica;Sans-Serif"/>
                <w:b/>
                <w:sz w:val="14"/>
                <w:u w:val="single"/>
              </w:rPr>
              <w:t>black ink</w:t>
            </w:r>
            <w:r>
              <w:rPr>
                <w:rFonts w:ascii="Arial;Helvetica;Sans-Serif" w:hAnsi="Arial;Helvetica;Sans-Serif"/>
                <w:sz w:val="14"/>
              </w:rPr>
              <w:t xml:space="preserve"> pen, mark your votes with an </w:t>
            </w:r>
            <w:r>
              <w:rPr>
                <w:rFonts w:ascii="Arial;Helvetica;Sans-Serif" w:hAnsi="Arial;Helvetica;Sans-Serif"/>
                <w:b/>
                <w:sz w:val="14"/>
              </w:rPr>
              <w:t xml:space="preserve">X </w:t>
            </w:r>
            <w:r>
              <w:rPr>
                <w:rFonts w:ascii="Arial;Helvetica;Sans-Serif" w:hAnsi="Arial;Helvetica;Sans-Serif"/>
                <w:sz w:val="14"/>
              </w:rPr>
              <w:t>as shown in this example.</w:t>
            </w:r>
          </w:p>
          <w:p>
            <w:pPr>
              <w:pStyle w:val="TableContents"/>
              <w:bidi w:val="0"/>
              <w:spacing w:before="0" w:after="283"/>
              <w:jc w:val="left"/>
              <w:rPr>
                <w:rFonts w:ascii="Arial;Helvetica;Sans-Serif" w:hAnsi="Arial;Helvetica;Sans-Serif"/>
                <w:sz w:val="14"/>
              </w:rPr>
            </w:pPr>
            <w:r>
              <w:rPr>
                <w:rFonts w:ascii="Arial;Helvetica;Sans-Serif" w:hAnsi="Arial;Helvetica;Sans-Serif"/>
                <w:sz w:val="14"/>
              </w:rPr>
              <w:t>Please do not write outside the designated areas. </w:t>
            </w:r>
          </w:p>
        </w:tc>
        <w:tc>
          <w:tcPr>
            <w:tcW w:w="615" w:type="dxa"/>
            <w:tcBorders/>
            <w:vAlign w:val="center"/>
          </w:tcPr>
          <w:p>
            <w:pPr>
              <w:pStyle w:val="TableContents"/>
              <w:bidi w:val="0"/>
              <w:spacing w:before="0" w:after="283"/>
              <w:jc w:val="left"/>
              <w:rPr/>
            </w:pPr>
            <w:r>
              <w:rPr/>
              <w:drawing>
                <wp:inline distT="0" distB="0" distL="0" distR="0">
                  <wp:extent cx="352425" cy="31432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352425" cy="314325"/>
                          </a:xfrm>
                          <a:prstGeom prst="rect">
                            <a:avLst/>
                          </a:prstGeom>
                        </pic:spPr>
                      </pic:pic>
                    </a:graphicData>
                  </a:graphic>
                </wp:inline>
              </w:drawing>
            </w:r>
            <w:r>
              <w:rPr/>
              <w:t> </w:t>
            </w:r>
          </w:p>
        </w:tc>
        <w:tc>
          <w:tcPr>
            <w:tcW w:w="690" w:type="dxa"/>
            <w:tcBorders/>
            <w:vAlign w:val="center"/>
          </w:tcPr>
          <w:p>
            <w:pPr>
              <w:pStyle w:val="TableContents"/>
              <w:bidi w:val="0"/>
              <w:spacing w:before="0" w:after="283"/>
              <w:jc w:val="left"/>
              <w:rPr/>
            </w:pPr>
            <w:r>
              <w:rPr/>
              <w:drawing>
                <wp:inline distT="0" distB="0" distL="0" distR="0">
                  <wp:extent cx="400050" cy="400050"/>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400050" cy="400050"/>
                          </a:xfrm>
                          <a:prstGeom prst="rect">
                            <a:avLst/>
                          </a:prstGeom>
                        </pic:spPr>
                      </pic:pic>
                    </a:graphicData>
                  </a:graphic>
                </wp:inline>
              </w:drawing>
            </w:r>
            <w:r>
              <w:rPr/>
              <w:t> </w:t>
            </w:r>
          </w:p>
        </w:tc>
        <w:tc>
          <w:tcPr>
            <w:tcW w:w="6302"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 xml:space="preserve">Save paper, time and money! </w:t>
              <w:br/>
              <w:t>Sign up for electronic delivery at www.envisionreports.com/LMNR</w:t>
            </w:r>
          </w:p>
        </w:tc>
      </w:tr>
      <w:tr>
        <w:trPr/>
        <w:tc>
          <w:tcPr>
            <w:tcW w:w="2598" w:type="dxa"/>
            <w:tcBorders/>
            <w:vAlign w:val="center"/>
          </w:tcPr>
          <w:p>
            <w:pPr>
              <w:pStyle w:val="TableContents"/>
              <w:bidi w:val="0"/>
              <w:spacing w:before="0" w:after="283"/>
              <w:jc w:val="left"/>
              <w:rPr/>
            </w:pPr>
            <w:r>
              <w:rPr/>
              <w:t> </w:t>
            </w:r>
          </w:p>
        </w:tc>
        <w:tc>
          <w:tcPr>
            <w:tcW w:w="615"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left"/>
              <w:rPr/>
            </w:pPr>
            <w:r>
              <w:rPr/>
              <w:t> </w:t>
            </w:r>
          </w:p>
        </w:tc>
        <w:tc>
          <w:tcPr>
            <w:tcW w:w="6302" w:type="dxa"/>
            <w:tcBorders/>
            <w:vAlign w:val="center"/>
          </w:tcPr>
          <w:p>
            <w:pPr>
              <w:pStyle w:val="TableContents"/>
              <w:bidi w:val="0"/>
              <w:spacing w:before="0" w:after="283"/>
              <w:jc w:val="left"/>
              <w:rPr/>
            </w:pPr>
            <w:r>
              <w:rPr/>
              <w:t> </w:t>
            </w:r>
          </w:p>
        </w:tc>
      </w:tr>
    </w:tbl>
    <w:tbl>
      <w:tblPr>
        <w:tblW w:w="7715" w:type="dxa"/>
        <w:jc w:val="left"/>
        <w:tblInd w:w="0" w:type="dxa"/>
        <w:tblLayout w:type="fixed"/>
        <w:tblCellMar>
          <w:top w:w="60" w:type="dxa"/>
          <w:left w:w="0" w:type="dxa"/>
          <w:bottom w:w="60" w:type="dxa"/>
          <w:right w:w="0" w:type="dxa"/>
        </w:tblCellMar>
      </w:tblPr>
      <w:tblGrid>
        <w:gridCol w:w="3950"/>
        <w:gridCol w:w="3765"/>
      </w:tblGrid>
      <w:tr>
        <w:trPr/>
        <w:tc>
          <w:tcPr>
            <w:tcW w:w="3950" w:type="dxa"/>
            <w:tcBorders>
              <w:top w:val="single" w:sz="16" w:space="0" w:color="000000"/>
              <w:bottom w:val="single" w:sz="16" w:space="0" w:color="000000"/>
            </w:tcBorders>
            <w:shd w:fill="D8D8D8" w:val="clear"/>
            <w:vAlign w:val="center"/>
          </w:tcPr>
          <w:p>
            <w:pPr>
              <w:pStyle w:val="TableContents"/>
              <w:bidi w:val="0"/>
              <w:spacing w:before="0" w:after="283"/>
              <w:jc w:val="left"/>
              <w:rPr>
                <w:rFonts w:ascii="Arial;Helvetica;Sans-Serif" w:hAnsi="Arial;Helvetica;Sans-Serif"/>
                <w:b/>
                <w:sz w:val="30"/>
              </w:rPr>
            </w:pPr>
            <w:r>
              <w:rPr>
                <w:rFonts w:ascii="Arial;Helvetica;Sans-Serif" w:hAnsi="Arial;Helvetica;Sans-Serif"/>
                <w:b/>
                <w:sz w:val="30"/>
              </w:rPr>
              <w:t>Annual Meeting Proxy Card</w:t>
            </w:r>
          </w:p>
        </w:tc>
        <w:tc>
          <w:tcPr>
            <w:tcW w:w="3765" w:type="dxa"/>
            <w:tcBorders>
              <w:top w:val="single" w:sz="16" w:space="0" w:color="000000"/>
              <w:bottom w:val="single" w:sz="16" w:space="0" w:color="000000"/>
            </w:tcBorders>
            <w:shd w:fill="D8D8D8" w:val="clear"/>
            <w:vAlign w:val="center"/>
          </w:tcPr>
          <w:p>
            <w:pPr>
              <w:pStyle w:val="TableContents"/>
              <w:bidi w:val="0"/>
              <w:spacing w:before="0" w:after="283"/>
              <w:jc w:val="left"/>
              <w:rPr/>
            </w:pPr>
            <w:r>
              <w:rPr/>
              <w:drawing>
                <wp:inline distT="0" distB="0" distL="0" distR="0">
                  <wp:extent cx="2381250" cy="31432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2381250" cy="314325"/>
                          </a:xfrm>
                          <a:prstGeom prst="rect">
                            <a:avLst/>
                          </a:prstGeom>
                        </pic:spPr>
                      </pic:pic>
                    </a:graphicData>
                  </a:graphic>
                </wp:inline>
              </w:drawing>
            </w:r>
          </w:p>
        </w:tc>
      </w:tr>
    </w:tbl>
    <w:p>
      <w:pPr>
        <w:pStyle w:val="TextBody"/>
        <w:bidi w:val="0"/>
        <w:spacing w:before="0" w:after="283"/>
        <w:jc w:val="left"/>
        <w:rPr/>
      </w:pPr>
      <w:r>
        <w:rPr/>
        <w:t> </w:t>
      </w:r>
    </w:p>
    <w:p>
      <w:pPr>
        <w:pStyle w:val="TextBody"/>
        <w:bidi w:val="0"/>
        <w:jc w:val="center"/>
        <w:rPr/>
      </w:pPr>
      <w:r>
        <w:rPr/>
        <w:t>▼ </w:t>
      </w:r>
      <w:r>
        <w:rPr>
          <w:rFonts w:ascii="Arial;Helvetica;Sans-Serif" w:hAnsi="Arial;Helvetica;Sans-Serif"/>
          <w:b/>
          <w:sz w:val="16"/>
        </w:rPr>
        <w:t>IF VOTING BY MAIL, SIGN, DETACH AND RETURN THE BOTTOM PORTION IN THE ENCLOSED ENVELOPE. ▼ </w:t>
      </w:r>
    </w:p>
    <w:p>
      <w:pPr>
        <w:pStyle w:val="TextBody"/>
        <w:bidi w:val="0"/>
        <w:spacing w:before="0" w:after="283"/>
        <w:jc w:val="left"/>
        <w:rPr/>
      </w:pPr>
      <w:r>
        <w:rPr/>
        <w:t> </w:t>
      </w:r>
    </w:p>
    <w:tbl>
      <w:tblPr>
        <w:tblW w:w="10090" w:type="dxa"/>
        <w:jc w:val="left"/>
        <w:tblInd w:w="0" w:type="dxa"/>
        <w:tblLayout w:type="fixed"/>
        <w:tblCellMar>
          <w:top w:w="60" w:type="dxa"/>
          <w:left w:w="60" w:type="dxa"/>
          <w:bottom w:w="60" w:type="dxa"/>
          <w:right w:w="60" w:type="dxa"/>
        </w:tblCellMar>
      </w:tblPr>
      <w:tblGrid>
        <w:gridCol w:w="290"/>
        <w:gridCol w:w="9800"/>
      </w:tblGrid>
      <w:tr>
        <w:trPr/>
        <w:tc>
          <w:tcPr>
            <w:tcW w:w="290" w:type="dxa"/>
            <w:tcBorders/>
            <w:shd w:fill="000000"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A</w:t>
            </w:r>
          </w:p>
        </w:tc>
        <w:tc>
          <w:tcPr>
            <w:tcW w:w="9800" w:type="dxa"/>
            <w:tcBorders/>
            <w:shd w:fill="D8D8D8"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 xml:space="preserve">Proposals — The Board of Directors recommends a vote </w:t>
            </w:r>
            <w:r>
              <w:rPr>
                <w:rFonts w:ascii="Arial;Helvetica;Sans-Serif" w:hAnsi="Arial;Helvetica;Sans-Serif"/>
                <w:b/>
                <w:sz w:val="20"/>
                <w:u w:val="single"/>
              </w:rPr>
              <w:t>FOR</w:t>
            </w:r>
            <w:r>
              <w:rPr>
                <w:rFonts w:ascii="Arial;Helvetica;Sans-Serif" w:hAnsi="Arial;Helvetica;Sans-Serif"/>
                <w:b/>
                <w:sz w:val="20"/>
              </w:rPr>
              <w:t xml:space="preserve"> all nominees and </w:t>
            </w:r>
            <w:r>
              <w:rPr>
                <w:rFonts w:ascii="Arial;Helvetica;Sans-Serif" w:hAnsi="Arial;Helvetica;Sans-Serif"/>
                <w:b/>
                <w:sz w:val="20"/>
                <w:u w:val="single"/>
              </w:rPr>
              <w:t>FOR</w:t>
            </w:r>
            <w:r>
              <w:rPr>
                <w:rFonts w:ascii="Arial;Helvetica;Sans-Serif" w:hAnsi="Arial;Helvetica;Sans-Serif"/>
                <w:b/>
                <w:sz w:val="20"/>
              </w:rPr>
              <w:t xml:space="preserve"> Proposals 2 and 3.</w:t>
            </w:r>
          </w:p>
        </w:tc>
      </w:tr>
    </w:tbl>
    <w:p>
      <w:pPr>
        <w:pStyle w:val="TextBody"/>
        <w:bidi w:val="0"/>
        <w:jc w:val="center"/>
        <w:rPr/>
      </w:pPr>
      <w:r>
        <w:rPr/>
        <w:t> </w:t>
      </w:r>
    </w:p>
    <w:tbl>
      <w:tblPr>
        <w:tblW w:w="8515" w:type="dxa"/>
        <w:jc w:val="left"/>
        <w:tblInd w:w="0" w:type="dxa"/>
        <w:tblLayout w:type="fixed"/>
        <w:tblCellMar>
          <w:top w:w="0" w:type="dxa"/>
          <w:left w:w="0" w:type="dxa"/>
          <w:bottom w:w="0" w:type="dxa"/>
          <w:right w:w="0" w:type="dxa"/>
        </w:tblCellMar>
      </w:tblPr>
      <w:tblGrid>
        <w:gridCol w:w="170"/>
        <w:gridCol w:w="8045"/>
        <w:gridCol w:w="300"/>
      </w:tblGrid>
      <w:tr>
        <w:trPr/>
        <w:tc>
          <w:tcPr>
            <w:tcW w:w="17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804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To elect two (2) Class II directors to the Board of Directors, each to serve for a three-year term (“Proposal 1”);</w:t>
            </w:r>
          </w:p>
        </w:tc>
        <w:tc>
          <w:tcPr>
            <w:tcW w:w="300" w:type="dxa"/>
            <w:tcBorders/>
            <w:vAlign w:val="center"/>
          </w:tcPr>
          <w:p>
            <w:pPr>
              <w:pStyle w:val="TableContents"/>
              <w:bidi w:val="0"/>
              <w:spacing w:before="0" w:after="283"/>
              <w:jc w:val="right"/>
              <w:rPr/>
            </w:pPr>
            <w:r>
              <w:rPr/>
              <w:drawing>
                <wp:inline distT="0" distB="0" distL="0" distR="0">
                  <wp:extent cx="180975" cy="171450"/>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180975" cy="171450"/>
                          </a:xfrm>
                          <a:prstGeom prst="rect">
                            <a:avLst/>
                          </a:prstGeom>
                        </pic:spPr>
                      </pic:pic>
                    </a:graphicData>
                  </a:graphic>
                </wp:inline>
              </w:drawing>
            </w:r>
          </w:p>
        </w:tc>
      </w:tr>
    </w:tbl>
    <w:tbl>
      <w:tblPr>
        <w:tblW w:w="9595" w:type="dxa"/>
        <w:jc w:val="left"/>
        <w:tblInd w:w="0" w:type="dxa"/>
        <w:tblLayout w:type="fixed"/>
        <w:tblCellMar>
          <w:top w:w="0" w:type="dxa"/>
          <w:left w:w="0" w:type="dxa"/>
          <w:bottom w:w="0" w:type="dxa"/>
          <w:right w:w="0" w:type="dxa"/>
        </w:tblCellMar>
      </w:tblPr>
      <w:tblGrid>
        <w:gridCol w:w="75"/>
        <w:gridCol w:w="2585"/>
        <w:gridCol w:w="290"/>
        <w:gridCol w:w="2855"/>
        <w:gridCol w:w="290"/>
        <w:gridCol w:w="1070"/>
        <w:gridCol w:w="290"/>
        <w:gridCol w:w="1835"/>
        <w:gridCol w:w="305"/>
      </w:tblGrid>
      <w:tr>
        <w:trPr/>
        <w:tc>
          <w:tcPr>
            <w:tcW w:w="75"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FOR ALL nominees listed below</w:t>
            </w:r>
          </w:p>
        </w:tc>
        <w:tc>
          <w:tcPr>
            <w:tcW w:w="29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 xml:space="preserve">WITHHOLD AUTHORITY to vote for </w:t>
              <w:br/>
              <w:t>all nominees listed below</w:t>
            </w:r>
          </w:p>
        </w:tc>
        <w:tc>
          <w:tcPr>
            <w:tcW w:w="2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EXCEPTIONS</w:t>
            </w:r>
          </w:p>
        </w:tc>
        <w:tc>
          <w:tcPr>
            <w:tcW w:w="290" w:type="dxa"/>
            <w:tcBorders/>
            <w:vAlign w:val="center"/>
          </w:tcPr>
          <w:p>
            <w:pPr>
              <w:pStyle w:val="TableContents"/>
              <w:bidi w:val="0"/>
              <w:spacing w:before="0" w:after="283"/>
              <w:jc w:val="left"/>
              <w:rPr/>
            </w:pPr>
            <w:r>
              <w:rPr/>
              <w:t> ☐</w:t>
            </w:r>
          </w:p>
        </w:tc>
        <w:tc>
          <w:tcPr>
            <w:tcW w:w="1835" w:type="dxa"/>
            <w:tcBorders/>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 xml:space="preserve">CUMULATIVE VOTING </w:t>
              <w:br/>
              <w:t>ELECTIONS</w:t>
            </w:r>
          </w:p>
        </w:tc>
        <w:tc>
          <w:tcPr>
            <w:tcW w:w="305"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979"/>
        <w:gridCol w:w="1450"/>
        <w:gridCol w:w="7776"/>
      </w:tblGrid>
      <w:tr>
        <w:trPr/>
        <w:tc>
          <w:tcPr>
            <w:tcW w:w="979" w:type="dxa"/>
            <w:tcBorders/>
            <w:vAlign w:val="center"/>
          </w:tcPr>
          <w:p>
            <w:pPr>
              <w:pStyle w:val="TableContents"/>
              <w:bidi w:val="0"/>
              <w:spacing w:before="0" w:after="283"/>
              <w:jc w:val="left"/>
              <w:rPr/>
            </w:pPr>
            <w:r>
              <w:rPr/>
              <w:t> </w:t>
            </w:r>
          </w:p>
        </w:tc>
        <w:tc>
          <w:tcPr>
            <w:tcW w:w="1450" w:type="dxa"/>
            <w:tcBorders/>
            <w:vAlign w:val="center"/>
          </w:tcPr>
          <w:p>
            <w:pPr>
              <w:pStyle w:val="TableContents"/>
              <w:bidi w:val="0"/>
              <w:spacing w:before="0" w:after="283"/>
              <w:jc w:val="left"/>
              <w:rPr/>
            </w:pPr>
            <w:r>
              <w:rPr/>
              <w:t> </w:t>
            </w:r>
          </w:p>
        </w:tc>
        <w:tc>
          <w:tcPr>
            <w:tcW w:w="7776" w:type="dxa"/>
            <w:tcBorders/>
            <w:vAlign w:val="center"/>
          </w:tcPr>
          <w:p>
            <w:pPr>
              <w:pStyle w:val="TableContents"/>
              <w:bidi w:val="0"/>
              <w:spacing w:before="0" w:after="283"/>
              <w:jc w:val="left"/>
              <w:rPr/>
            </w:pPr>
            <w:r>
              <w:rPr/>
              <w:t> </w:t>
            </w:r>
          </w:p>
        </w:tc>
      </w:tr>
      <w:tr>
        <w:trPr/>
        <w:tc>
          <w:tcPr>
            <w:tcW w:w="979" w:type="dxa"/>
            <w:tcBorders/>
            <w:vAlign w:val="center"/>
          </w:tcPr>
          <w:p>
            <w:pPr>
              <w:pStyle w:val="TableContents"/>
              <w:bidi w:val="0"/>
              <w:spacing w:before="0" w:after="283"/>
              <w:jc w:val="left"/>
              <w:rPr>
                <w:rFonts w:ascii="Arial;Helvetica;Sans-Serif" w:hAnsi="Arial;Helvetica;Sans-Serif"/>
                <w:b/>
                <w:sz w:val="16"/>
                <w:u w:val="single"/>
              </w:rPr>
            </w:pPr>
            <w:r>
              <w:rPr>
                <w:rFonts w:ascii="Arial;Helvetica;Sans-Serif" w:hAnsi="Arial;Helvetica;Sans-Serif"/>
                <w:b/>
                <w:sz w:val="16"/>
                <w:u w:val="single"/>
              </w:rPr>
              <w:t>Director Nominee Name</w:t>
            </w:r>
          </w:p>
        </w:tc>
        <w:tc>
          <w:tcPr>
            <w:tcW w:w="1450" w:type="dxa"/>
            <w:tcBorders/>
            <w:vAlign w:val="center"/>
          </w:tcPr>
          <w:p>
            <w:pPr>
              <w:pStyle w:val="TableContents"/>
              <w:bidi w:val="0"/>
              <w:spacing w:before="0" w:after="283"/>
              <w:jc w:val="left"/>
              <w:rPr>
                <w:rFonts w:ascii="Arial;Helvetica;Sans-Serif" w:hAnsi="Arial;Helvetica;Sans-Serif"/>
                <w:b/>
                <w:sz w:val="16"/>
                <w:u w:val="single"/>
              </w:rPr>
            </w:pPr>
            <w:r>
              <w:rPr>
                <w:rFonts w:ascii="Arial;Helvetica;Sans-Serif" w:hAnsi="Arial;Helvetica;Sans-Serif"/>
                <w:b/>
                <w:sz w:val="16"/>
                <w:u w:val="single"/>
              </w:rPr>
              <w:t>Number of Votes</w:t>
            </w:r>
          </w:p>
        </w:tc>
        <w:tc>
          <w:tcPr>
            <w:tcW w:w="7776" w:type="dxa"/>
            <w:vMerge w:val="restart"/>
            <w:tcBorders/>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16"/>
              </w:rPr>
            </w:pPr>
            <w:r>
              <w:rPr>
                <w:rFonts w:ascii="Arial;Helvetica;Sans-Serif" w:hAnsi="Arial;Helvetica;Sans-Serif"/>
                <w:b/>
                <w:i w:val="false"/>
                <w:caps w:val="false"/>
                <w:smallCaps w:val="false"/>
                <w:sz w:val="16"/>
              </w:rPr>
              <w:t>INSTRUCTIONS: To withhold authority to vote for any individual nominee or nominees, mark the “EXCEPTIONS” box above and strike a line through the name(s) of the nominee(s).</w:t>
            </w:r>
            <w:r>
              <w:rPr>
                <w:rFonts w:ascii="Arial;Helvetica;Sans-Serif" w:hAnsi="Arial;Helvetica;Sans-Serif"/>
                <w:b w:val="false"/>
                <w:i w:val="false"/>
                <w:caps w:val="false"/>
                <w:smallCaps w:val="false"/>
                <w:sz w:val="16"/>
              </w:rPr>
              <w:t> </w:t>
            </w:r>
          </w:p>
          <w:p>
            <w:pPr>
              <w:pStyle w:val="TableContents"/>
              <w:bidi w:val="0"/>
              <w:spacing w:before="0" w:after="0"/>
              <w:ind w:left="0" w:right="0" w:hanging="0"/>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If you desire to allocate your votes to individual nominees on a cumulative basis, as explained in the accompanying Proxy Statement, mark the “CUMULATIVE VOTING ELECTIONS” box and indicate the number of votes that you would like to have cast FOR each nominee. The total of the votes cast on this proxy may not exceed the number of votes you are entitled to times two. For example, if you own 100 shares, you are entitled to cast 200 votes for director nominees. However, if you have cast your proxy for the other above choices, do not complete this table. </w:t>
            </w:r>
          </w:p>
        </w:tc>
      </w:tr>
      <w:tr>
        <w:trPr/>
        <w:tc>
          <w:tcPr>
            <w:tcW w:w="979" w:type="dxa"/>
            <w:tcBorders/>
            <w:vAlign w:val="center"/>
          </w:tcPr>
          <w:p>
            <w:pPr>
              <w:pStyle w:val="TableContents"/>
              <w:bidi w:val="0"/>
              <w:spacing w:before="0" w:after="283"/>
              <w:jc w:val="left"/>
              <w:rPr/>
            </w:pPr>
            <w:r>
              <w:rPr/>
              <w:t> </w:t>
            </w:r>
          </w:p>
        </w:tc>
        <w:tc>
          <w:tcPr>
            <w:tcW w:w="1450" w:type="dxa"/>
            <w:tcBorders/>
            <w:vAlign w:val="center"/>
          </w:tcPr>
          <w:p>
            <w:pPr>
              <w:pStyle w:val="TableContents"/>
              <w:bidi w:val="0"/>
              <w:spacing w:before="0" w:after="283"/>
              <w:jc w:val="left"/>
              <w:rPr/>
            </w:pPr>
            <w:r>
              <w:rPr/>
              <w:t> </w:t>
            </w:r>
          </w:p>
        </w:tc>
        <w:tc>
          <w:tcPr>
            <w:tcW w:w="7776" w:type="dxa"/>
            <w:vMerge w:val="continue"/>
            <w:tcBorders/>
            <w:vAlign w:val="center"/>
          </w:tcPr>
          <w:p>
            <w:pPr>
              <w:pStyle w:val="Normal"/>
              <w:bidi w:val="0"/>
              <w:jc w:val="left"/>
              <w:rPr/>
            </w:pPr>
            <w:r>
              <w:rPr/>
            </w:r>
          </w:p>
        </w:tc>
      </w:tr>
      <w:tr>
        <w:trPr/>
        <w:tc>
          <w:tcPr>
            <w:tcW w:w="979"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01 - Elizabeth Mora</w:t>
            </w:r>
          </w:p>
        </w:tc>
        <w:tc>
          <w:tcPr>
            <w:tcW w:w="145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__________ Votes FOR</w:t>
            </w:r>
          </w:p>
        </w:tc>
        <w:tc>
          <w:tcPr>
            <w:tcW w:w="7776" w:type="dxa"/>
            <w:vMerge w:val="continue"/>
            <w:tcBorders/>
            <w:vAlign w:val="center"/>
          </w:tcPr>
          <w:p>
            <w:pPr>
              <w:pStyle w:val="Normal"/>
              <w:bidi w:val="0"/>
              <w:jc w:val="left"/>
              <w:rPr/>
            </w:pPr>
            <w:r>
              <w:rPr/>
            </w:r>
          </w:p>
        </w:tc>
      </w:tr>
      <w:tr>
        <w:trPr/>
        <w:tc>
          <w:tcPr>
            <w:tcW w:w="979" w:type="dxa"/>
            <w:tcBorders/>
            <w:vAlign w:val="center"/>
          </w:tcPr>
          <w:p>
            <w:pPr>
              <w:pStyle w:val="TableContents"/>
              <w:bidi w:val="0"/>
              <w:spacing w:before="0" w:after="283"/>
              <w:jc w:val="left"/>
              <w:rPr/>
            </w:pPr>
            <w:r>
              <w:rPr/>
              <w:t> </w:t>
            </w:r>
          </w:p>
        </w:tc>
        <w:tc>
          <w:tcPr>
            <w:tcW w:w="1450" w:type="dxa"/>
            <w:tcBorders/>
            <w:vAlign w:val="center"/>
          </w:tcPr>
          <w:p>
            <w:pPr>
              <w:pStyle w:val="TableContents"/>
              <w:bidi w:val="0"/>
              <w:spacing w:before="0" w:after="283"/>
              <w:jc w:val="left"/>
              <w:rPr/>
            </w:pPr>
            <w:r>
              <w:rPr/>
              <w:t> </w:t>
            </w:r>
          </w:p>
        </w:tc>
        <w:tc>
          <w:tcPr>
            <w:tcW w:w="7776" w:type="dxa"/>
            <w:vMerge w:val="continue"/>
            <w:tcBorders/>
            <w:vAlign w:val="center"/>
          </w:tcPr>
          <w:p>
            <w:pPr>
              <w:pStyle w:val="Normal"/>
              <w:bidi w:val="0"/>
              <w:jc w:val="left"/>
              <w:rPr/>
            </w:pPr>
            <w:r>
              <w:rPr/>
            </w:r>
          </w:p>
        </w:tc>
      </w:tr>
      <w:tr>
        <w:trPr/>
        <w:tc>
          <w:tcPr>
            <w:tcW w:w="979"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02 - Peter J. Nolan</w:t>
            </w:r>
          </w:p>
        </w:tc>
        <w:tc>
          <w:tcPr>
            <w:tcW w:w="145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__________ Votes FOR</w:t>
            </w:r>
          </w:p>
        </w:tc>
        <w:tc>
          <w:tcPr>
            <w:tcW w:w="7776" w:type="dxa"/>
            <w:vMerge w:val="continue"/>
            <w:tcBorders/>
            <w:vAlign w:val="center"/>
          </w:tcPr>
          <w:p>
            <w:pPr>
              <w:pStyle w:val="Normal"/>
              <w:bidi w:val="0"/>
              <w:jc w:val="left"/>
              <w:rPr/>
            </w:pPr>
            <w:r>
              <w:rPr/>
            </w:r>
          </w:p>
        </w:tc>
      </w:tr>
      <w:tr>
        <w:trPr/>
        <w:tc>
          <w:tcPr>
            <w:tcW w:w="979" w:type="dxa"/>
            <w:tcBorders/>
            <w:vAlign w:val="center"/>
          </w:tcPr>
          <w:p>
            <w:pPr>
              <w:pStyle w:val="TableContents"/>
              <w:bidi w:val="0"/>
              <w:spacing w:before="0" w:after="283"/>
              <w:jc w:val="left"/>
              <w:rPr/>
            </w:pPr>
            <w:r>
              <w:rPr/>
              <w:t> </w:t>
            </w:r>
          </w:p>
        </w:tc>
        <w:tc>
          <w:tcPr>
            <w:tcW w:w="1450" w:type="dxa"/>
            <w:tcBorders/>
            <w:vAlign w:val="center"/>
          </w:tcPr>
          <w:p>
            <w:pPr>
              <w:pStyle w:val="TableContents"/>
              <w:bidi w:val="0"/>
              <w:spacing w:before="0" w:after="283"/>
              <w:jc w:val="left"/>
              <w:rPr/>
            </w:pPr>
            <w:r>
              <w:rPr/>
              <w:t> </w:t>
            </w:r>
          </w:p>
        </w:tc>
        <w:tc>
          <w:tcPr>
            <w:tcW w:w="7776" w:type="dxa"/>
            <w:vMerge w:val="continue"/>
            <w:tcBorders/>
            <w:vAlign w:val="center"/>
          </w:tcPr>
          <w:p>
            <w:pPr>
              <w:pStyle w:val="Normal"/>
              <w:bidi w:val="0"/>
              <w:jc w:val="left"/>
              <w:rPr/>
            </w:pPr>
            <w:r>
              <w:rPr/>
            </w:r>
          </w:p>
        </w:tc>
      </w:tr>
      <w:tr>
        <w:trPr/>
        <w:tc>
          <w:tcPr>
            <w:tcW w:w="979" w:type="dxa"/>
            <w:tcBorders/>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Total Votes Cast:</w:t>
            </w:r>
          </w:p>
        </w:tc>
        <w:tc>
          <w:tcPr>
            <w:tcW w:w="1450" w:type="dxa"/>
            <w:tcBorders/>
            <w:vAlign w:val="center"/>
          </w:tcPr>
          <w:p>
            <w:pPr>
              <w:pStyle w:val="TableContents"/>
              <w:bidi w:val="0"/>
              <w:spacing w:before="0" w:after="283"/>
              <w:jc w:val="left"/>
              <w:rPr/>
            </w:pPr>
            <w:r>
              <w:rPr/>
              <w:t> </w:t>
            </w:r>
          </w:p>
        </w:tc>
        <w:tc>
          <w:tcPr>
            <w:tcW w:w="7776" w:type="dxa"/>
            <w:vMerge w:val="continue"/>
            <w:tcBorders/>
            <w:vAlign w:val="center"/>
          </w:tcPr>
          <w:p>
            <w:pPr>
              <w:pStyle w:val="Normal"/>
              <w:bidi w:val="0"/>
              <w:jc w:val="left"/>
              <w:rPr/>
            </w:pPr>
            <w:r>
              <w:rPr/>
            </w:r>
          </w:p>
        </w:tc>
      </w:tr>
    </w:tbl>
    <w:p>
      <w:pPr>
        <w:pStyle w:val="TextBody"/>
        <w:bidi w:val="0"/>
        <w:jc w:val="center"/>
        <w:rPr/>
      </w:pPr>
      <w:r>
        <w:rPr/>
        <w:t> </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3175000" cy="2008505"/>
                <wp:effectExtent l="0" t="0" r="0" b="0"/>
                <wp:wrapSquare wrapText="right"/>
                <wp:docPr id="58" name="Frame1"/>
                <a:graphic xmlns:a="http://schemas.openxmlformats.org/drawingml/2006/main">
                  <a:graphicData uri="http://schemas.microsoft.com/office/word/2010/wordprocessingShape">
                    <wps:wsp>
                      <wps:cNvSpPr txBox="1"/>
                      <wps:spPr>
                        <a:xfrm>
                          <a:off x="0" y="0"/>
                          <a:ext cx="3175000" cy="200850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59"/>
                              <w:gridCol w:w="8470"/>
                              <w:gridCol w:w="290"/>
                              <w:gridCol w:w="635"/>
                              <w:gridCol w:w="651"/>
                            </w:tblGrid>
                            <w:tr>
                              <w:trPr/>
                              <w:tc>
                                <w:tcPr>
                                  <w:tcW w:w="159" w:type="dxa"/>
                                  <w:tcBorders/>
                                  <w:vAlign w:val="center"/>
                                </w:tcPr>
                                <w:p>
                                  <w:pPr>
                                    <w:pStyle w:val="TableContents"/>
                                    <w:bidi w:val="0"/>
                                    <w:spacing w:before="0" w:after="283"/>
                                    <w:jc w:val="left"/>
                                    <w:rPr/>
                                  </w:pPr>
                                  <w:r>
                                    <w:rPr/>
                                    <w:t> </w:t>
                                  </w:r>
                                </w:p>
                              </w:tc>
                              <w:tc>
                                <w:tcPr>
                                  <w:tcW w:w="847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 </w:t>
                                  </w:r>
                                </w:p>
                              </w:tc>
                              <w:tc>
                                <w:tcPr>
                                  <w:tcW w:w="635" w:type="dxa"/>
                                  <w:tcBorders/>
                                  <w:vAlign w:val="center"/>
                                </w:tcPr>
                                <w:p>
                                  <w:pPr>
                                    <w:pStyle w:val="TableContents"/>
                                    <w:bidi w:val="0"/>
                                    <w:spacing w:before="0" w:after="283"/>
                                    <w:jc w:val="center"/>
                                    <w:rPr/>
                                  </w:pPr>
                                  <w:r>
                                    <w:rPr/>
                                    <w:t> </w:t>
                                  </w:r>
                                </w:p>
                              </w:tc>
                              <w:tc>
                                <w:tcPr>
                                  <w:tcW w:w="651" w:type="dxa"/>
                                  <w:tcBorders/>
                                  <w:vAlign w:val="center"/>
                                </w:tcPr>
                                <w:p>
                                  <w:pPr>
                                    <w:pStyle w:val="TableContents"/>
                                    <w:bidi w:val="0"/>
                                    <w:spacing w:before="0" w:after="283"/>
                                    <w:jc w:val="center"/>
                                    <w:rPr/>
                                  </w:pPr>
                                  <w:r>
                                    <w:rPr/>
                                    <w:t> </w:t>
                                  </w:r>
                                </w:p>
                              </w:tc>
                            </w:tr>
                            <w:tr>
                              <w:trPr/>
                              <w:tc>
                                <w:tcPr>
                                  <w:tcW w:w="159" w:type="dxa"/>
                                  <w:tcBorders/>
                                  <w:vAlign w:val="center"/>
                                </w:tcPr>
                                <w:p>
                                  <w:pPr>
                                    <w:pStyle w:val="TableContents"/>
                                    <w:bidi w:val="0"/>
                                    <w:spacing w:before="0" w:after="283"/>
                                    <w:jc w:val="left"/>
                                    <w:rPr/>
                                  </w:pPr>
                                  <w:r>
                                    <w:rPr/>
                                    <w:t> </w:t>
                                  </w:r>
                                </w:p>
                              </w:tc>
                              <w:tc>
                                <w:tcPr>
                                  <w:tcW w:w="847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For</w:t>
                                  </w:r>
                                </w:p>
                              </w:tc>
                              <w:tc>
                                <w:tcPr>
                                  <w:tcW w:w="635" w:type="dxa"/>
                                  <w:tcBorders/>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Against</w:t>
                                  </w:r>
                                </w:p>
                              </w:tc>
                              <w:tc>
                                <w:tcPr>
                                  <w:tcW w:w="651" w:type="dxa"/>
                                  <w:tcBorders/>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Abstain</w:t>
                                  </w:r>
                                </w:p>
                              </w:tc>
                            </w:tr>
                            <w:tr>
                              <w:trPr/>
                              <w:tc>
                                <w:tcPr>
                                  <w:tcW w:w="159"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847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To vote on an advisory resolution to approve the compensation of the Named Executive Officers as disclosed in this proxy statement (“Proposal 2”);</w:t>
                                  </w:r>
                                </w:p>
                              </w:tc>
                              <w:tc>
                                <w:tcPr>
                                  <w:tcW w:w="290" w:type="dxa"/>
                                  <w:tcBorders/>
                                  <w:vAlign w:val="center"/>
                                </w:tcPr>
                                <w:p>
                                  <w:pPr>
                                    <w:pStyle w:val="TableContents"/>
                                    <w:bidi w:val="0"/>
                                    <w:spacing w:before="0" w:after="283"/>
                                    <w:jc w:val="center"/>
                                    <w:rPr/>
                                  </w:pPr>
                                  <w:r>
                                    <w:rPr/>
                                    <w:t>☐</w:t>
                                  </w:r>
                                </w:p>
                              </w:tc>
                              <w:tc>
                                <w:tcPr>
                                  <w:tcW w:w="635" w:type="dxa"/>
                                  <w:tcBorders/>
                                  <w:vAlign w:val="center"/>
                                </w:tcPr>
                                <w:p>
                                  <w:pPr>
                                    <w:pStyle w:val="TableContents"/>
                                    <w:bidi w:val="0"/>
                                    <w:spacing w:before="0" w:after="283"/>
                                    <w:jc w:val="center"/>
                                    <w:rPr/>
                                  </w:pPr>
                                  <w:r>
                                    <w:rPr/>
                                    <w:t>☐ </w:t>
                                  </w:r>
                                </w:p>
                              </w:tc>
                              <w:tc>
                                <w:tcPr>
                                  <w:tcW w:w="651" w:type="dxa"/>
                                  <w:tcBorders/>
                                  <w:vAlign w:val="center"/>
                                </w:tcPr>
                                <w:p>
                                  <w:pPr>
                                    <w:pStyle w:val="TableContents"/>
                                    <w:bidi w:val="0"/>
                                    <w:spacing w:before="0" w:after="283"/>
                                    <w:jc w:val="center"/>
                                    <w:rPr/>
                                  </w:pPr>
                                  <w:r>
                                    <w:rPr/>
                                    <w:t> ☐</w:t>
                                  </w:r>
                                </w:p>
                              </w:tc>
                            </w:tr>
                            <w:tr>
                              <w:trPr/>
                              <w:tc>
                                <w:tcPr>
                                  <w:tcW w:w="159" w:type="dxa"/>
                                  <w:tcBorders/>
                                  <w:vAlign w:val="center"/>
                                </w:tcPr>
                                <w:p>
                                  <w:pPr>
                                    <w:pStyle w:val="TableContents"/>
                                    <w:bidi w:val="0"/>
                                    <w:spacing w:before="0" w:after="283"/>
                                    <w:jc w:val="left"/>
                                    <w:rPr/>
                                  </w:pPr>
                                  <w:r>
                                    <w:rPr/>
                                    <w:t> </w:t>
                                  </w:r>
                                </w:p>
                              </w:tc>
                              <w:tc>
                                <w:tcPr>
                                  <w:tcW w:w="847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 </w:t>
                                  </w:r>
                                </w:p>
                              </w:tc>
                              <w:tc>
                                <w:tcPr>
                                  <w:tcW w:w="635" w:type="dxa"/>
                                  <w:tcBorders/>
                                  <w:vAlign w:val="center"/>
                                </w:tcPr>
                                <w:p>
                                  <w:pPr>
                                    <w:pStyle w:val="TableContents"/>
                                    <w:bidi w:val="0"/>
                                    <w:spacing w:before="0" w:after="283"/>
                                    <w:jc w:val="center"/>
                                    <w:rPr/>
                                  </w:pPr>
                                  <w:r>
                                    <w:rPr/>
                                    <w:t> </w:t>
                                  </w:r>
                                </w:p>
                              </w:tc>
                              <w:tc>
                                <w:tcPr>
                                  <w:tcW w:w="651" w:type="dxa"/>
                                  <w:tcBorders/>
                                  <w:vAlign w:val="center"/>
                                </w:tcPr>
                                <w:p>
                                  <w:pPr>
                                    <w:pStyle w:val="TableContents"/>
                                    <w:bidi w:val="0"/>
                                    <w:spacing w:before="0" w:after="283"/>
                                    <w:jc w:val="center"/>
                                    <w:rPr/>
                                  </w:pPr>
                                  <w:r>
                                    <w:rPr/>
                                    <w:t> </w:t>
                                  </w:r>
                                </w:p>
                              </w:tc>
                            </w:tr>
                            <w:tr>
                              <w:trPr/>
                              <w:tc>
                                <w:tcPr>
                                  <w:tcW w:w="159"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4.</w:t>
                                  </w:r>
                                </w:p>
                              </w:tc>
                              <w:tc>
                                <w:tcPr>
                                  <w:tcW w:w="9395" w:type="dxa"/>
                                  <w:gridSpan w:val="3"/>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To transact such other business as may properly come before the meeting or any adjournment or postponement thereof.</w:t>
                                  </w:r>
                                </w:p>
                              </w:tc>
                              <w:tc>
                                <w:tcPr>
                                  <w:tcW w:w="651"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58.1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59"/>
                        <w:gridCol w:w="8470"/>
                        <w:gridCol w:w="290"/>
                        <w:gridCol w:w="635"/>
                        <w:gridCol w:w="651"/>
                      </w:tblGrid>
                      <w:tr>
                        <w:trPr/>
                        <w:tc>
                          <w:tcPr>
                            <w:tcW w:w="159" w:type="dxa"/>
                            <w:tcBorders/>
                            <w:vAlign w:val="center"/>
                          </w:tcPr>
                          <w:p>
                            <w:pPr>
                              <w:pStyle w:val="TableContents"/>
                              <w:bidi w:val="0"/>
                              <w:spacing w:before="0" w:after="283"/>
                              <w:jc w:val="left"/>
                              <w:rPr/>
                            </w:pPr>
                            <w:r>
                              <w:rPr/>
                              <w:t> </w:t>
                            </w:r>
                          </w:p>
                        </w:tc>
                        <w:tc>
                          <w:tcPr>
                            <w:tcW w:w="847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 </w:t>
                            </w:r>
                          </w:p>
                        </w:tc>
                        <w:tc>
                          <w:tcPr>
                            <w:tcW w:w="635" w:type="dxa"/>
                            <w:tcBorders/>
                            <w:vAlign w:val="center"/>
                          </w:tcPr>
                          <w:p>
                            <w:pPr>
                              <w:pStyle w:val="TableContents"/>
                              <w:bidi w:val="0"/>
                              <w:spacing w:before="0" w:after="283"/>
                              <w:jc w:val="center"/>
                              <w:rPr/>
                            </w:pPr>
                            <w:r>
                              <w:rPr/>
                              <w:t> </w:t>
                            </w:r>
                          </w:p>
                        </w:tc>
                        <w:tc>
                          <w:tcPr>
                            <w:tcW w:w="651" w:type="dxa"/>
                            <w:tcBorders/>
                            <w:vAlign w:val="center"/>
                          </w:tcPr>
                          <w:p>
                            <w:pPr>
                              <w:pStyle w:val="TableContents"/>
                              <w:bidi w:val="0"/>
                              <w:spacing w:before="0" w:after="283"/>
                              <w:jc w:val="center"/>
                              <w:rPr/>
                            </w:pPr>
                            <w:r>
                              <w:rPr/>
                              <w:t> </w:t>
                            </w:r>
                          </w:p>
                        </w:tc>
                      </w:tr>
                      <w:tr>
                        <w:trPr/>
                        <w:tc>
                          <w:tcPr>
                            <w:tcW w:w="159" w:type="dxa"/>
                            <w:tcBorders/>
                            <w:vAlign w:val="center"/>
                          </w:tcPr>
                          <w:p>
                            <w:pPr>
                              <w:pStyle w:val="TableContents"/>
                              <w:bidi w:val="0"/>
                              <w:spacing w:before="0" w:after="283"/>
                              <w:jc w:val="left"/>
                              <w:rPr/>
                            </w:pPr>
                            <w:r>
                              <w:rPr/>
                              <w:t> </w:t>
                            </w:r>
                          </w:p>
                        </w:tc>
                        <w:tc>
                          <w:tcPr>
                            <w:tcW w:w="847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For</w:t>
                            </w:r>
                          </w:p>
                        </w:tc>
                        <w:tc>
                          <w:tcPr>
                            <w:tcW w:w="635" w:type="dxa"/>
                            <w:tcBorders/>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Against</w:t>
                            </w:r>
                          </w:p>
                        </w:tc>
                        <w:tc>
                          <w:tcPr>
                            <w:tcW w:w="651" w:type="dxa"/>
                            <w:tcBorders/>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Abstain</w:t>
                            </w:r>
                          </w:p>
                        </w:tc>
                      </w:tr>
                      <w:tr>
                        <w:trPr/>
                        <w:tc>
                          <w:tcPr>
                            <w:tcW w:w="159"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847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To vote on an advisory resolution to approve the compensation of the Named Executive Officers as disclosed in this proxy statement (“Proposal 2”);</w:t>
                            </w:r>
                          </w:p>
                        </w:tc>
                        <w:tc>
                          <w:tcPr>
                            <w:tcW w:w="290" w:type="dxa"/>
                            <w:tcBorders/>
                            <w:vAlign w:val="center"/>
                          </w:tcPr>
                          <w:p>
                            <w:pPr>
                              <w:pStyle w:val="TableContents"/>
                              <w:bidi w:val="0"/>
                              <w:spacing w:before="0" w:after="283"/>
                              <w:jc w:val="center"/>
                              <w:rPr/>
                            </w:pPr>
                            <w:r>
                              <w:rPr/>
                              <w:t>☐</w:t>
                            </w:r>
                          </w:p>
                        </w:tc>
                        <w:tc>
                          <w:tcPr>
                            <w:tcW w:w="635" w:type="dxa"/>
                            <w:tcBorders/>
                            <w:vAlign w:val="center"/>
                          </w:tcPr>
                          <w:p>
                            <w:pPr>
                              <w:pStyle w:val="TableContents"/>
                              <w:bidi w:val="0"/>
                              <w:spacing w:before="0" w:after="283"/>
                              <w:jc w:val="center"/>
                              <w:rPr/>
                            </w:pPr>
                            <w:r>
                              <w:rPr/>
                              <w:t>☐ </w:t>
                            </w:r>
                          </w:p>
                        </w:tc>
                        <w:tc>
                          <w:tcPr>
                            <w:tcW w:w="651" w:type="dxa"/>
                            <w:tcBorders/>
                            <w:vAlign w:val="center"/>
                          </w:tcPr>
                          <w:p>
                            <w:pPr>
                              <w:pStyle w:val="TableContents"/>
                              <w:bidi w:val="0"/>
                              <w:spacing w:before="0" w:after="283"/>
                              <w:jc w:val="center"/>
                              <w:rPr/>
                            </w:pPr>
                            <w:r>
                              <w:rPr/>
                              <w:t> ☐</w:t>
                            </w:r>
                          </w:p>
                        </w:tc>
                      </w:tr>
                      <w:tr>
                        <w:trPr/>
                        <w:tc>
                          <w:tcPr>
                            <w:tcW w:w="159" w:type="dxa"/>
                            <w:tcBorders/>
                            <w:vAlign w:val="center"/>
                          </w:tcPr>
                          <w:p>
                            <w:pPr>
                              <w:pStyle w:val="TableContents"/>
                              <w:bidi w:val="0"/>
                              <w:spacing w:before="0" w:after="283"/>
                              <w:jc w:val="left"/>
                              <w:rPr/>
                            </w:pPr>
                            <w:r>
                              <w:rPr/>
                              <w:t> </w:t>
                            </w:r>
                          </w:p>
                        </w:tc>
                        <w:tc>
                          <w:tcPr>
                            <w:tcW w:w="847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 </w:t>
                            </w:r>
                          </w:p>
                        </w:tc>
                        <w:tc>
                          <w:tcPr>
                            <w:tcW w:w="635" w:type="dxa"/>
                            <w:tcBorders/>
                            <w:vAlign w:val="center"/>
                          </w:tcPr>
                          <w:p>
                            <w:pPr>
                              <w:pStyle w:val="TableContents"/>
                              <w:bidi w:val="0"/>
                              <w:spacing w:before="0" w:after="283"/>
                              <w:jc w:val="center"/>
                              <w:rPr/>
                            </w:pPr>
                            <w:r>
                              <w:rPr/>
                              <w:t> </w:t>
                            </w:r>
                          </w:p>
                        </w:tc>
                        <w:tc>
                          <w:tcPr>
                            <w:tcW w:w="651" w:type="dxa"/>
                            <w:tcBorders/>
                            <w:vAlign w:val="center"/>
                          </w:tcPr>
                          <w:p>
                            <w:pPr>
                              <w:pStyle w:val="TableContents"/>
                              <w:bidi w:val="0"/>
                              <w:spacing w:before="0" w:after="283"/>
                              <w:jc w:val="center"/>
                              <w:rPr/>
                            </w:pPr>
                            <w:r>
                              <w:rPr/>
                              <w:t> </w:t>
                            </w:r>
                          </w:p>
                        </w:tc>
                      </w:tr>
                      <w:tr>
                        <w:trPr/>
                        <w:tc>
                          <w:tcPr>
                            <w:tcW w:w="159"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4.</w:t>
                            </w:r>
                          </w:p>
                        </w:tc>
                        <w:tc>
                          <w:tcPr>
                            <w:tcW w:w="9395" w:type="dxa"/>
                            <w:gridSpan w:val="3"/>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To transact such other business as may properly come before the meeting or any adjournment or postponement thereof.</w:t>
                            </w:r>
                          </w:p>
                        </w:tc>
                        <w:tc>
                          <w:tcPr>
                            <w:tcW w:w="651"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67">
                <wp:simplePos x="0" y="0"/>
                <wp:positionH relativeFrom="column">
                  <wp:align>right</wp:align>
                </wp:positionH>
                <wp:positionV relativeFrom="line">
                  <wp:posOffset>635</wp:posOffset>
                </wp:positionV>
                <wp:extent cx="3175000" cy="1298575"/>
                <wp:effectExtent l="0" t="0" r="0" b="0"/>
                <wp:wrapSquare wrapText="left"/>
                <wp:docPr id="59" name="Frame2"/>
                <a:graphic xmlns:a="http://schemas.openxmlformats.org/drawingml/2006/main">
                  <a:graphicData uri="http://schemas.microsoft.com/office/word/2010/wordprocessingShape">
                    <wps:wsp>
                      <wps:cNvSpPr txBox="1"/>
                      <wps:spPr>
                        <a:xfrm>
                          <a:off x="0" y="0"/>
                          <a:ext cx="3175000" cy="129857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50"/>
                              <w:gridCol w:w="8479"/>
                              <w:gridCol w:w="290"/>
                              <w:gridCol w:w="635"/>
                              <w:gridCol w:w="651"/>
                            </w:tblGrid>
                            <w:tr>
                              <w:trPr/>
                              <w:tc>
                                <w:tcPr>
                                  <w:tcW w:w="150" w:type="dxa"/>
                                  <w:tcBorders/>
                                  <w:vAlign w:val="center"/>
                                </w:tcPr>
                                <w:p>
                                  <w:pPr>
                                    <w:pStyle w:val="TableContents"/>
                                    <w:bidi w:val="0"/>
                                    <w:spacing w:before="0" w:after="283"/>
                                    <w:jc w:val="left"/>
                                    <w:rPr/>
                                  </w:pPr>
                                  <w:r>
                                    <w:rPr/>
                                    <w:t> </w:t>
                                  </w:r>
                                </w:p>
                              </w:tc>
                              <w:tc>
                                <w:tcPr>
                                  <w:tcW w:w="8479"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 </w:t>
                                  </w:r>
                                </w:p>
                              </w:tc>
                              <w:tc>
                                <w:tcPr>
                                  <w:tcW w:w="635" w:type="dxa"/>
                                  <w:tcBorders/>
                                  <w:vAlign w:val="center"/>
                                </w:tcPr>
                                <w:p>
                                  <w:pPr>
                                    <w:pStyle w:val="TableContents"/>
                                    <w:bidi w:val="0"/>
                                    <w:spacing w:before="0" w:after="283"/>
                                    <w:jc w:val="center"/>
                                    <w:rPr/>
                                  </w:pPr>
                                  <w:r>
                                    <w:rPr/>
                                    <w:t> </w:t>
                                  </w:r>
                                </w:p>
                              </w:tc>
                              <w:tc>
                                <w:tcPr>
                                  <w:tcW w:w="651" w:type="dxa"/>
                                  <w:tcBorders/>
                                  <w:vAlign w:val="center"/>
                                </w:tcPr>
                                <w:p>
                                  <w:pPr>
                                    <w:pStyle w:val="TableContents"/>
                                    <w:bidi w:val="0"/>
                                    <w:spacing w:before="0" w:after="283"/>
                                    <w:jc w:val="center"/>
                                    <w:rPr/>
                                  </w:pPr>
                                  <w:r>
                                    <w:rPr/>
                                    <w:t> </w:t>
                                  </w:r>
                                </w:p>
                              </w:tc>
                            </w:tr>
                            <w:tr>
                              <w:trPr/>
                              <w:tc>
                                <w:tcPr>
                                  <w:tcW w:w="150" w:type="dxa"/>
                                  <w:tcBorders/>
                                  <w:vAlign w:val="center"/>
                                </w:tcPr>
                                <w:p>
                                  <w:pPr>
                                    <w:pStyle w:val="TableContents"/>
                                    <w:bidi w:val="0"/>
                                    <w:spacing w:before="0" w:after="283"/>
                                    <w:jc w:val="left"/>
                                    <w:rPr/>
                                  </w:pPr>
                                  <w:r>
                                    <w:rPr/>
                                    <w:t> </w:t>
                                  </w:r>
                                </w:p>
                              </w:tc>
                              <w:tc>
                                <w:tcPr>
                                  <w:tcW w:w="8479"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For</w:t>
                                  </w:r>
                                </w:p>
                              </w:tc>
                              <w:tc>
                                <w:tcPr>
                                  <w:tcW w:w="635" w:type="dxa"/>
                                  <w:tcBorders/>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Against</w:t>
                                  </w:r>
                                </w:p>
                              </w:tc>
                              <w:tc>
                                <w:tcPr>
                                  <w:tcW w:w="651" w:type="dxa"/>
                                  <w:tcBorders/>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Abstain</w:t>
                                  </w:r>
                                </w:p>
                              </w:tc>
                            </w:tr>
                            <w:tr>
                              <w:trPr/>
                              <w:tc>
                                <w:tcPr>
                                  <w:tcW w:w="15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3.</w:t>
                                  </w:r>
                                </w:p>
                              </w:tc>
                              <w:tc>
                                <w:tcPr>
                                  <w:tcW w:w="8479"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To ratify the appointment of Deloitte &amp; Touche LLP to serve as the independent registered public accounting firm for Limoneira Company for the fiscal year ending October 31, 2026 (“Proposal 3”);</w:t>
                                  </w:r>
                                </w:p>
                              </w:tc>
                              <w:tc>
                                <w:tcPr>
                                  <w:tcW w:w="290" w:type="dxa"/>
                                  <w:tcBorders/>
                                  <w:vAlign w:val="center"/>
                                </w:tcPr>
                                <w:p>
                                  <w:pPr>
                                    <w:pStyle w:val="TableContents"/>
                                    <w:bidi w:val="0"/>
                                    <w:spacing w:before="0" w:after="283"/>
                                    <w:jc w:val="center"/>
                                    <w:rPr/>
                                  </w:pPr>
                                  <w:r>
                                    <w:rPr/>
                                    <w:t>☐</w:t>
                                  </w:r>
                                </w:p>
                              </w:tc>
                              <w:tc>
                                <w:tcPr>
                                  <w:tcW w:w="635" w:type="dxa"/>
                                  <w:tcBorders/>
                                  <w:vAlign w:val="center"/>
                                </w:tcPr>
                                <w:p>
                                  <w:pPr>
                                    <w:pStyle w:val="TableContents"/>
                                    <w:bidi w:val="0"/>
                                    <w:spacing w:before="0" w:after="283"/>
                                    <w:jc w:val="center"/>
                                    <w:rPr/>
                                  </w:pPr>
                                  <w:r>
                                    <w:rPr/>
                                    <w:t>☐</w:t>
                                  </w:r>
                                </w:p>
                              </w:tc>
                              <w:tc>
                                <w:tcPr>
                                  <w:tcW w:w="651" w:type="dxa"/>
                                  <w:tcBorders/>
                                  <w:vAlign w:val="center"/>
                                </w:tcPr>
                                <w:p>
                                  <w:pPr>
                                    <w:pStyle w:val="TableContents"/>
                                    <w:bidi w:val="0"/>
                                    <w:spacing w:before="0" w:after="283"/>
                                    <w:jc w:val="center"/>
                                    <w:rPr/>
                                  </w:pPr>
                                  <w:r>
                                    <w:rPr/>
                                    <w: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02.25pt;mso-wrap-distance-left:0pt;mso-wrap-distance-right:0pt;mso-wrap-distance-top:0pt;mso-wrap-distance-bottom:0pt;margin-top:0pt;mso-position-vertical:top;mso-position-vertical-relative:text;margin-left:260.2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150"/>
                        <w:gridCol w:w="8479"/>
                        <w:gridCol w:w="290"/>
                        <w:gridCol w:w="635"/>
                        <w:gridCol w:w="651"/>
                      </w:tblGrid>
                      <w:tr>
                        <w:trPr/>
                        <w:tc>
                          <w:tcPr>
                            <w:tcW w:w="150" w:type="dxa"/>
                            <w:tcBorders/>
                            <w:vAlign w:val="center"/>
                          </w:tcPr>
                          <w:p>
                            <w:pPr>
                              <w:pStyle w:val="TableContents"/>
                              <w:bidi w:val="0"/>
                              <w:spacing w:before="0" w:after="283"/>
                              <w:jc w:val="left"/>
                              <w:rPr/>
                            </w:pPr>
                            <w:r>
                              <w:rPr/>
                              <w:t> </w:t>
                            </w:r>
                          </w:p>
                        </w:tc>
                        <w:tc>
                          <w:tcPr>
                            <w:tcW w:w="8479"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 </w:t>
                            </w:r>
                          </w:p>
                        </w:tc>
                        <w:tc>
                          <w:tcPr>
                            <w:tcW w:w="635" w:type="dxa"/>
                            <w:tcBorders/>
                            <w:vAlign w:val="center"/>
                          </w:tcPr>
                          <w:p>
                            <w:pPr>
                              <w:pStyle w:val="TableContents"/>
                              <w:bidi w:val="0"/>
                              <w:spacing w:before="0" w:after="283"/>
                              <w:jc w:val="center"/>
                              <w:rPr/>
                            </w:pPr>
                            <w:r>
                              <w:rPr/>
                              <w:t> </w:t>
                            </w:r>
                          </w:p>
                        </w:tc>
                        <w:tc>
                          <w:tcPr>
                            <w:tcW w:w="651" w:type="dxa"/>
                            <w:tcBorders/>
                            <w:vAlign w:val="center"/>
                          </w:tcPr>
                          <w:p>
                            <w:pPr>
                              <w:pStyle w:val="TableContents"/>
                              <w:bidi w:val="0"/>
                              <w:spacing w:before="0" w:after="283"/>
                              <w:jc w:val="center"/>
                              <w:rPr/>
                            </w:pPr>
                            <w:r>
                              <w:rPr/>
                              <w:t> </w:t>
                            </w:r>
                          </w:p>
                        </w:tc>
                      </w:tr>
                      <w:tr>
                        <w:trPr/>
                        <w:tc>
                          <w:tcPr>
                            <w:tcW w:w="150" w:type="dxa"/>
                            <w:tcBorders/>
                            <w:vAlign w:val="center"/>
                          </w:tcPr>
                          <w:p>
                            <w:pPr>
                              <w:pStyle w:val="TableContents"/>
                              <w:bidi w:val="0"/>
                              <w:spacing w:before="0" w:after="283"/>
                              <w:jc w:val="left"/>
                              <w:rPr/>
                            </w:pPr>
                            <w:r>
                              <w:rPr/>
                              <w:t> </w:t>
                            </w:r>
                          </w:p>
                        </w:tc>
                        <w:tc>
                          <w:tcPr>
                            <w:tcW w:w="8479"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For</w:t>
                            </w:r>
                          </w:p>
                        </w:tc>
                        <w:tc>
                          <w:tcPr>
                            <w:tcW w:w="635" w:type="dxa"/>
                            <w:tcBorders/>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Against</w:t>
                            </w:r>
                          </w:p>
                        </w:tc>
                        <w:tc>
                          <w:tcPr>
                            <w:tcW w:w="651" w:type="dxa"/>
                            <w:tcBorders/>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Abstain</w:t>
                            </w:r>
                          </w:p>
                        </w:tc>
                      </w:tr>
                      <w:tr>
                        <w:trPr/>
                        <w:tc>
                          <w:tcPr>
                            <w:tcW w:w="15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3.</w:t>
                            </w:r>
                          </w:p>
                        </w:tc>
                        <w:tc>
                          <w:tcPr>
                            <w:tcW w:w="8479"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To ratify the appointment of Deloitte &amp; Touche LLP to serve as the independent registered public accounting firm for Limoneira Company for the fiscal year ending October 31, 2026 (“Proposal 3”);</w:t>
                            </w:r>
                          </w:p>
                        </w:tc>
                        <w:tc>
                          <w:tcPr>
                            <w:tcW w:w="290" w:type="dxa"/>
                            <w:tcBorders/>
                            <w:vAlign w:val="center"/>
                          </w:tcPr>
                          <w:p>
                            <w:pPr>
                              <w:pStyle w:val="TableContents"/>
                              <w:bidi w:val="0"/>
                              <w:spacing w:before="0" w:after="283"/>
                              <w:jc w:val="center"/>
                              <w:rPr/>
                            </w:pPr>
                            <w:r>
                              <w:rPr/>
                              <w:t>☐</w:t>
                            </w:r>
                          </w:p>
                        </w:tc>
                        <w:tc>
                          <w:tcPr>
                            <w:tcW w:w="635" w:type="dxa"/>
                            <w:tcBorders/>
                            <w:vAlign w:val="center"/>
                          </w:tcPr>
                          <w:p>
                            <w:pPr>
                              <w:pStyle w:val="TableContents"/>
                              <w:bidi w:val="0"/>
                              <w:spacing w:before="0" w:after="283"/>
                              <w:jc w:val="center"/>
                              <w:rPr/>
                            </w:pPr>
                            <w:r>
                              <w:rPr/>
                              <w:t>☐</w:t>
                            </w:r>
                          </w:p>
                        </w:tc>
                        <w:tc>
                          <w:tcPr>
                            <w:tcW w:w="651" w:type="dxa"/>
                            <w:tcBorders/>
                            <w:vAlign w:val="center"/>
                          </w:tcPr>
                          <w:p>
                            <w:pPr>
                              <w:pStyle w:val="TableContents"/>
                              <w:bidi w:val="0"/>
                              <w:spacing w:before="0" w:after="283"/>
                              <w:jc w:val="center"/>
                              <w:rPr/>
                            </w:pPr>
                            <w:r>
                              <w:rPr/>
                              <w:t>☐</w:t>
                            </w:r>
                          </w:p>
                        </w:tc>
                      </w:tr>
                    </w:tbl>
                    <w:p>
                      <w:pPr>
                        <w:pStyle w:val="TextBody"/>
                        <w:bidi w:val="0"/>
                        <w:spacing w:before="0" w:after="283"/>
                        <w:jc w:val="left"/>
                        <w:rPr/>
                      </w:pPr>
                      <w:r>
                        <w:rPr/>
                      </w:r>
                    </w:p>
                  </w:txbxContent>
                </v:textbox>
                <w10:wrap type="square" side="left"/>
              </v:rect>
            </w:pict>
          </mc:Fallback>
        </mc:AlternateContent>
      </w:r>
    </w:p>
    <w:p>
      <w:pPr>
        <w:pStyle w:val="TextBody"/>
        <w:bidi w:val="0"/>
        <w:jc w:val="center"/>
        <w:rPr/>
      </w:pPr>
      <w:r>
        <w:rPr/>
        <w:t> </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60" w:type="dxa"/>
          <w:left w:w="60" w:type="dxa"/>
          <w:bottom w:w="60" w:type="dxa"/>
          <w:right w:w="60" w:type="dxa"/>
        </w:tblCellMar>
      </w:tblPr>
      <w:tblGrid>
        <w:gridCol w:w="290"/>
        <w:gridCol w:w="9915"/>
      </w:tblGrid>
      <w:tr>
        <w:trPr/>
        <w:tc>
          <w:tcPr>
            <w:tcW w:w="290" w:type="dxa"/>
            <w:tcBorders/>
            <w:shd w:fill="000000"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B</w:t>
            </w:r>
          </w:p>
        </w:tc>
        <w:tc>
          <w:tcPr>
            <w:tcW w:w="9915" w:type="dxa"/>
            <w:tcBorders/>
            <w:shd w:fill="D8D8D8"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Authorized Signatures — This section must be completed for your vote to be counted. — Date and Sign Below</w:t>
            </w:r>
          </w:p>
        </w:tc>
      </w:tr>
    </w:tbl>
    <w:p>
      <w:pPr>
        <w:pStyle w:val="TextBody"/>
        <w:bidi w:val="0"/>
        <w:jc w:val="center"/>
        <w:rPr/>
      </w:pPr>
      <w:r>
        <w:rPr/>
        <w:t> </w:t>
      </w:r>
    </w:p>
    <w:p>
      <w:pPr>
        <w:pStyle w:val="TextBody"/>
        <w:bidi w:val="0"/>
        <w:jc w:val="left"/>
        <w:rPr>
          <w:rFonts w:ascii="Arial;Helvetica;Sans-Serif" w:hAnsi="Arial;Helvetica;Sans-Serif"/>
          <w:sz w:val="16"/>
        </w:rPr>
      </w:pPr>
      <w:r>
        <w:rPr>
          <w:rFonts w:ascii="Arial;Helvetica;Sans-Serif" w:hAnsi="Arial;Helvetica;Sans-Serif"/>
          <w:sz w:val="16"/>
        </w:rPr>
        <w:t>NOTE: Please sign as name appears hereon. Joint owners should each sign. When signing as attorney, executor, administrator, trustee or guardian, please give full title as such.</w:t>
      </w:r>
    </w:p>
    <w:tbl>
      <w:tblPr>
        <w:tblW w:w="10205" w:type="dxa"/>
        <w:jc w:val="left"/>
        <w:tblInd w:w="0" w:type="dxa"/>
        <w:tblLayout w:type="fixed"/>
        <w:tblCellMar>
          <w:top w:w="0" w:type="dxa"/>
          <w:left w:w="0" w:type="dxa"/>
          <w:bottom w:w="0" w:type="dxa"/>
          <w:right w:w="0" w:type="dxa"/>
        </w:tblCellMar>
      </w:tblPr>
      <w:tblGrid>
        <w:gridCol w:w="3218"/>
        <w:gridCol w:w="60"/>
        <w:gridCol w:w="3425"/>
        <w:gridCol w:w="60"/>
        <w:gridCol w:w="3442"/>
      </w:tblGrid>
      <w:tr>
        <w:trPr/>
        <w:tc>
          <w:tcPr>
            <w:tcW w:w="3218"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Date (mm/dd/yyyy) — Please print date below.</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Signature 1 — Please keep signature within the box.</w:t>
            </w:r>
          </w:p>
        </w:tc>
        <w:tc>
          <w:tcPr>
            <w:tcW w:w="60" w:type="dxa"/>
            <w:tcBorders/>
            <w:vAlign w:val="center"/>
          </w:tcPr>
          <w:p>
            <w:pPr>
              <w:pStyle w:val="TableContents"/>
              <w:bidi w:val="0"/>
              <w:spacing w:before="0" w:after="283"/>
              <w:jc w:val="left"/>
              <w:rPr/>
            </w:pPr>
            <w:r>
              <w:rPr/>
              <w:t> </w:t>
            </w:r>
          </w:p>
        </w:tc>
        <w:tc>
          <w:tcPr>
            <w:tcW w:w="3442"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Signature 2 — Please keep signature within the box.</w:t>
            </w:r>
          </w:p>
        </w:tc>
      </w:tr>
      <w:tr>
        <w:trPr/>
        <w:tc>
          <w:tcPr>
            <w:tcW w:w="3218" w:type="dxa"/>
            <w:tcBorders>
              <w:top w:val="single" w:sz="16" w:space="0" w:color="000000"/>
              <w:left w:val="single" w:sz="16" w:space="0" w:color="000000"/>
              <w:bottom w:val="single" w:sz="16" w:space="0" w:color="000000"/>
              <w:right w:val="single" w:sz="16" w:space="0" w:color="000000"/>
            </w:tcBorders>
            <w:tcMar>
              <w:top w:w="28" w:type="dxa"/>
              <w:left w:w="28" w:type="dxa"/>
              <w:bottom w:w="28" w:type="dxa"/>
              <w:right w:w="28" w:type="dxa"/>
            </w:tcMar>
            <w:vAlign w:val="center"/>
          </w:tcPr>
          <w:p>
            <w:pPr>
              <w:pStyle w:val="TableContents"/>
              <w:bidi w:val="0"/>
              <w:spacing w:before="0" w:after="283"/>
              <w:jc w:val="left"/>
              <w:rPr/>
            </w:pPr>
            <w:r>
              <w:rPr/>
              <w:t>        </w:t>
            </w:r>
            <w:r>
              <w:rPr>
                <w:rFonts w:ascii="Arial;Helvetica;Sans-Serif" w:hAnsi="Arial;Helvetica;Sans-Serif"/>
                <w:sz w:val="48"/>
              </w:rPr>
              <w:t>/       /</w:t>
            </w:r>
          </w:p>
        </w:tc>
        <w:tc>
          <w:tcPr>
            <w:tcW w:w="60" w:type="dxa"/>
            <w:tcBorders/>
            <w:vAlign w:val="center"/>
          </w:tcPr>
          <w:p>
            <w:pPr>
              <w:pStyle w:val="TableContents"/>
              <w:bidi w:val="0"/>
              <w:spacing w:before="0" w:after="283"/>
              <w:jc w:val="left"/>
              <w:rPr/>
            </w:pPr>
            <w:r>
              <w:rPr/>
              <w:t> </w:t>
            </w:r>
          </w:p>
        </w:tc>
        <w:tc>
          <w:tcPr>
            <w:tcW w:w="3425" w:type="dxa"/>
            <w:tcBorders>
              <w:top w:val="single" w:sz="16" w:space="0" w:color="000000"/>
              <w:left w:val="single" w:sz="16" w:space="0" w:color="000000"/>
              <w:bottom w:val="single" w:sz="16" w:space="0" w:color="000000"/>
              <w:right w:val="single" w:sz="16" w:space="0" w:color="000000"/>
            </w:tcBorders>
            <w:tcMar>
              <w:top w:w="28" w:type="dxa"/>
              <w:left w:w="28" w:type="dxa"/>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42" w:type="dxa"/>
            <w:tcBorders>
              <w:top w:val="single" w:sz="16" w:space="0" w:color="000000"/>
              <w:left w:val="single" w:sz="16" w:space="0" w:color="000000"/>
              <w:bottom w:val="single" w:sz="16" w:space="0" w:color="000000"/>
              <w:right w:val="single" w:sz="16" w:space="0" w:color="000000"/>
            </w:tcBorders>
            <w:tcMar>
              <w:top w:w="28" w:type="dxa"/>
              <w:left w:w="28" w:type="dxa"/>
              <w:bottom w:w="28" w:type="dxa"/>
              <w:right w:w="28" w:type="dxa"/>
            </w:tcMar>
            <w:vAlign w:val="center"/>
          </w:tcPr>
          <w:p>
            <w:pPr>
              <w:pStyle w:val="TableContents"/>
              <w:bidi w:val="0"/>
              <w:spacing w:before="0" w:after="283"/>
              <w:jc w:val="left"/>
              <w:rPr/>
            </w:pPr>
            <w:r>
              <w:rPr/>
              <w:t> </w:t>
            </w:r>
          </w:p>
        </w:tc>
      </w:tr>
    </w:tbl>
    <w:p>
      <w:pPr>
        <w:pStyle w:val="TextBody"/>
        <w:bidi w:val="0"/>
        <w:jc w:val="left"/>
        <w:rPr/>
      </w:pPr>
      <w:r>
        <w:rPr/>
        <w:t> </w:t>
      </w:r>
    </w:p>
    <w:tbl>
      <w:tblPr>
        <w:tblW w:w="1505" w:type="dxa"/>
        <w:jc w:val="left"/>
        <w:tblInd w:w="0" w:type="dxa"/>
        <w:tblLayout w:type="fixed"/>
        <w:tblCellMar>
          <w:top w:w="0" w:type="dxa"/>
          <w:left w:w="0" w:type="dxa"/>
          <w:bottom w:w="0" w:type="dxa"/>
          <w:right w:w="0" w:type="dxa"/>
        </w:tblCellMar>
      </w:tblPr>
      <w:tblGrid>
        <w:gridCol w:w="360"/>
        <w:gridCol w:w="845"/>
        <w:gridCol w:w="300"/>
      </w:tblGrid>
      <w:tr>
        <w:trPr/>
        <w:tc>
          <w:tcPr>
            <w:tcW w:w="360" w:type="dxa"/>
            <w:tcBorders/>
            <w:vAlign w:val="center"/>
          </w:tcPr>
          <w:p>
            <w:pPr>
              <w:pStyle w:val="TableContents"/>
              <w:bidi w:val="0"/>
              <w:spacing w:before="0" w:after="283"/>
              <w:jc w:val="left"/>
              <w:rPr/>
            </w:pPr>
            <w:r>
              <w:rPr/>
              <w:drawing>
                <wp:inline distT="0" distB="0" distL="0" distR="0">
                  <wp:extent cx="180975" cy="180975"/>
                  <wp:effectExtent l="0" t="0" r="0" b="0"/>
                  <wp:docPr id="60"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8" descr=""/>
                          <pic:cNvPicPr>
                            <a:picLocks noChangeAspect="1" noChangeArrowheads="1"/>
                          </pic:cNvPicPr>
                        </pic:nvPicPr>
                        <pic:blipFill>
                          <a:blip r:embed="rId59"/>
                          <a:stretch>
                            <a:fillRect/>
                          </a:stretch>
                        </pic:blipFill>
                        <pic:spPr bwMode="auto">
                          <a:xfrm>
                            <a:off x="0" y="0"/>
                            <a:ext cx="180975" cy="180975"/>
                          </a:xfrm>
                          <a:prstGeom prst="rect">
                            <a:avLst/>
                          </a:prstGeom>
                        </pic:spPr>
                      </pic:pic>
                    </a:graphicData>
                  </a:graphic>
                </wp:inline>
              </w:drawing>
            </w:r>
            <w:r>
              <w:rPr/>
              <w:t> </w:t>
            </w:r>
          </w:p>
        </w:tc>
        <w:tc>
          <w:tcPr>
            <w:tcW w:w="845" w:type="dxa"/>
            <w:tcBorders/>
            <w:vAlign w:val="center"/>
          </w:tcPr>
          <w:p>
            <w:pPr>
              <w:pStyle w:val="TableContents"/>
              <w:bidi w:val="0"/>
              <w:spacing w:before="0" w:after="283"/>
              <w:jc w:val="center"/>
              <w:rPr>
                <w:rFonts w:ascii="Arial;Helvetica;Sans-Serif" w:hAnsi="Arial;Helvetica;Sans-Serif"/>
                <w:sz w:val="24"/>
              </w:rPr>
            </w:pPr>
            <w:r>
              <w:rPr>
                <w:rFonts w:ascii="Arial;Helvetica;Sans-Serif" w:hAnsi="Arial;Helvetica;Sans-Serif"/>
                <w:sz w:val="24"/>
              </w:rPr>
              <w:t>1 U P X</w:t>
            </w:r>
          </w:p>
        </w:tc>
        <w:tc>
          <w:tcPr>
            <w:tcW w:w="300" w:type="dxa"/>
            <w:tcBorders/>
            <w:vAlign w:val="center"/>
          </w:tcPr>
          <w:p>
            <w:pPr>
              <w:pStyle w:val="TableContents"/>
              <w:bidi w:val="0"/>
              <w:spacing w:before="0" w:after="283"/>
              <w:jc w:val="right"/>
              <w:rPr/>
            </w:pPr>
            <w:r>
              <w:rPr/>
              <w:drawing>
                <wp:inline distT="0" distB="0" distL="0" distR="0">
                  <wp:extent cx="180975" cy="171450"/>
                  <wp:effectExtent l="0" t="0" r="0" b="0"/>
                  <wp:docPr id="6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9" descr=""/>
                          <pic:cNvPicPr>
                            <a:picLocks noChangeAspect="1" noChangeArrowheads="1"/>
                          </pic:cNvPicPr>
                        </pic:nvPicPr>
                        <pic:blipFill>
                          <a:blip r:embed="rId60"/>
                          <a:stretch>
                            <a:fillRect/>
                          </a:stretch>
                        </pic:blipFill>
                        <pic:spPr bwMode="auto">
                          <a:xfrm>
                            <a:off x="0" y="0"/>
                            <a:ext cx="180975" cy="171450"/>
                          </a:xfrm>
                          <a:prstGeom prst="rect">
                            <a:avLst/>
                          </a:prstGeom>
                        </pic:spPr>
                      </pic:pic>
                    </a:graphicData>
                  </a:graphic>
                </wp:inline>
              </w:drawing>
            </w:r>
          </w:p>
        </w:tc>
      </w:tr>
    </w:tbl>
    <w:p>
      <w:pPr>
        <w:pStyle w:val="TextBody"/>
        <w:bidi w:val="0"/>
        <w:jc w:val="left"/>
        <w:rPr/>
      </w:pPr>
      <w:r>
        <w:rPr/>
        <w:t>  </w:t>
      </w:r>
    </w:p>
    <w:p>
      <w:pPr>
        <w:pStyle w:val="TextBody"/>
        <w:bidi w:val="0"/>
        <w:ind w:left="3240" w:right="0" w:hanging="0"/>
        <w:jc w:val="left"/>
        <w:rPr>
          <w:rFonts w:ascii="Arial;Helvetica;Sans-Serif" w:hAnsi="Arial;Helvetica;Sans-Serif"/>
          <w:sz w:val="14"/>
        </w:rPr>
      </w:pPr>
      <w:r>
        <w:rPr>
          <w:rFonts w:ascii="Arial;Helvetica;Sans-Serif" w:hAnsi="Arial;Helvetica;Sans-Serif"/>
          <w:sz w:val="14"/>
        </w:rPr>
        <w:t>048KGB</w:t>
      </w:r>
    </w:p>
    <w:p>
      <w:pPr>
        <w:pStyle w:val="TextBody"/>
        <w:bidi w:val="0"/>
        <w:ind w:left="324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36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Important notice regarding the availability of proxy materials for the Annual Meeting of Stockholders to be held on March 25, 2026. </w:t>
      </w:r>
      <w:r>
        <w:rPr>
          <w:rFonts w:ascii="Arial;Helvetica;Sans-Serif" w:hAnsi="Arial;Helvetica;Sans-Serif"/>
          <w:b w:val="false"/>
          <w:i w:val="false"/>
          <w:caps w:val="false"/>
          <w:smallCaps w:val="false"/>
          <w:sz w:val="20"/>
        </w:rPr>
        <w:t xml:space="preserve">The Notice of the Annual Meeting of Stockholders, Proxy Statement and the Annual Report for the fiscal year ended October 31, 2025, are available at: </w:t>
      </w:r>
      <w:r>
        <w:rPr>
          <w:rFonts w:ascii="Arial;Helvetica;Sans-Serif" w:hAnsi="Arial;Helvetica;Sans-Serif"/>
          <w:b/>
          <w:i w:val="false"/>
          <w:caps w:val="false"/>
          <w:smallCaps w:val="false"/>
          <w:sz w:val="20"/>
          <w:u w:val="single"/>
        </w:rPr>
        <w:t>http://www.envisionreports.com/LMNR</w:t>
      </w:r>
    </w:p>
    <w:p>
      <w:pPr>
        <w:pStyle w:val="TextBody"/>
        <w:bidi w:val="0"/>
        <w:spacing w:before="0" w:after="0"/>
        <w:ind w:left="0" w:right="0" w:hanging="0"/>
        <w:jc w:val="left"/>
        <w:rPr>
          <w:caps w:val="false"/>
          <w:smallCaps w:val="false"/>
        </w:rPr>
      </w:pPr>
      <w:r>
        <w:rPr>
          <w:caps w:val="false"/>
          <w:smallCaps w:val="false"/>
        </w:rPr>
        <w:t> </w:t>
      </w:r>
    </w:p>
    <w:tbl>
      <w:tblPr>
        <w:tblW w:w="6575" w:type="dxa"/>
        <w:jc w:val="left"/>
        <w:tblInd w:w="-10" w:type="dxa"/>
        <w:tblLayout w:type="fixed"/>
        <w:tblCellMar>
          <w:top w:w="108" w:type="dxa"/>
          <w:left w:w="160" w:type="dxa"/>
          <w:bottom w:w="108" w:type="dxa"/>
          <w:right w:w="0" w:type="dxa"/>
        </w:tblCellMar>
      </w:tblPr>
      <w:tblGrid>
        <w:gridCol w:w="750"/>
        <w:gridCol w:w="5015"/>
        <w:gridCol w:w="810"/>
      </w:tblGrid>
      <w:tr>
        <w:trPr/>
        <w:tc>
          <w:tcPr>
            <w:tcW w:w="750" w:type="dxa"/>
            <w:tcBorders>
              <w:top w:val="single" w:sz="8" w:space="0" w:color="262626"/>
              <w:left w:val="single" w:sz="8" w:space="0" w:color="262626"/>
              <w:bottom w:val="single" w:sz="8" w:space="0" w:color="262626"/>
            </w:tcBorders>
            <w:vAlign w:val="center"/>
          </w:tcPr>
          <w:p>
            <w:pPr>
              <w:pStyle w:val="TableContents"/>
              <w:bidi w:val="0"/>
              <w:spacing w:before="0" w:after="283"/>
              <w:jc w:val="left"/>
              <w:rPr/>
            </w:pPr>
            <w:r>
              <w:rPr/>
              <w:drawing>
                <wp:inline distT="0" distB="0" distL="0" distR="0">
                  <wp:extent cx="466725" cy="466725"/>
                  <wp:effectExtent l="0" t="0" r="0" b="0"/>
                  <wp:docPr id="62"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0" descr=""/>
                          <pic:cNvPicPr>
                            <a:picLocks noChangeAspect="1" noChangeArrowheads="1"/>
                          </pic:cNvPicPr>
                        </pic:nvPicPr>
                        <pic:blipFill>
                          <a:blip r:embed="rId61"/>
                          <a:stretch>
                            <a:fillRect/>
                          </a:stretch>
                        </pic:blipFill>
                        <pic:spPr bwMode="auto">
                          <a:xfrm>
                            <a:off x="0" y="0"/>
                            <a:ext cx="466725" cy="466725"/>
                          </a:xfrm>
                          <a:prstGeom prst="rect">
                            <a:avLst/>
                          </a:prstGeom>
                        </pic:spPr>
                      </pic:pic>
                    </a:graphicData>
                  </a:graphic>
                </wp:inline>
              </w:drawing>
            </w:r>
          </w:p>
        </w:tc>
        <w:tc>
          <w:tcPr>
            <w:tcW w:w="5015" w:type="dxa"/>
            <w:tcBorders>
              <w:top w:val="single" w:sz="8" w:space="0" w:color="262626"/>
              <w:bottom w:val="single" w:sz="8" w:space="0" w:color="262626"/>
            </w:tcBorders>
            <w:tcMar>
              <w:left w:w="0" w:type="dxa"/>
            </w:tcMar>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Small steps make an impact.</w:t>
            </w:r>
            <w:r>
              <w:rPr>
                <w:rFonts w:ascii="Arial;Helvetica;Sans-Serif" w:hAnsi="Arial;Helvetica;Sans-Serif"/>
                <w:b w:val="false"/>
                <w:i w:val="false"/>
                <w:caps w:val="false"/>
                <w:smallCaps w:val="false"/>
                <w:sz w:val="20"/>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Help the environment by consenting to receive electronic </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delivery, sign up at www.envisionreports.com/LMNR</w:t>
            </w:r>
          </w:p>
        </w:tc>
        <w:tc>
          <w:tcPr>
            <w:tcW w:w="810" w:type="dxa"/>
            <w:tcBorders>
              <w:top w:val="single" w:sz="8" w:space="0" w:color="262626"/>
              <w:bottom w:val="single" w:sz="8" w:space="0" w:color="262626"/>
              <w:right w:val="single" w:sz="8" w:space="0" w:color="262626"/>
            </w:tcBorders>
            <w:tcMar>
              <w:left w:w="0" w:type="dxa"/>
              <w:right w:w="160" w:type="dxa"/>
            </w:tcMar>
            <w:vAlign w:val="center"/>
          </w:tcPr>
          <w:p>
            <w:pPr>
              <w:pStyle w:val="TableContents"/>
              <w:bidi w:val="0"/>
              <w:spacing w:before="0" w:after="283"/>
              <w:jc w:val="right"/>
              <w:rPr/>
            </w:pPr>
            <w:r>
              <w:rPr/>
              <w:drawing>
                <wp:inline distT="0" distB="0" distL="0" distR="0">
                  <wp:extent cx="466725" cy="466725"/>
                  <wp:effectExtent l="0" t="0" r="0" b="0"/>
                  <wp:docPr id="63"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1" descr=""/>
                          <pic:cNvPicPr>
                            <a:picLocks noChangeAspect="1" noChangeArrowheads="1"/>
                          </pic:cNvPicPr>
                        </pic:nvPicPr>
                        <pic:blipFill>
                          <a:blip r:embed="rId62"/>
                          <a:stretch>
                            <a:fillRect/>
                          </a:stretch>
                        </pic:blipFill>
                        <pic:spPr bwMode="auto">
                          <a:xfrm>
                            <a:off x="0" y="0"/>
                            <a:ext cx="466725" cy="466725"/>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Arial;Helvetica;Sans-Serif" w:hAnsi="Arial;Helvetica;Sans-Serif"/>
          <w:b/>
          <w:i w:val="false"/>
          <w:caps w:val="false"/>
          <w:smallCaps w:val="false"/>
          <w:sz w:val="16"/>
        </w:rPr>
        <w:t>IF VOTING BY MAIL, SIGN, DETACH AND RETURN THE BOTTOM PORTION IN THE ENCLOSED ENVELOPE.</w:t>
      </w:r>
      <w:r>
        <w:rPr>
          <w:rFonts w:ascii="Arial;Helvetica;Sans-Serif" w:hAnsi="Arial;Helvetica;San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640" w:type="dxa"/>
        <w:jc w:val="left"/>
        <w:tblInd w:w="0" w:type="dxa"/>
        <w:tblLayout w:type="fixed"/>
        <w:tblCellMar>
          <w:top w:w="60" w:type="dxa"/>
          <w:left w:w="0" w:type="dxa"/>
          <w:bottom w:w="60" w:type="dxa"/>
          <w:right w:w="0" w:type="dxa"/>
        </w:tblCellMar>
      </w:tblPr>
      <w:tblGrid>
        <w:gridCol w:w="4340"/>
        <w:gridCol w:w="300"/>
      </w:tblGrid>
      <w:tr>
        <w:trPr/>
        <w:tc>
          <w:tcPr>
            <w:tcW w:w="4340" w:type="dxa"/>
            <w:tcBorders>
              <w:top w:val="single" w:sz="16" w:space="0" w:color="000000"/>
              <w:bottom w:val="single" w:sz="16" w:space="0" w:color="000000"/>
            </w:tcBorders>
            <w:shd w:fill="D8D8D8" w:val="clear"/>
            <w:vAlign w:val="center"/>
          </w:tcPr>
          <w:p>
            <w:pPr>
              <w:pStyle w:val="TableContents"/>
              <w:bidi w:val="0"/>
              <w:spacing w:before="0" w:after="283"/>
              <w:jc w:val="left"/>
              <w:rPr>
                <w:rFonts w:ascii="Arial;Helvetica;Sans-Serif" w:hAnsi="Arial;Helvetica;Sans-Serif"/>
                <w:b/>
                <w:sz w:val="28"/>
              </w:rPr>
            </w:pPr>
            <w:r>
              <w:rPr>
                <w:rFonts w:ascii="Arial;Helvetica;Sans-Serif" w:hAnsi="Arial;Helvetica;Sans-Serif"/>
                <w:b/>
                <w:sz w:val="28"/>
              </w:rPr>
              <w:t>Proxy – LIMONEIRA COMPANY</w:t>
            </w:r>
          </w:p>
        </w:tc>
        <w:tc>
          <w:tcPr>
            <w:tcW w:w="300" w:type="dxa"/>
            <w:tcBorders/>
            <w:tcMar>
              <w:top w:w="0" w:type="dxa"/>
              <w:bottom w:w="0" w:type="dxa"/>
            </w:tcMar>
            <w:vAlign w:val="center"/>
          </w:tcPr>
          <w:p>
            <w:pPr>
              <w:pStyle w:val="TableContents"/>
              <w:bidi w:val="0"/>
              <w:spacing w:before="0" w:after="283"/>
              <w:jc w:val="center"/>
              <w:rPr/>
            </w:pPr>
            <w:r>
              <w:rPr/>
              <w:drawing>
                <wp:inline distT="0" distB="0" distL="0" distR="0">
                  <wp:extent cx="180975" cy="171450"/>
                  <wp:effectExtent l="0" t="0" r="0" b="0"/>
                  <wp:docPr id="6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2" descr=""/>
                          <pic:cNvPicPr>
                            <a:picLocks noChangeAspect="1" noChangeArrowheads="1"/>
                          </pic:cNvPicPr>
                        </pic:nvPicPr>
                        <pic:blipFill>
                          <a:blip r:embed="rId63"/>
                          <a:stretch>
                            <a:fillRect/>
                          </a:stretch>
                        </pic:blipFill>
                        <pic:spPr bwMode="auto">
                          <a:xfrm>
                            <a:off x="0" y="0"/>
                            <a:ext cx="180975" cy="17145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8"/>
        </w:rPr>
        <w:t>PROXY FOR THE ANNUAL MEETING OF STOCKHOLDERS</w:t>
      </w:r>
      <w:r>
        <w:rPr>
          <w:rFonts w:ascii="Arial;Helvetica;Sans-Serif" w:hAnsi="Arial;Helvetica;Sans-Serif"/>
          <w:b w:val="false"/>
          <w:i w:val="false"/>
          <w:caps w:val="false"/>
          <w:smallCaps w:val="false"/>
          <w:sz w:val="20"/>
        </w:rPr>
        <w:t> </w:t>
      </w:r>
    </w:p>
    <w:p>
      <w:pPr>
        <w:pStyle w:val="TextBody"/>
        <w:bidi w:val="0"/>
        <w:spacing w:before="0" w:after="0"/>
        <w:ind w:left="0" w:right="0" w:hanging="0"/>
        <w:jc w:val="center"/>
        <w:rPr>
          <w:rFonts w:ascii="Arial;Helvetica;Sans-Serif" w:hAnsi="Arial;Helvetica;Sans-Serif"/>
          <w:b w:val="false"/>
          <w:i w:val="false"/>
          <w:caps w:val="false"/>
          <w:smallCaps w:val="false"/>
          <w:sz w:val="24"/>
        </w:rPr>
      </w:pPr>
      <w:r>
        <w:rPr>
          <w:rFonts w:ascii="Arial;Helvetica;Sans-Serif" w:hAnsi="Arial;Helvetica;Sans-Serif"/>
          <w:b/>
          <w:i w:val="false"/>
          <w:caps w:val="false"/>
          <w:smallCaps w:val="false"/>
          <w:sz w:val="24"/>
        </w:rPr>
        <w:t>TO BE HELD ON MARCH 25, 2026</w:t>
      </w:r>
      <w:r>
        <w:rPr>
          <w:rFonts w:ascii="Arial;Helvetica;Sans-Serif" w:hAnsi="Arial;Helvetica;Sans-Serif"/>
          <w:b w:val="false"/>
          <w:i w:val="false"/>
          <w:caps w:val="false"/>
          <w:smallCaps w:val="false"/>
          <w:sz w:val="24"/>
        </w:rPr>
        <w:t> </w:t>
      </w:r>
    </w:p>
    <w:p>
      <w:pPr>
        <w:pStyle w:val="TextBody"/>
        <w:bidi w:val="0"/>
        <w:spacing w:before="0" w:after="0"/>
        <w:ind w:left="0" w:right="0" w:hanging="0"/>
        <w:jc w:val="center"/>
        <w:rPr>
          <w:rFonts w:ascii="Arial;Helvetica;Sans-Serif" w:hAnsi="Arial;Helvetica;Sans-Serif"/>
          <w:b w:val="false"/>
          <w:i w:val="false"/>
          <w:caps w:val="false"/>
          <w:smallCaps w:val="false"/>
          <w:sz w:val="24"/>
        </w:rPr>
      </w:pPr>
      <w:r>
        <w:rPr>
          <w:rFonts w:ascii="Arial;Helvetica;Sans-Serif" w:hAnsi="Arial;Helvetica;Sans-Serif"/>
          <w:b/>
          <w:i w:val="false"/>
          <w:caps w:val="false"/>
          <w:smallCaps w:val="false"/>
          <w:sz w:val="24"/>
        </w:rPr>
        <w:t>at Museum of Ventura County Agriculture Museum, 926 Railroad Avenue, Santa Paula, CA 93060</w:t>
      </w:r>
      <w:r>
        <w:rPr>
          <w:rFonts w:ascii="Arial;Helvetica;Sans-Serif" w:hAnsi="Arial;Helvetica;Sans-Serif"/>
          <w:b w:val="false"/>
          <w:i w:val="false"/>
          <w:caps w:val="false"/>
          <w:smallCaps w:val="false"/>
          <w:sz w:val="24"/>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4"/>
        </w:rPr>
        <w:t>THIS PROXY IS SOLICITED ON BEHALF OF THE BOARD OF DIRECTORS</w:t>
      </w:r>
      <w:r>
        <w:rPr>
          <w:rFonts w:ascii="Arial;Helvetica;Sans-Serif" w:hAnsi="Arial;Helvetica;Sans-Serif"/>
          <w:b w:val="false"/>
          <w:i w:val="false"/>
          <w:caps w:val="false"/>
          <w:smallCaps w:val="false"/>
          <w:sz w:val="20"/>
        </w:rPr>
        <w:t> </w:t>
      </w:r>
    </w:p>
    <w:p>
      <w:pPr>
        <w:pStyle w:val="TextBody"/>
        <w:bidi w:val="0"/>
        <w:spacing w:before="40" w:after="0"/>
        <w:ind w:left="40" w:right="40" w:firstLine="36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undersigned hereby appoints Harold S. Edwards and Gregory C. Hamm, and each of them, as the attorneys, agents and proxies of the undersigned with full power of substitution to each, to attend and act as proxy or proxies of the undersigned at the Annual Meeting of Stockholders of Limoneira Company to be held at Museum of Ventura County Agriculture Museum, 926 Railroad Avenue, Santa Paula, CA 93060, on March 25, 2026, at 10:00 A.M., Pacific Time, and at any and all adjournments thereof, and to vote as specified herein the number of shares which the undersigned, if personally present, would be entitled to vote. </w:t>
      </w:r>
    </w:p>
    <w:p>
      <w:pPr>
        <w:pStyle w:val="TextBody"/>
        <w:bidi w:val="0"/>
        <w:spacing w:before="120" w:after="0"/>
        <w:ind w:left="120" w:right="120" w:firstLine="360"/>
        <w:jc w:val="both"/>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BOARD OF DIRECTORS RECOMMENDS A VOTE “FOR ALL” DIRECTORS NOMINATED BY THE BOARD OF DIRECTORS IN PROPOSAL 1; “FOR” THE ADVISORY RESOLUTION TO APPROVE THE COMPENSATION OF THE NAMED EXECUTIVE OFFICERS AS DISCLOSED IN THIS PROXY STATEMENT (PROPOSAL 2); “FOR” THE RATIFICATION OF THE APPOINTMENT OF DELOITTE &amp; TOUCHE LLP FOR LIMONEIRA COMPANY FOR THE FISCAL YEAR ENDING OCTOBER 31, 2026 (PROPOSAL 3).</w:t>
      </w:r>
    </w:p>
    <w:p>
      <w:pPr>
        <w:pStyle w:val="TextBody"/>
        <w:bidi w:val="0"/>
        <w:spacing w:before="120" w:after="0"/>
        <w:ind w:left="120" w:right="120" w:firstLine="360"/>
        <w:jc w:val="both"/>
        <w:rPr>
          <w:rFonts w:ascii="Arial;Helvetica;Sans-Serif" w:hAnsi="Arial;Helvetica;Sans-Serif"/>
          <w:b w:val="false"/>
          <w:i w:val="false"/>
          <w:caps w:val="false"/>
          <w:smallCaps w:val="false"/>
          <w:sz w:val="18"/>
        </w:rPr>
      </w:pPr>
      <w:r>
        <w:rPr>
          <w:rFonts w:ascii="Arial;Helvetica;Sans-Serif" w:hAnsi="Arial;Helvetica;Sans-Serif"/>
          <w:b/>
          <w:i w:val="false"/>
          <w:caps w:val="false"/>
          <w:smallCaps w:val="false"/>
          <w:sz w:val="18"/>
        </w:rPr>
        <w:t>THIS PROXY, WHEN PROPERLY EXECUTED, WILL BE VOTED AS DIRECTED. IF NO DIRECTION IS MADE, IT WILL BE VOTED “FOR ALL” DIRECTORS NOMINATED BY THE BOARD OF DIRECTORS (PROPOSAL 1); “FOR” THE ADVISORY RESOLUTION TO APPROVE THE COMPENSATION OF THE NAMED EXECUTIVE OFFICERS AS DISCLOSED IN THIS PROXY STATEMENT (PROPOSAL 2); “FOR” THE RATIFICATION OF THE APPOINTMENT OF DELOITTE &amp; TOUCHE LLP TO SERVE AS THE INDEPENDENT REGISTERED PUBLIC ACCOUNTING FIRM FOR LIMONEIRA COMPANY FOR THE FISCAL YEAR ENDING OCTOBER 31, 2026 (PROPOSAL 3); AND WILL VOTE IN THE DISCRETION OF THE PROXIES WITH RESPECT TO SUCH OTHER BUSINESS AS MAY PROPERLY COME BEFORE THE MEETING OR ANY OTHER ADJOURNMENT OR POSTPONEMENT THEREOF. IF NO DIRECTION IS MADE, THE VOTING POWER GRANTED TO THE PROXIES INCLUDES THE POWER TO VOTE CUMULATIVELY IN THE ELECTION OF DIRECTORS IF DEEMED NECESSARY OR APPROPRIATE BY THE PROXIES.</w:t>
      </w:r>
      <w:r>
        <w:rPr>
          <w:rFonts w:ascii="Arial;Helvetica;Sans-Serif" w:hAnsi="Arial;Helvetica;Sans-Serif"/>
          <w:b w:val="false"/>
          <w:i w:val="false"/>
          <w:caps w:val="false"/>
          <w:smallCaps w:val="false"/>
          <w:sz w:val="18"/>
        </w:rPr>
        <w:t> </w:t>
      </w:r>
    </w:p>
    <w:p>
      <w:pPr>
        <w:pStyle w:val="TextBody"/>
        <w:bidi w:val="0"/>
        <w:spacing w:before="0" w:after="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(Continued and to be marked, dated and signed, on the other side)</w:t>
      </w:r>
    </w:p>
    <w:p>
      <w:pPr>
        <w:pStyle w:val="TextBody"/>
        <w:bidi w:val="0"/>
        <w:spacing w:before="0" w:after="0"/>
        <w:jc w:val="center"/>
        <w:rPr>
          <w:caps w:val="false"/>
          <w:smallCaps w:val="false"/>
        </w:rPr>
      </w:pPr>
      <w:r>
        <w:rPr>
          <w:caps w:val="false"/>
          <w:smallCaps w:val="false"/>
        </w:rPr>
        <w:t> </w:t>
      </w:r>
    </w:p>
    <w:tbl>
      <w:tblPr>
        <w:tblW w:w="2065" w:type="dxa"/>
        <w:jc w:val="left"/>
        <w:tblInd w:w="0" w:type="dxa"/>
        <w:tblLayout w:type="fixed"/>
        <w:tblCellMar>
          <w:top w:w="60" w:type="dxa"/>
          <w:left w:w="60" w:type="dxa"/>
          <w:bottom w:w="60" w:type="dxa"/>
          <w:right w:w="60" w:type="dxa"/>
        </w:tblCellMar>
      </w:tblPr>
      <w:tblGrid>
        <w:gridCol w:w="290"/>
        <w:gridCol w:w="1775"/>
      </w:tblGrid>
      <w:tr>
        <w:trPr/>
        <w:tc>
          <w:tcPr>
            <w:tcW w:w="290" w:type="dxa"/>
            <w:tcBorders/>
            <w:shd w:fill="000000" w:val="cle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C</w:t>
            </w:r>
          </w:p>
        </w:tc>
        <w:tc>
          <w:tcPr>
            <w:tcW w:w="1775" w:type="dxa"/>
            <w:tcBorders/>
            <w:shd w:fill="D8D8D8" w:val="clear"/>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Non-Voting Items</w:t>
            </w:r>
          </w:p>
        </w:tc>
      </w:tr>
    </w:tbl>
    <w:p>
      <w:pPr>
        <w:pStyle w:val="TextBody"/>
        <w:bidi w:val="0"/>
        <w:spacing w:before="0" w:after="0"/>
        <w:jc w:val="center"/>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4160"/>
        <w:gridCol w:w="60"/>
        <w:gridCol w:w="3695"/>
      </w:tblGrid>
      <w:tr>
        <w:trPr/>
        <w:tc>
          <w:tcPr>
            <w:tcW w:w="416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b/>
                <w:sz w:val="16"/>
              </w:rPr>
              <w:t xml:space="preserve">Change of Address — </w:t>
            </w:r>
            <w:r>
              <w:rPr>
                <w:rFonts w:ascii="Arial;Helvetica;Sans-Serif" w:hAnsi="Arial;Helvetica;Sans-Serif"/>
                <w:sz w:val="16"/>
              </w:rPr>
              <w:t>Please print new address below.</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b/>
                <w:sz w:val="16"/>
              </w:rPr>
              <w:t xml:space="preserve">Comments </w:t>
            </w:r>
            <w:r>
              <w:rPr>
                <w:rFonts w:ascii="Arial;Helvetica;Sans-Serif" w:hAnsi="Arial;Helvetica;Sans-Serif"/>
                <w:sz w:val="16"/>
              </w:rPr>
              <w:t>— Please print your comments below.</w:t>
            </w:r>
          </w:p>
        </w:tc>
      </w:tr>
      <w:tr>
        <w:trPr/>
        <w:tc>
          <w:tcPr>
            <w:tcW w:w="4160" w:type="dxa"/>
            <w:tcBorders>
              <w:top w:val="single" w:sz="8" w:space="0" w:color="262626"/>
              <w:left w:val="single" w:sz="8" w:space="0" w:color="262626"/>
              <w:bottom w:val="single" w:sz="8" w:space="0" w:color="262626"/>
              <w:right w:val="single" w:sz="8" w:space="0" w:color="262626"/>
            </w:tcBorders>
            <w:tcMar>
              <w:top w:w="28" w:type="dxa"/>
              <w:left w:w="28" w:type="dxa"/>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95" w:type="dxa"/>
            <w:tcBorders>
              <w:top w:val="single" w:sz="8" w:space="0" w:color="262626"/>
              <w:left w:val="single" w:sz="8" w:space="0" w:color="262626"/>
              <w:bottom w:val="single" w:sz="8" w:space="0" w:color="262626"/>
              <w:right w:val="single" w:sz="8" w:space="0" w:color="262626"/>
            </w:tcBorders>
            <w:tcMar>
              <w:top w:w="28" w:type="dxa"/>
              <w:left w:w="28" w:type="dxa"/>
              <w:bottom w:w="28" w:type="dxa"/>
              <w:right w:w="28"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720" w:type="dxa"/>
        <w:jc w:val="left"/>
        <w:tblInd w:w="0" w:type="dxa"/>
        <w:tblLayout w:type="fixed"/>
        <w:tblCellMar>
          <w:top w:w="0" w:type="dxa"/>
          <w:left w:w="0" w:type="dxa"/>
          <w:bottom w:w="0" w:type="dxa"/>
          <w:right w:w="0" w:type="dxa"/>
        </w:tblCellMar>
      </w:tblPr>
      <w:tblGrid>
        <w:gridCol w:w="360"/>
        <w:gridCol w:w="60"/>
        <w:gridCol w:w="300"/>
      </w:tblGrid>
      <w:tr>
        <w:trPr/>
        <w:tc>
          <w:tcPr>
            <w:tcW w:w="360" w:type="dxa"/>
            <w:tcBorders/>
            <w:vAlign w:val="center"/>
          </w:tcPr>
          <w:p>
            <w:pPr>
              <w:pStyle w:val="TableContents"/>
              <w:bidi w:val="0"/>
              <w:spacing w:before="0" w:after="283"/>
              <w:jc w:val="left"/>
              <w:rPr/>
            </w:pPr>
            <w:r>
              <w:rPr/>
              <w:drawing>
                <wp:inline distT="0" distB="0" distL="0" distR="0">
                  <wp:extent cx="180975" cy="180975"/>
                  <wp:effectExtent l="0" t="0" r="0" b="0"/>
                  <wp:docPr id="65"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3" descr=""/>
                          <pic:cNvPicPr>
                            <a:picLocks noChangeAspect="1" noChangeArrowheads="1"/>
                          </pic:cNvPicPr>
                        </pic:nvPicPr>
                        <pic:blipFill>
                          <a:blip r:embed="rId64"/>
                          <a:stretch>
                            <a:fillRect/>
                          </a:stretch>
                        </pic:blipFill>
                        <pic:spPr bwMode="auto">
                          <a:xfrm>
                            <a:off x="0" y="0"/>
                            <a:ext cx="180975" cy="180975"/>
                          </a:xfrm>
                          <a:prstGeom prst="rect">
                            <a:avLst/>
                          </a:prstGeom>
                        </pic:spPr>
                      </pic:pic>
                    </a:graphicData>
                  </a:graphic>
                </wp:inline>
              </w:drawing>
            </w:r>
            <w:r>
              <w:rPr/>
              <w:t> </w:t>
            </w:r>
          </w:p>
        </w:tc>
        <w:tc>
          <w:tcPr>
            <w:tcW w:w="60" w:type="dxa"/>
            <w:tcBorders/>
            <w:vAlign w:val="center"/>
          </w:tcPr>
          <w:p>
            <w:pPr>
              <w:pStyle w:val="TableContents"/>
              <w:bidi w:val="0"/>
              <w:spacing w:before="0" w:after="283"/>
              <w:jc w:val="center"/>
              <w:rPr/>
            </w:pPr>
            <w:r>
              <w:rPr/>
              <w:t> </w:t>
            </w:r>
          </w:p>
        </w:tc>
        <w:tc>
          <w:tcPr>
            <w:tcW w:w="300" w:type="dxa"/>
            <w:tcBorders/>
            <w:vAlign w:val="center"/>
          </w:tcPr>
          <w:p>
            <w:pPr>
              <w:pStyle w:val="TableContents"/>
              <w:bidi w:val="0"/>
              <w:spacing w:before="0" w:after="283"/>
              <w:jc w:val="right"/>
              <w:rPr/>
            </w:pPr>
            <w:r>
              <w:rPr/>
              <w:drawing>
                <wp:inline distT="0" distB="0" distL="0" distR="0">
                  <wp:extent cx="180975" cy="171450"/>
                  <wp:effectExtent l="0" t="0" r="0" b="0"/>
                  <wp:docPr id="6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4" descr=""/>
                          <pic:cNvPicPr>
                            <a:picLocks noChangeAspect="1" noChangeArrowheads="1"/>
                          </pic:cNvPicPr>
                        </pic:nvPicPr>
                        <pic:blipFill>
                          <a:blip r:embed="rId65"/>
                          <a:stretch>
                            <a:fillRect/>
                          </a:stretch>
                        </pic:blipFill>
                        <pic:spPr bwMode="auto">
                          <a:xfrm>
                            <a:off x="0" y="0"/>
                            <a:ext cx="180975" cy="171450"/>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3.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2.jpeg"/><Relationship Id="rId22" Type="http://schemas.openxmlformats.org/officeDocument/2006/relationships/image" Target="media/image13.jpeg"/><Relationship Id="rId23" Type="http://schemas.openxmlformats.org/officeDocument/2006/relationships/image" Target="media/image13.jpeg"/><Relationship Id="rId24" Type="http://schemas.openxmlformats.org/officeDocument/2006/relationships/image" Target="media/image14.jpeg"/><Relationship Id="rId25" Type="http://schemas.openxmlformats.org/officeDocument/2006/relationships/image" Target="media/image12.jpeg"/><Relationship Id="rId26" Type="http://schemas.openxmlformats.org/officeDocument/2006/relationships/image" Target="media/image11.jpeg"/><Relationship Id="rId27" Type="http://schemas.openxmlformats.org/officeDocument/2006/relationships/image" Target="media/image15.jpeg"/><Relationship Id="rId28" Type="http://schemas.openxmlformats.org/officeDocument/2006/relationships/image" Target="media/image15.jpeg"/><Relationship Id="rId29" Type="http://schemas.openxmlformats.org/officeDocument/2006/relationships/image" Target="media/image15.jpeg"/><Relationship Id="rId30" Type="http://schemas.openxmlformats.org/officeDocument/2006/relationships/image" Target="media/image15.jpeg"/><Relationship Id="rId31" Type="http://schemas.openxmlformats.org/officeDocument/2006/relationships/image" Target="media/image15.jpeg"/><Relationship Id="rId32" Type="http://schemas.openxmlformats.org/officeDocument/2006/relationships/image" Target="media/image15.jpeg"/><Relationship Id="rId33" Type="http://schemas.openxmlformats.org/officeDocument/2006/relationships/image" Target="media/image15.jpeg"/><Relationship Id="rId34" Type="http://schemas.openxmlformats.org/officeDocument/2006/relationships/image" Target="media/image15.jpeg"/><Relationship Id="rId35" Type="http://schemas.openxmlformats.org/officeDocument/2006/relationships/image" Target="media/image15.jpeg"/><Relationship Id="rId36" Type="http://schemas.openxmlformats.org/officeDocument/2006/relationships/image" Target="media/image15.jpeg"/><Relationship Id="rId37" Type="http://schemas.openxmlformats.org/officeDocument/2006/relationships/image" Target="media/image15.jpeg"/><Relationship Id="rId38" Type="http://schemas.openxmlformats.org/officeDocument/2006/relationships/image" Target="media/image15.jpeg"/><Relationship Id="rId39" Type="http://schemas.openxmlformats.org/officeDocument/2006/relationships/image" Target="media/image15.jpeg"/><Relationship Id="rId40" Type="http://schemas.openxmlformats.org/officeDocument/2006/relationships/image" Target="media/image16.jpeg"/><Relationship Id="rId41" Type="http://schemas.openxmlformats.org/officeDocument/2006/relationships/image" Target="media/image17.jpeg"/><Relationship Id="rId42" Type="http://schemas.openxmlformats.org/officeDocument/2006/relationships/image" Target="media/image18.jpeg"/><Relationship Id="rId43" Type="http://schemas.openxmlformats.org/officeDocument/2006/relationships/image" Target="media/image19.jpeg"/><Relationship Id="rId44" Type="http://schemas.openxmlformats.org/officeDocument/2006/relationships/image" Target="media/image20.jpeg"/><Relationship Id="rId45" Type="http://schemas.openxmlformats.org/officeDocument/2006/relationships/image" Target="media/image21.jpeg"/><Relationship Id="rId46" Type="http://schemas.openxmlformats.org/officeDocument/2006/relationships/image" Target="media/image22.jpeg"/><Relationship Id="rId47" Type="http://schemas.openxmlformats.org/officeDocument/2006/relationships/image" Target="media/image23.jpeg"/><Relationship Id="rId48" Type="http://schemas.openxmlformats.org/officeDocument/2006/relationships/image" Target="media/image24.jpeg"/><Relationship Id="rId49" Type="http://schemas.openxmlformats.org/officeDocument/2006/relationships/image" Target="media/image25.jpeg"/><Relationship Id="rId50" Type="http://schemas.openxmlformats.org/officeDocument/2006/relationships/image" Target="media/image26.jpeg"/><Relationship Id="rId51" Type="http://schemas.openxmlformats.org/officeDocument/2006/relationships/image" Target="media/image27.jpeg"/><Relationship Id="rId52" Type="http://schemas.openxmlformats.org/officeDocument/2006/relationships/image" Target="media/image28.jpeg"/><Relationship Id="rId53" Type="http://schemas.openxmlformats.org/officeDocument/2006/relationships/image" Target="media/image29.jpeg"/><Relationship Id="rId54" Type="http://schemas.openxmlformats.org/officeDocument/2006/relationships/image" Target="media/image30.jpeg"/><Relationship Id="rId55" Type="http://schemas.openxmlformats.org/officeDocument/2006/relationships/image" Target="media/image31.jpeg"/><Relationship Id="rId56" Type="http://schemas.openxmlformats.org/officeDocument/2006/relationships/image" Target="media/image32.jpeg"/><Relationship Id="rId57" Type="http://schemas.openxmlformats.org/officeDocument/2006/relationships/image" Target="media/image33.jpeg"/><Relationship Id="rId58" Type="http://schemas.openxmlformats.org/officeDocument/2006/relationships/image" Target="media/image34.jpeg"/><Relationship Id="rId59" Type="http://schemas.openxmlformats.org/officeDocument/2006/relationships/image" Target="media/image35.jpeg"/><Relationship Id="rId60" Type="http://schemas.openxmlformats.org/officeDocument/2006/relationships/image" Target="media/image34.jpeg"/><Relationship Id="rId61" Type="http://schemas.openxmlformats.org/officeDocument/2006/relationships/image" Target="media/image36.jpeg"/><Relationship Id="rId62" Type="http://schemas.openxmlformats.org/officeDocument/2006/relationships/image" Target="media/image37.jpeg"/><Relationship Id="rId63" Type="http://schemas.openxmlformats.org/officeDocument/2006/relationships/image" Target="media/image34.jpeg"/><Relationship Id="rId64" Type="http://schemas.openxmlformats.org/officeDocument/2006/relationships/image" Target="media/image35.jpeg"/><Relationship Id="rId65" Type="http://schemas.openxmlformats.org/officeDocument/2006/relationships/image" Target="media/image34.jpeg"/><Relationship Id="rId66" Type="http://schemas.openxmlformats.org/officeDocument/2006/relationships/fontTable" Target="fontTable.xml"/><Relationship Id="rId6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32787</Words>
  <Characters>181804</Characters>
  <CharactersWithSpaces>214239</CharactersWithSpaces>
  <Paragraphs>4006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