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0"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JANUARY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00"/>
        <w:spacing w:after="0"/>
        <w:tabs>
          <w:tab w:leader="none" w:pos="4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-7620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001-34755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8"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33"/>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660" w:type="dxa"/>
            <w:vAlign w:val="bottom"/>
            <w:gridSpan w:val="2"/>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50"/>
        </w:trPr>
        <w:tc>
          <w:tcPr>
            <w:tcW w:w="2480" w:type="dxa"/>
            <w:vAlign w:val="bottom"/>
          </w:tcPr>
          <w:p>
            <w:pPr>
              <w:jc w:val="center"/>
              <w:ind w:right="50"/>
              <w:spacing w:after="0"/>
              <w:rPr>
                <w:sz w:val="20"/>
                <w:szCs w:val="20"/>
                <w:color w:val="auto"/>
              </w:rPr>
            </w:pPr>
            <w:r>
              <w:rPr>
                <w:rFonts w:ascii="Arial" w:cs="Arial" w:eastAsia="Arial" w:hAnsi="Arial"/>
                <w:sz w:val="18"/>
                <w:szCs w:val="18"/>
                <w:color w:val="auto"/>
                <w:w w:val="91"/>
              </w:rPr>
              <w:t>Title of Each Class</w:t>
            </w:r>
          </w:p>
        </w:tc>
        <w:tc>
          <w:tcPr>
            <w:tcW w:w="3320" w:type="dxa"/>
            <w:vAlign w:val="bottom"/>
          </w:tcPr>
          <w:p>
            <w:pPr>
              <w:jc w:val="center"/>
              <w:ind w:left="1030"/>
              <w:spacing w:after="0"/>
              <w:rPr>
                <w:sz w:val="20"/>
                <w:szCs w:val="20"/>
                <w:color w:val="auto"/>
              </w:rPr>
            </w:pPr>
            <w:r>
              <w:rPr>
                <w:rFonts w:ascii="Arial" w:cs="Arial" w:eastAsia="Arial" w:hAnsi="Arial"/>
                <w:sz w:val="18"/>
                <w:szCs w:val="18"/>
                <w:color w:val="auto"/>
                <w:w w:val="91"/>
              </w:rPr>
              <w:t>Trading Symbol</w:t>
            </w:r>
          </w:p>
        </w:tc>
        <w:tc>
          <w:tcPr>
            <w:tcW w:w="4340" w:type="dxa"/>
            <w:vAlign w:val="bottom"/>
          </w:tcPr>
          <w:p>
            <w:pPr>
              <w:jc w:val="center"/>
              <w:ind w:left="450"/>
              <w:spacing w:after="0"/>
              <w:rPr>
                <w:sz w:val="20"/>
                <w:szCs w:val="20"/>
                <w:color w:val="auto"/>
              </w:rPr>
            </w:pPr>
            <w:r>
              <w:rPr>
                <w:rFonts w:ascii="Arial" w:cs="Arial" w:eastAsia="Arial" w:hAnsi="Arial"/>
                <w:sz w:val="18"/>
                <w:szCs w:val="18"/>
                <w:color w:val="auto"/>
                <w:w w:val="90"/>
              </w:rPr>
              <w:t>Name of Each Exchange of Which Registered</w:t>
            </w:r>
          </w:p>
        </w:tc>
        <w:tc>
          <w:tcPr>
            <w:tcW w:w="0" w:type="dxa"/>
            <w:vAlign w:val="bottom"/>
          </w:tcPr>
          <w:p>
            <w:pPr>
              <w:spacing w:after="0"/>
              <w:rPr>
                <w:sz w:val="1"/>
                <w:szCs w:val="1"/>
                <w:color w:val="auto"/>
              </w:rPr>
            </w:pPr>
          </w:p>
        </w:tc>
      </w:tr>
      <w:tr>
        <w:trPr>
          <w:trHeight w:val="176"/>
        </w:trPr>
        <w:tc>
          <w:tcPr>
            <w:tcW w:w="24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Common Stock, $0.01 par value</w:t>
            </w:r>
          </w:p>
        </w:tc>
        <w:tc>
          <w:tcPr>
            <w:tcW w:w="3320" w:type="dxa"/>
            <w:vAlign w:val="bottom"/>
            <w:vMerge w:val="restart"/>
          </w:tcPr>
          <w:p>
            <w:pPr>
              <w:jc w:val="center"/>
              <w:ind w:left="1030"/>
              <w:spacing w:after="0"/>
              <w:rPr>
                <w:sz w:val="20"/>
                <w:szCs w:val="20"/>
                <w:color w:val="auto"/>
              </w:rPr>
            </w:pPr>
            <w:r>
              <w:rPr>
                <w:rFonts w:ascii="Arial" w:cs="Arial" w:eastAsia="Arial" w:hAnsi="Arial"/>
                <w:sz w:val="18"/>
                <w:szCs w:val="18"/>
                <w:color w:val="auto"/>
              </w:rPr>
              <w:t>LMNR</w:t>
            </w:r>
          </w:p>
        </w:tc>
        <w:tc>
          <w:tcPr>
            <w:tcW w:w="434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6"/>
              </w:rPr>
              <w:t xml:space="preserve">The </w:t>
            </w:r>
            <w:r>
              <w:rPr>
                <w:rFonts w:ascii="Arial" w:cs="Arial" w:eastAsia="Arial" w:hAnsi="Arial"/>
                <w:sz w:val="16"/>
                <w:szCs w:val="16"/>
                <w:color w:val="auto"/>
                <w:w w:val="96"/>
              </w:rPr>
              <w:t>NASDAQ</w:t>
            </w:r>
            <w:r>
              <w:rPr>
                <w:rFonts w:ascii="Arial" w:cs="Arial" w:eastAsia="Arial" w:hAnsi="Arial"/>
                <w:sz w:val="18"/>
                <w:szCs w:val="18"/>
                <w:color w:val="auto"/>
                <w:w w:val="96"/>
              </w:rPr>
              <w:t xml:space="preserve"> Stock Market LLC (NASDAQ Global</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320" w:type="dxa"/>
            <w:vAlign w:val="bottom"/>
            <w:vMerge w:val="continue"/>
          </w:tcPr>
          <w:p>
            <w:pPr>
              <w:spacing w:after="0"/>
              <w:rPr>
                <w:sz w:val="20"/>
                <w:szCs w:val="20"/>
                <w:color w:val="auto"/>
              </w:rPr>
            </w:pPr>
          </w:p>
        </w:tc>
        <w:tc>
          <w:tcPr>
            <w:tcW w:w="4340" w:type="dxa"/>
            <w:vAlign w:val="bottom"/>
          </w:tcPr>
          <w:p>
            <w:pPr>
              <w:jc w:val="center"/>
              <w:ind w:left="430"/>
              <w:spacing w:after="0"/>
              <w:rPr>
                <w:sz w:val="20"/>
                <w:szCs w:val="20"/>
                <w:color w:val="auto"/>
              </w:rPr>
            </w:pPr>
            <w:r>
              <w:rPr>
                <w:rFonts w:ascii="Arial" w:cs="Arial" w:eastAsia="Arial" w:hAnsi="Arial"/>
                <w:sz w:val="18"/>
                <w:szCs w:val="18"/>
                <w:color w:val="auto"/>
                <w:w w:val="91"/>
              </w:rPr>
              <w:t>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1440" w:gutter="0" w:footer="0" w:header="0"/>
        </w:sectPr>
      </w:pPr>
    </w:p>
    <w:p>
      <w:pPr>
        <w:spacing w:after="0" w:line="13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69"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7" w:right="33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8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February 28, 2022, there were 17,672,320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Financial Statements (Unaudited)</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January 31, 2022 and October 31, 2021</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months ended January 31, 2022 and 2021</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Loss – three months ended January 31, 2022 and 2021</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 and Temporary Equity – three months ended January 31, 2022 and 2021</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108"/>
        </w:trPr>
        <w:tc>
          <w:tcPr>
            <w:tcW w:w="11040" w:type="dxa"/>
            <w:vAlign w:val="bottom"/>
            <w:tcBorders>
              <w:top w:val="single" w:sz="8" w:color="CCEEFF"/>
            </w:tcBorders>
            <w:gridSpan w:val="2"/>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three months ended January 31, 2022 and 2021</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SIGNATURES</w:t>
            </w:r>
          </w:p>
        </w:tc>
        <w:tc>
          <w:tcPr>
            <w:tcW w:w="9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2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impacts related to the COVID-19 pandemic and the effectiveness of our Company's responses to the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exchange rate movements;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maintain compliance with covenants under our loan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our public filings with the Securities and Exchange Commission (the "SEC").</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2021 additional factors that could cause our actual results to differ from our projections or estimates, especially relating to the COVID-19 pandemic.</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2021.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Quarterly Report on Form 10-Q mean Limoneira Company, a Delaware corporation, and its consolidated subsidiaries.</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October 31,</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17,483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10,709</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5,958</w:t>
            </w:r>
          </w:p>
        </w:tc>
        <w:tc>
          <w:tcPr>
            <w:tcW w:w="0" w:type="dxa"/>
            <w:vAlign w:val="bottom"/>
          </w:tcPr>
          <w:p>
            <w:pPr>
              <w:spacing w:after="0"/>
              <w:rPr>
                <w:sz w:val="1"/>
                <w:szCs w:val="1"/>
                <w:color w:val="auto"/>
              </w:rPr>
            </w:pPr>
          </w:p>
        </w:tc>
      </w:tr>
      <w:tr>
        <w:trPr>
          <w:trHeight w:val="207"/>
        </w:trPr>
        <w:tc>
          <w:tcPr>
            <w:tcW w:w="880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42,089</w:t>
            </w:r>
          </w:p>
        </w:tc>
        <w:tc>
          <w:tcPr>
            <w:tcW w:w="0" w:type="dxa"/>
            <w:vAlign w:val="bottom"/>
          </w:tcPr>
          <w:p>
            <w:pPr>
              <w:spacing w:after="0"/>
              <w:rPr>
                <w:sz w:val="1"/>
                <w:szCs w:val="1"/>
                <w:color w:val="auto"/>
              </w:rPr>
            </w:pPr>
          </w:p>
        </w:tc>
      </w:tr>
      <w:tr>
        <w:trPr>
          <w:trHeight w:val="98"/>
        </w:trPr>
        <w:tc>
          <w:tcPr>
            <w:tcW w:w="8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242,420</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development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Equity in investments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64,072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8,329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11,011</w:t>
            </w:r>
          </w:p>
        </w:tc>
        <w:tc>
          <w:tcPr>
            <w:tcW w:w="0" w:type="dxa"/>
            <w:vAlign w:val="bottom"/>
          </w:tcPr>
          <w:p>
            <w:pPr>
              <w:spacing w:after="0"/>
              <w:rPr>
                <w:sz w:val="1"/>
                <w:szCs w:val="1"/>
                <w:color w:val="auto"/>
              </w:rPr>
            </w:pPr>
          </w:p>
        </w:tc>
      </w:tr>
      <w:tr>
        <w:trPr>
          <w:trHeight w:val="212"/>
        </w:trPr>
        <w:tc>
          <w:tcPr>
            <w:tcW w:w="880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Growers and suppliers payable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Payables to related parties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130,353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22,853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0" w:type="dxa"/>
            <w:vAlign w:val="bottom"/>
          </w:tcPr>
          <w:p>
            <w:pPr>
              <w:spacing w:after="0"/>
              <w:rPr>
                <w:sz w:val="1"/>
                <w:szCs w:val="1"/>
                <w:color w:val="auto"/>
              </w:rPr>
            </w:pPr>
          </w:p>
        </w:tc>
      </w:tr>
      <w:tr>
        <w:trPr>
          <w:trHeight w:val="206"/>
        </w:trPr>
        <w:tc>
          <w:tcPr>
            <w:tcW w:w="880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202,510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193,031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 at January</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 and October 31, 2021) (8.75% coupon rate)</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00" w:type="dxa"/>
            <w:vAlign w:val="bottom"/>
          </w:tcPr>
          <w:p>
            <w:pPr>
              <w:ind w:left="20"/>
              <w:spacing w:after="0" w:line="166" w:lineRule="exact"/>
              <w:rPr>
                <w:sz w:val="20"/>
                <w:szCs w:val="20"/>
                <w:color w:val="auto"/>
              </w:rPr>
            </w:pPr>
            <w:r>
              <w:rPr>
                <w:rFonts w:ascii="Arial" w:cs="Arial" w:eastAsia="Arial" w:hAnsi="Arial"/>
                <w:sz w:val="16"/>
                <w:szCs w:val="16"/>
                <w:color w:val="auto"/>
                <w:w w:val="91"/>
              </w:rPr>
              <w:t>Series B-2 Convertible Preferred Stock – $100.00 par value (10,000 shares authorized: 9,300 shares issued and outstanding at January</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46"/>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31, 2022 and October 31, 2021) (4% dividend rate on liquidation value of $1,000 per share)</w:t>
            </w:r>
          </w:p>
        </w:tc>
        <w:tc>
          <w:tcPr>
            <w:tcW w:w="14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1"/>
              </w:rPr>
              <w:t>Series A Junior Participating Preferred Stock – $0.01 par value (20,000 shares authorized: zero issued or outstanding at January 31,</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 and October 31, 2021)</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00" w:type="dxa"/>
            <w:vAlign w:val="bottom"/>
          </w:tcPr>
          <w:p>
            <w:pPr>
              <w:ind w:left="220"/>
              <w:spacing w:after="0" w:line="166" w:lineRule="exact"/>
              <w:rPr>
                <w:sz w:val="20"/>
                <w:szCs w:val="20"/>
                <w:color w:val="auto"/>
              </w:rPr>
            </w:pPr>
            <w:r>
              <w:rPr>
                <w:rFonts w:ascii="Arial" w:cs="Arial" w:eastAsia="Arial" w:hAnsi="Arial"/>
                <w:sz w:val="16"/>
                <w:szCs w:val="16"/>
                <w:color w:val="auto"/>
                <w:w w:val="93"/>
              </w:rPr>
              <w:t>Common Stock – $0.01 par value (39,000,000 shares authorized: 17,951,015 and 17,936,377 shares issued and 17,700,038 and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9"/>
        </w:trPr>
        <w:tc>
          <w:tcPr>
            <w:tcW w:w="8800" w:type="dxa"/>
            <w:vAlign w:val="bottom"/>
          </w:tcPr>
          <w:p>
            <w:pPr>
              <w:ind w:left="220"/>
              <w:spacing w:after="0"/>
              <w:rPr>
                <w:sz w:val="20"/>
                <w:szCs w:val="20"/>
                <w:color w:val="auto"/>
              </w:rPr>
            </w:pPr>
            <w:r>
              <w:rPr>
                <w:rFonts w:ascii="Arial" w:cs="Arial" w:eastAsia="Arial" w:hAnsi="Arial"/>
                <w:sz w:val="16"/>
                <w:szCs w:val="16"/>
                <w:color w:val="auto"/>
              </w:rPr>
              <w:t>17,685,400 shares outstanding at January 31, 2022 and October 31, 2021, respectively)</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21,552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Treasury stock, at cost, 250,977 shares at January 31, 2022 and October 31, 2021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11,965</w:t>
            </w:r>
          </w:p>
        </w:tc>
        <w:tc>
          <w:tcPr>
            <w:tcW w:w="0" w:type="dxa"/>
            <w:vAlign w:val="bottom"/>
          </w:tcPr>
          <w:p>
            <w:pPr>
              <w:spacing w:after="0"/>
              <w:rPr>
                <w:sz w:val="1"/>
                <w:szCs w:val="1"/>
                <w:color w:val="auto"/>
              </w:rPr>
            </w:pPr>
          </w:p>
        </w:tc>
      </w:tr>
      <w:tr>
        <w:trPr>
          <w:trHeight w:val="206"/>
        </w:trPr>
        <w:tc>
          <w:tcPr>
            <w:tcW w:w="8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188,435</w:t>
            </w:r>
          </w:p>
        </w:tc>
        <w:tc>
          <w:tcPr>
            <w:tcW w:w="0" w:type="dxa"/>
            <w:vAlign w:val="bottom"/>
          </w:tcPr>
          <w:p>
            <w:pPr>
              <w:spacing w:after="0"/>
              <w:rPr>
                <w:sz w:val="1"/>
                <w:szCs w:val="1"/>
                <w:color w:val="auto"/>
              </w:rPr>
            </w:pPr>
          </w:p>
        </w:tc>
      </w:tr>
      <w:tr>
        <w:trPr>
          <w:trHeight w:val="238"/>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263"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w:t>
      </w:r>
    </w:p>
    <w:p>
      <w:pPr>
        <w:jc w:val="center"/>
        <w:ind w:left="892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19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38,083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37,137</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07"/>
        </w:trPr>
        <w:tc>
          <w:tcPr>
            <w:tcW w:w="894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38,275</w:t>
            </w: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36,938</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Gain on disposal of assets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w:t>
            </w:r>
          </w:p>
        </w:tc>
      </w:tr>
      <w:tr>
        <w:trPr>
          <w:trHeight w:val="207"/>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43,915</w:t>
            </w:r>
          </w:p>
        </w:tc>
      </w:tr>
      <w:tr>
        <w:trPr>
          <w:trHeight w:val="212"/>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(5,640)</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investments,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8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145"/>
        </w:trPr>
        <w:tc>
          <w:tcPr>
            <w:tcW w:w="8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benefit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Limoneira Company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17,405,000</w:t>
            </w:r>
          </w:p>
        </w:tc>
      </w:tr>
      <w:tr>
        <w:trPr>
          <w:trHeight w:val="210"/>
        </w:trPr>
        <w:tc>
          <w:tcPr>
            <w:tcW w:w="89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17,448,000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17,405,000</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3"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w:t>
      </w:r>
    </w:p>
    <w:p>
      <w:pPr>
        <w:jc w:val="center"/>
        <w:ind w:left="892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9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Minimum pension liability adjustment, net of tax of $27 and $51 for the three months ended January 31, 2022 and 2021, respectively.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07"/>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2"/>
        </w:trPr>
        <w:tc>
          <w:tcPr>
            <w:tcW w:w="8940" w:type="dxa"/>
            <w:vAlign w:val="bottom"/>
          </w:tcPr>
          <w:p>
            <w:pPr>
              <w:ind w:left="20"/>
              <w:spacing w:after="0"/>
              <w:rPr>
                <w:sz w:val="20"/>
                <w:szCs w:val="20"/>
                <w:color w:val="auto"/>
              </w:rPr>
            </w:pPr>
            <w:r>
              <w:rPr>
                <w:rFonts w:ascii="Arial" w:cs="Arial" w:eastAsia="Arial" w:hAnsi="Arial"/>
                <w:sz w:val="16"/>
                <w:szCs w:val="16"/>
                <w:color w:val="auto"/>
              </w:rPr>
              <w:t>Comprehensive loss attributable to Limoneira Company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r>
      <w:tr>
        <w:trPr>
          <w:trHeight w:val="21"/>
        </w:trPr>
        <w:tc>
          <w:tcPr>
            <w:tcW w:w="8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163,965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(55,362)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17,700,038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17,684,927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5"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(6,606)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(3,916)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(6,115)</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Cultural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receivable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and growers and suppliers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Collection on loan and note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27,632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Principal paid on finance leases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common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 preferred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5"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969</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during the period for income taxes,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Accrued contribution obligation of investment in water company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4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91" w:lineRule="exact"/>
        <w:rPr>
          <w:sz w:val="20"/>
          <w:szCs w:val="20"/>
          <w:color w:val="auto"/>
        </w:rPr>
      </w:pPr>
    </w:p>
    <w:p>
      <w:pPr>
        <w:ind w:right="7680" w:firstLine="8"/>
        <w:spacing w:after="0" w:line="53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Loss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represents all changes in a company’s net assets, except changes resulting from transactions with stockholders. Other comprehensive income or loss primarily includes foreign currency translation items and defined benefit pension items. Accumulated other comprehensive loss is reported as a component of the Company's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comprehensive income by component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ind w:left="500"/>
              <w:spacing w:after="0"/>
              <w:rPr>
                <w:sz w:val="20"/>
                <w:szCs w:val="20"/>
                <w:color w:val="auto"/>
              </w:rPr>
            </w:pPr>
            <w:r>
              <w:rPr>
                <w:rFonts w:ascii="Arial" w:cs="Arial" w:eastAsia="Arial" w:hAnsi="Arial"/>
                <w:sz w:val="16"/>
                <w:szCs w:val="16"/>
                <w:b w:val="1"/>
                <w:bCs w:val="1"/>
                <w:color w:val="auto"/>
                <w:w w:val="94"/>
              </w:rPr>
              <w:t>Three Months Ended January 31,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344"/>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center"/>
              <w:ind w:left="286"/>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ind w:left="324"/>
              <w:spacing w:after="0"/>
              <w:rPr>
                <w:sz w:val="20"/>
                <w:szCs w:val="20"/>
                <w:color w:val="auto"/>
              </w:rPr>
            </w:pPr>
            <w:r>
              <w:rPr>
                <w:rFonts w:ascii="Arial" w:cs="Arial" w:eastAsia="Arial" w:hAnsi="Arial"/>
                <w:sz w:val="14"/>
                <w:szCs w:val="14"/>
                <w:color w:val="auto"/>
                <w:w w:val="96"/>
              </w:rPr>
              <w:t>(27)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center"/>
              <w:ind w:left="246"/>
              <w:spacing w:after="0"/>
              <w:rPr>
                <w:sz w:val="20"/>
                <w:szCs w:val="20"/>
                <w:color w:val="auto"/>
              </w:rPr>
            </w:pPr>
            <w:r>
              <w:rPr>
                <w:rFonts w:ascii="Arial" w:cs="Arial" w:eastAsia="Arial" w:hAnsi="Arial"/>
                <w:sz w:val="14"/>
                <w:szCs w:val="14"/>
                <w:color w:val="auto"/>
                <w:w w:val="96"/>
              </w:rPr>
              <w:t>(51)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color w:val="auto"/>
                <w:w w:val="96"/>
              </w:rPr>
              <w:t>(27)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color w:val="auto"/>
                <w:w w:val="96"/>
              </w:rPr>
              <w:t>(51)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ind w:right="6740" w:firstLine="8"/>
        <w:spacing w:after="0" w:line="534"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Comprehensive Loss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income by component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10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Translation (Loss)</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Pension Plan</w:t>
            </w:r>
          </w:p>
        </w:tc>
        <w:tc>
          <w:tcPr>
            <w:tcW w:w="100" w:type="dxa"/>
            <w:vAlign w:val="bottom"/>
          </w:tcPr>
          <w:p>
            <w:pPr>
              <w:spacing w:after="0"/>
              <w:rPr>
                <w:sz w:val="16"/>
                <w:szCs w:val="16"/>
                <w:color w:val="auto"/>
              </w:rPr>
            </w:pPr>
          </w:p>
        </w:tc>
        <w:tc>
          <w:tcPr>
            <w:tcW w:w="14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Defined Benefit</w:t>
            </w:r>
          </w:p>
        </w:tc>
        <w:tc>
          <w:tcPr>
            <w:tcW w:w="100" w:type="dxa"/>
            <w:vAlign w:val="bottom"/>
          </w:tcPr>
          <w:p>
            <w:pPr>
              <w:spacing w:after="0"/>
              <w:rPr>
                <w:sz w:val="14"/>
                <w:szCs w:val="14"/>
                <w:color w:val="auto"/>
              </w:rPr>
            </w:pP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Translation (Loss)</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 Plan</w:t>
            </w:r>
          </w:p>
        </w:tc>
        <w:tc>
          <w:tcPr>
            <w:tcW w:w="100" w:type="dxa"/>
            <w:vAlign w:val="bottom"/>
          </w:tcPr>
          <w:p>
            <w:pPr>
              <w:spacing w:after="0"/>
              <w:rPr>
                <w:sz w:val="16"/>
                <w:szCs w:val="16"/>
                <w:color w:val="auto"/>
              </w:rPr>
            </w:pP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8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1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is uncertainty around the breadth and duration of the Company's business disruptions related to the COVID-19 pandemic. The decline in demand for the Company's products beginning the second quarter of fiscal year 2020, which it believes was due to the COVID-19 pandemic, negatively impacted its sales and profitability for the last three quarters of fiscal year 2020, all of fiscal year 2021, and the first quarter of fiscal year 2022. The Company also expects COVID-19 to have some impact to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2022 and beyond, is driven by estimates that contain uncertainties.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adopted this ASU effective November 1, 2021 and the adoption did not have a material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Concentrations of credit risk with respect to revenues and trade receivable are limited due to a large, diverse customer base. Two individual customers represented 15% and 12% of revenue, respectively, for the three months ended January 31, 2022. One individual customer represented 23% of revenues for the three months ended January 31, 2021. One individual customer represented 12% of accounts receivable, net as of January 31, 2022. No individual customer represented more than 10% of accounts receivable, net as of October 31, 2021.</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Lemons procured from third-party growers were 57% and 48% of the Company's lemon supply for the three months ended January 31, 2022 and 2021, respectively. One third-party grower was 20% and 26% of the lemon supply for the three months ended January 31, 2022 and 2021,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2022 and 2021, the Company had approximately $208,000 and $1,027,000, respectively, of total sales in Chile by Fruticola Pan de Azucar S.A. ("PDA") and Agricola San Pablo SpA ("San Pablo"). During the three months ended January 31, 2022 and 2021, the Company had approximately $147,000 and $1,671,000, respectively, of total sales in Argentina by Trapani Fresh.</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Aggregate foreign exchange transaction losses realized for our foreign subsidiaries were immaterial for the three months ended January 31, 2022 and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29"/>
        </w:trPr>
        <w:tc>
          <w:tcPr>
            <w:tcW w:w="8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Note receivable and related interest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development held for sale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Sales tax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supplier advances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23"/>
        </w:trPr>
        <w:tc>
          <w:tcPr>
            <w:tcW w:w="8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10,709</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30"/>
        </w:trPr>
        <w:tc>
          <w:tcPr>
            <w:tcW w:w="8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 Area I - Retained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East Area II</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w:t>
            </w: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in LLCB to Lewis for $20,000,000.</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$5,771,000 at January 31, 2022 and October 31, 2021, which is included in payables to related parties.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LLCB entered into a $45,000,000 unsecured Line of Credit Loan Agreement and Promissory Note (the “Loan”) with Bank of America, N.A. to fund early development activities. The Loan, as modified and extended, matures February 22, 2023. The interest rate on the Loan is LIBOR plus 2.85% and is payable monthly. The Loan contains certain customary default provisions and LLCB may prepay any amounts outstanding under the Loan without penalty. The joint venture had an outstanding balance of $4,900,000 as of January 31, 2022. The Loan has a one year extension option through February 22, 2024 subject to terms and conditions as defined in the agreement, with the maximum borrowing amount reduced to $35,000,000 during the extension period.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and certain principals from Lewis guaranteed the obligations under the Loan. The guarantee shall continue in effect until all of the Loan obligations are fully paid and the guarantors are jointly and severally liable for all Loan obligations in the event of default by LLCB.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the joint venture.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2022, the joint venture has closed the sales of the initial residential lots representing 586 residential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remaining real estate development parcel within the Templeton Santa Barbara, LLC project is described as Sevilla. In fiscal year 2020, the Company entered into an agreement to sell its Sevilla property for $2,700,000, which is expected to close in the third quarter of fiscal year 2022. After transaction and other costs, the Company expects to receive cash proceeds of approximately $2,550,000 and recognize an immaterial gain upon closing. At January 31, 2022 and October 31, 2021, the $2,543,000 carrying value of the property was classified as held for sale and included in prepaid expenses and other current assets.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has been periodically extended with principal payments totaling $400,000 received through October 31, 2021. In November 2021, the promissory note was further extended to June 30, 2022 upon making a principal paydown of $250,000, which was paid in November 2021, and revising the interest rate to 4.00% per annum, with an option to further extend the maturity date of the promissory note to September 30, 2022 upon making an additional principal paydown of $250,000 by May 31, 2022. At January 31, 2022, the net carrying value of the note was $2,350,000 and classified in prepaid expenses and other current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30"/>
        </w:trPr>
        <w:tc>
          <w:tcPr>
            <w:tcW w:w="8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60,216</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Limco Del Mar, Ltd.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Romney Property Partnership</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48"/>
        </w:trPr>
        <w:tc>
          <w:tcPr>
            <w:tcW w:w="8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due from Rosales were $669,000 and $1,570,000 at January 31, 2022 and October 31, 2021, respectively, and are included in receivables/other from related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three months ended January 31, 2022 and 2021, this threshold was not met for any of the Company's equity investments and thus summarized income statement information is not required in this Quarterly Report on Form 10-Q.</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9380" w:type="dxa"/>
            <w:vAlign w:val="bottom"/>
          </w:tcPr>
          <w:p>
            <w:pPr>
              <w:ind w:left="4400"/>
              <w:spacing w:after="0"/>
              <w:rPr>
                <w:sz w:val="20"/>
                <w:szCs w:val="20"/>
                <w:color w:val="auto"/>
              </w:rPr>
            </w:pPr>
            <w:r>
              <w:rPr>
                <w:rFonts w:ascii="Arial" w:cs="Arial" w:eastAsia="Arial" w:hAnsi="Arial"/>
                <w:sz w:val="22"/>
                <w:szCs w:val="22"/>
                <w:b w:val="1"/>
                <w:bCs w:val="1"/>
                <w:color w:val="auto"/>
              </w:rPr>
              <w:t>LIMONEIRA COMPANY</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0"/>
        </w:trPr>
        <w:tc>
          <w:tcPr>
            <w:tcW w:w="9380" w:type="dxa"/>
            <w:vAlign w:val="bottom"/>
          </w:tcPr>
          <w:p>
            <w:pPr>
              <w:ind w:left="2160"/>
              <w:spacing w:after="0"/>
              <w:rPr>
                <w:sz w:val="20"/>
                <w:szCs w:val="20"/>
                <w:color w:val="auto"/>
              </w:rPr>
            </w:pPr>
            <w:r>
              <w:rPr>
                <w:rFonts w:ascii="Arial" w:cs="Arial" w:eastAsia="Arial" w:hAnsi="Arial"/>
                <w:sz w:val="18"/>
                <w:szCs w:val="18"/>
                <w:color w:val="auto"/>
              </w:rPr>
              <w:t>NOTES TO CONSOLIDATED FINANCIAL STATEMENTS (UNAUDITED) (CONTINUED)</w:t>
            </w: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581"/>
        </w:trPr>
        <w:tc>
          <w:tcPr>
            <w:tcW w:w="9380" w:type="dxa"/>
            <w:vAlign w:val="bottom"/>
          </w:tcPr>
          <w:p>
            <w:pPr>
              <w:spacing w:after="0"/>
              <w:rPr>
                <w:sz w:val="20"/>
                <w:szCs w:val="20"/>
                <w:color w:val="auto"/>
              </w:rPr>
            </w:pPr>
            <w:r>
              <w:rPr>
                <w:rFonts w:ascii="Arial" w:cs="Arial" w:eastAsia="Arial" w:hAnsi="Arial"/>
                <w:sz w:val="18"/>
                <w:szCs w:val="18"/>
                <w:b w:val="1"/>
                <w:bCs w:val="1"/>
                <w:color w:val="auto"/>
              </w:rPr>
              <w:t>7. Goodwill and Intangible Assets, Net</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938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9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5"/>
              </w:rPr>
              <w:t>Goodwill Carrying</w:t>
            </w:r>
          </w:p>
        </w:tc>
      </w:tr>
      <w:tr>
        <w:trPr>
          <w:trHeight w:val="229"/>
        </w:trPr>
        <w:tc>
          <w:tcPr>
            <w:tcW w:w="9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January 31,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January 31, 2022</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Useful Life in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Useful Life in</w:t>
            </w: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Indefinite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$181,000 and $263,000 for the three months ended January 31, 2022 and 2021, respectively. Estimated future amortization expense of intangible assets as of January 31, 2022 is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 (excluding the three months ended January 31, 2022)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23"/>
        </w:trPr>
        <w:tc>
          <w:tcPr>
            <w:tcW w:w="99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0"/>
        </w:trPr>
        <w:tc>
          <w:tcPr>
            <w:tcW w:w="9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As of January 31, 2022 and October 31, 2021, $6,454,000 and $5,994,000, respectively, were included in other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30"/>
        </w:trPr>
        <w:tc>
          <w:tcPr>
            <w:tcW w:w="8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Leases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23"/>
        </w:trPr>
        <w:tc>
          <w:tcPr>
            <w:tcW w:w="8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6"/>
        </w:trPr>
        <w:tc>
          <w:tcPr>
            <w:tcW w:w="8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Farm Credit West revolving and non-revolving lines of credit: the interest rate of the revolving line of credit is</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variable based on the one-month London Interbank Offered Rate (“LIBOR”), which was 0.10% at January 31, 2022,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plus 1.85%. The interest rate for the $40.0 million outstanding balance of the non-revolving line of credit is fixed at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4.77% through July 1, 2022, 3.57% through July 1, 2025 and variable thereafter. Interest is payable monthly and the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113,845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111,293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is due in full on July 1, 2026.</w:t>
            </w: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5"/>
              </w:rPr>
              <w:t>Farm Credit West revolving equity line of credit: the interest rate is variable based on the Lender's variable interest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3"/>
              </w:rPr>
              <w:t>rate plan, which was 2.50% at January 31, 2022. The loan is payable in interest-only monthly payments through April</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2023 and monthly principal and interest payments thereafter, through February 2043.</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Farm Credit West term loan: Effective July 1, 2020, the interest rate was fixed at 2.48%. The loan is payable in</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installments through November 2022.</w:t>
            </w: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8"/>
              </w:rPr>
              <w:t>Farm Credit West term loan: Effective July 1, 2020, the interest rate was fixed at 3.24%. The loan is payable in</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monthly installments through October 2035.</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Farm Credit West term loan: Effective July 1, 2020, the interest rate was fixed at 3.24%. The loan is payable in</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installments through March 2036.</w:t>
            </w: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4"/>
              </w:rPr>
              <w:t>Farm Credit West term loan: Effective July 1, 2020 the interest rate was fixed at 2.77% until July 1, 2025, becoming</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variable for the remainder of the loan. The loan is payable in monthly installments through March 2036.</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Farm Credit West term loan: Effective August 2, 2021, the interest rate was fixed at 3.19%. The loan is payable in</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installments through September 2026.</w:t>
            </w: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 through</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January 2025.</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Note Payable: the interest rate ranges from 5.00% to 7.00% and was 6.50% at January 31, 2022. The loan includes</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only monthly payments and principal is due in February 2023.</w:t>
            </w: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2"/>
              </w:rPr>
              <w:t>Banco de Chile COVID-19 loans: The interest rates are fixed at 3.48%. The loans are payable in monthly installments</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through September 2024.</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Banco de Chile COVID-19 loans: The interest rates are fixed at 3.48% and 4.26%. The loans are payable in monthly</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installments through September 2026.</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7"/>
                <w:szCs w:val="17"/>
                <w:color w:val="auto"/>
              </w:rPr>
              <w:t>Subtotal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132,956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7"/>
                <w:szCs w:val="17"/>
                <w:color w:val="auto"/>
              </w:rPr>
              <w:t>Total long-term debt,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132,825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2021, the Company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Supplements and RELOC provide aggregate borrowing capacity of $130,000,000 comprised of $75,000,000 under the Revolving Credit Supplement, $40,000,000 under the Non-Revolving Credit Supplement and $15,000,000 under the RELOC.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2022 the Company's outstanding borrowings under the Supplements and RELOC were $123,775,000 and it had $6,225,000 available to borrow. For amounts outstanding under both Supplements and RELOC, interest will begin to be charged on the date the Lender disburses principal and will continue until the outstanding indebtedness under the Supplements is paid in full with interest.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interest rate in effect under the Revolving Credit Supplement automatically adjusted commencing July 1, 2021 and on the first day of each month thereafter. The interest rate for any amount outstanding under the Revolving Credit Supplement will be based on the one-month LIBOR rate plus or minus an applicable margin. The applicable margin will range from 1.75% to 2.35% depending on the ratio of current assets, plus the remaining available commitment divided by current liabilities. On July 1, 2022, and on each one-year anniversary thereafter, the Company has the option to convert the interest rate in use under the Revolving Credit Supplement from the preceding LIBOR-based calculation to a variable interest rate. Any amounts outstanding under the Revolving Credit Supplement will be due and payable in full on July 1, 2026. The Company may prepay any amounts outstanding under the Revolving Credit Supplement without penalty.</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initial interest rate in effect under the Non-Revolving Credit Supplement was a fixed interest rate of 4.77% through July 1, 2022 and then will convert to a fixed interest rate of 3.57% per year until July 1, 2025 (the “Fixed Rate Term”). Thereafter, the interest rate will convert to a variable interest rate established by the Lender corresponding to the applicable interest rate group. Any amount outstanding under the Non-Revolving Credit Supplement is due and payable in full on July 1, 2026.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interest rate in effect under the RELOC is a variable interest rate established by the Lender corresponding to the applicable interest rate group, which was 2.50% as of January 31, 2022. The interest rate may be adjusted automatically under the provisions of the Lender's variable interest rate plan. Any amount outstanding under the RELOC is due and payable in full on February 1, 2043. The Company may prepay any amounts outstanding under the RELOC without penalty.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indebtedness under the MLA and RELOC, including any indebtedness under the Supplements, is secured by a first lien on Company-owned stock or participation certificates, Company funds maintained with the Lender, the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 when measured at October 31, 2022 and annually thereafter.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2021, the Lender declared an annual cash patronage dividend of 1.25% of average eligible loan balances. The Company accrued the $1,575,000 dividend receivable in prepaid expenses and other current assets at January 31, 2022, which was received in the second quarter of fiscal year 2022. In December 2020, Farm Credit West declared an annual cash patronage dividend of 1.50% of average eligible loan balances. The Company accrued the $1,170,000 dividend receivable in prepaid expenses and other current assets at January 31, 2021, which was received in the second quarter of fiscal year 2021.</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zero during the three months ended January 31, 2022 and 2021, respectively. Capitalized interest is included in property, plant and equipment and real estate development assets in the Company’s consolidated balance sheets.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21 years, with various renewal terms available. All of the residential rentals have month to month lease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277"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Three Months Ended</w:t>
      </w:r>
    </w:p>
    <w:p>
      <w:pPr>
        <w:jc w:val="center"/>
        <w:ind w:left="850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and farming equipment with remaining lease terms ranging from one to 16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costs were $123,000 and $142,000 for the three months ended January 31, 2022 and 2021, respectively, which are primarily included in agribusiness costs and expenses in the Company’s consolidated statements of operations. Finance lease costs and variable and short term lease costs were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4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4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 and payables to related parties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Current finance lease liabilities</w:t>
            </w: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finance lease liabilities</w:t>
            </w:r>
          </w:p>
        </w:tc>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277"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Three Months Ended</w:t>
      </w:r>
    </w:p>
    <w:p>
      <w:pPr>
        <w:jc w:val="center"/>
        <w:ind w:left="850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0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from finance leases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Financing cash outflows from finance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Loss per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unvested, restricted stock and conversion of preferred stock. The computations for basic and diluted net loss per common share are as follows (in thousands, except per share amounts):</w:t>
      </w:r>
    </w:p>
    <w:p>
      <w:pPr>
        <w:spacing w:after="0" w:line="7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jc w:val="center"/>
        <w:ind w:left="816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restricted stock</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Numerator: Net loss for basic EPS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Basic net loss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1"/>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8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per common share: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loss for basic EPS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(4,351)</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loss for diluted EPS</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Diluted net loss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8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Diluted net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months ended January 31, 2022. The Company excluded 226,000, unvested, restricted shares, as calculated under the treasury stock method, from its computation of diluted net loss per common share for the three months ended January 31, 2021.</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transactions with equity method investments and various related-parties summarized in Note 6 - Equity in Investments and in the tables below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3"/>
                <w:szCs w:val="13"/>
                <w:b w:val="1"/>
                <w:bCs w:val="1"/>
                <w:color w:val="auto"/>
                <w:w w:val="88"/>
              </w:rPr>
              <w:t>January 31, 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6"/>
              </w:rPr>
              <w:t>October 31, 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3"/>
                <w:szCs w:val="13"/>
                <w:b w:val="1"/>
                <w:bCs w:val="1"/>
                <w:color w:val="auto"/>
                <w:w w:val="83"/>
              </w:rPr>
              <w:t>Balance Sheet</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3"/>
              </w:rPr>
              <w:t>Balance Sheet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880" w:type="dxa"/>
            <w:vAlign w:val="bottom"/>
            <w:gridSpan w:val="2"/>
            <w:vMerge w:val="restart"/>
          </w:tcPr>
          <w:p>
            <w:pPr>
              <w:ind w:left="1000"/>
              <w:spacing w:after="0"/>
              <w:rPr>
                <w:sz w:val="20"/>
                <w:szCs w:val="20"/>
                <w:color w:val="auto"/>
              </w:rPr>
            </w:pPr>
            <w:r>
              <w:rPr>
                <w:rFonts w:ascii="Arial" w:cs="Arial" w:eastAsia="Arial" w:hAnsi="Arial"/>
                <w:sz w:val="13"/>
                <w:szCs w:val="13"/>
                <w:b w:val="1"/>
                <w:bCs w:val="1"/>
                <w:color w:val="auto"/>
              </w:rPr>
              <w:t>Related-Party</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Assets</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1"/>
              </w:rPr>
              <w:t>Other Assets</w:t>
            </w: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432</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Cooperative association</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Cadiz / Fenner / WAM</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1,386</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4,171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980</w:t>
            </w:r>
          </w:p>
        </w:tc>
        <w:tc>
          <w:tcPr>
            <w:tcW w:w="1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1,300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4,598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980</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LLCB</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175" w:lineRule="exact"/>
        <w:rPr>
          <w:sz w:val="20"/>
          <w:szCs w:val="20"/>
          <w:color w:val="auto"/>
        </w:rPr>
      </w:pPr>
    </w:p>
    <w:p>
      <w:pPr>
        <w:ind w:left="4360"/>
        <w:spacing w:after="0"/>
        <w:rPr>
          <w:sz w:val="20"/>
          <w:szCs w:val="20"/>
          <w:color w:val="auto"/>
        </w:rPr>
      </w:pPr>
      <w:r>
        <w:rPr>
          <w:rFonts w:ascii="Arial" w:cs="Arial" w:eastAsia="Arial" w:hAnsi="Arial"/>
          <w:sz w:val="10"/>
          <w:szCs w:val="10"/>
          <w:b w:val="1"/>
          <w:bCs w:val="1"/>
          <w:color w:val="auto"/>
        </w:rPr>
        <w:t>Three Months Ended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41275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860" w:firstLine="363"/>
        <w:spacing w:after="0" w:line="389" w:lineRule="auto"/>
        <w:rPr>
          <w:sz w:val="20"/>
          <w:szCs w:val="20"/>
          <w:color w:val="auto"/>
        </w:rPr>
      </w:pPr>
      <w:r>
        <w:rPr>
          <w:rFonts w:ascii="Arial" w:cs="Arial" w:eastAsia="Arial" w:hAnsi="Arial"/>
          <w:sz w:val="10"/>
          <w:szCs w:val="10"/>
          <w:b w:val="1"/>
          <w:bCs w:val="1"/>
          <w:color w:val="auto"/>
        </w:rPr>
        <w:t>Three Months Ended January 31, 2021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-121920</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00" w:space="720"/>
            <w:col w:w="332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w w:val="93"/>
              </w:rPr>
              <w:t>Net Revenue</w:t>
            </w: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89"/>
              </w:rPr>
              <w:t>Agribusiness</w:t>
            </w:r>
          </w:p>
        </w:tc>
        <w:tc>
          <w:tcPr>
            <w:tcW w:w="100" w:type="dxa"/>
            <w:vAlign w:val="bottom"/>
          </w:tcPr>
          <w:p>
            <w:pPr>
              <w:spacing w:after="0"/>
              <w:rPr>
                <w:sz w:val="9"/>
                <w:szCs w:val="9"/>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Dividends</w:t>
            </w: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w w:val="93"/>
              </w:rPr>
              <w:t>Net Revenue</w:t>
            </w: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2"/>
              </w:rPr>
              <w:t>Agribusiness</w:t>
            </w:r>
          </w:p>
        </w:tc>
        <w:tc>
          <w:tcPr>
            <w:tcW w:w="80" w:type="dxa"/>
            <w:vAlign w:val="bottom"/>
          </w:tcPr>
          <w:p>
            <w:pPr>
              <w:spacing w:after="0"/>
              <w:rPr>
                <w:sz w:val="9"/>
                <w:szCs w:val="9"/>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3040" w:type="dxa"/>
            <w:vAlign w:val="bottom"/>
            <w:gridSpan w:val="2"/>
            <w:vMerge w:val="restart"/>
          </w:tcPr>
          <w:p>
            <w:pPr>
              <w:ind w:left="1080"/>
              <w:spacing w:after="0"/>
              <w:rPr>
                <w:sz w:val="20"/>
                <w:szCs w:val="20"/>
                <w:color w:val="auto"/>
              </w:rPr>
            </w:pPr>
            <w:r>
              <w:rPr>
                <w:rFonts w:ascii="Arial" w:cs="Arial" w:eastAsia="Arial" w:hAnsi="Arial"/>
                <w:sz w:val="13"/>
                <w:szCs w:val="13"/>
                <w:b w:val="1"/>
                <w:bCs w:val="1"/>
                <w:color w:val="auto"/>
              </w:rPr>
              <w:t>Related-Party</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Expense and</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Paid</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YMIDD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304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1,671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20" w:firstLine="8"/>
        <w:spacing w:after="0" w:line="227" w:lineRule="auto"/>
        <w:tabs>
          <w:tab w:leader="none" w:pos="20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January 31, 2022 or October 31, 2021.</w:t>
      </w:r>
    </w:p>
    <w:p>
      <w:pPr>
        <w:spacing w:after="0" w:line="229"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refer to Note 8 - Other Assets. The Company recorded capital contributions, purchased water and water delivery services and had water payments due to the mutual water companies.</w:t>
      </w:r>
    </w:p>
    <w:p>
      <w:pPr>
        <w:spacing w:after="0" w:line="229"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01" w:lineRule="exact"/>
        <w:rPr>
          <w:rFonts w:ascii="Arial" w:cs="Arial" w:eastAsia="Arial" w:hAnsi="Arial"/>
          <w:sz w:val="21"/>
          <w:szCs w:val="21"/>
          <w:color w:val="auto"/>
          <w:vertAlign w:val="superscript"/>
        </w:rPr>
      </w:pPr>
    </w:p>
    <w:p>
      <w:pPr>
        <w:ind w:firstLine="8"/>
        <w:spacing w:after="0" w:line="267" w:lineRule="auto"/>
        <w:tabs>
          <w:tab w:leader="none" w:pos="18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Calavo - Through January 2022, the Company had representation on the board of directors of Calavo. Calavo owns common stock of the Company and the Company pays dividends on such common stock to Calavo. Additionally, the Company leases office space to Calavo.</w:t>
      </w:r>
    </w:p>
    <w:p>
      <w:pPr>
        <w:spacing w:after="0" w:line="201" w:lineRule="exact"/>
        <w:rPr>
          <w:rFonts w:ascii="Arial" w:cs="Arial" w:eastAsia="Arial" w:hAnsi="Arial"/>
          <w:sz w:val="21"/>
          <w:szCs w:val="21"/>
          <w:color w:val="auto"/>
          <w:vertAlign w:val="superscript"/>
        </w:rPr>
      </w:pPr>
    </w:p>
    <w:p>
      <w:pPr>
        <w:jc w:val="both"/>
        <w:ind w:firstLine="8"/>
        <w:spacing w:after="0" w:line="277" w:lineRule="auto"/>
        <w:tabs>
          <w:tab w:leader="none" w:pos="18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affiliate of WAM is the holder of 9,300 shares of the Company's Series B-2 convertible preferred stock. Upon the adoption of ASC 842, the Company recorded a right-of-use, or ROU asset and corresponding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56" w:lineRule="exact"/>
        <w:rPr>
          <w:sz w:val="20"/>
          <w:szCs w:val="20"/>
          <w:color w:val="auto"/>
        </w:rPr>
      </w:pPr>
    </w:p>
    <w:p>
      <w:pPr>
        <w:jc w:val="both"/>
        <w:ind w:firstLine="8"/>
        <w:spacing w:after="0" w:line="269" w:lineRule="auto"/>
        <w:tabs>
          <w:tab w:leader="none" w:pos="182"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207" w:lineRule="exact"/>
        <w:rPr>
          <w:rFonts w:ascii="Arial" w:cs="Arial" w:eastAsia="Arial" w:hAnsi="Arial"/>
          <w:sz w:val="21"/>
          <w:szCs w:val="21"/>
          <w:color w:val="auto"/>
          <w:vertAlign w:val="superscript"/>
        </w:rPr>
      </w:pPr>
    </w:p>
    <w:p>
      <w:pPr>
        <w:ind w:firstLine="8"/>
        <w:spacing w:after="0" w:line="227" w:lineRule="auto"/>
        <w:tabs>
          <w:tab w:leader="none" w:pos="21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immaterial amounts payable to them for such purchases.</w:t>
      </w:r>
    </w:p>
    <w:p>
      <w:pPr>
        <w:spacing w:after="0" w:line="229" w:lineRule="exact"/>
        <w:rPr>
          <w:rFonts w:ascii="Arial" w:cs="Arial" w:eastAsia="Arial" w:hAnsi="Arial"/>
          <w:sz w:val="23"/>
          <w:szCs w:val="23"/>
          <w:color w:val="auto"/>
          <w:vertAlign w:val="superscript"/>
        </w:rPr>
      </w:pPr>
    </w:p>
    <w:p>
      <w:pPr>
        <w:jc w:val="both"/>
        <w:ind w:firstLine="8"/>
        <w:spacing w:after="0" w:line="275" w:lineRule="auto"/>
        <w:tabs>
          <w:tab w:leader="none" w:pos="18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Effective March 1, 2021, Trapani Fresh sells the lemons it grows to FGF, who packs, markets, and sells the fruit to its customers. The Company also records revenue related to the licensing of intangible assets to FGF.</w:t>
      </w:r>
    </w:p>
    <w:p>
      <w:pPr>
        <w:spacing w:after="0" w:line="19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228" w:lineRule="exact"/>
        <w:rPr>
          <w:rFonts w:ascii="Arial" w:cs="Arial" w:eastAsia="Arial" w:hAnsi="Arial"/>
          <w:sz w:val="21"/>
          <w:szCs w:val="21"/>
          <w:color w:val="auto"/>
          <w:vertAlign w:val="superscript"/>
        </w:rPr>
      </w:pPr>
    </w:p>
    <w:p>
      <w:pPr>
        <w:ind w:firstLine="8"/>
        <w:spacing w:after="0" w:line="282" w:lineRule="auto"/>
        <w:tabs>
          <w:tab w:leader="none" w:pos="247"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Freska - A member of the Company's board of directors is a majority shareholder of Freska Produce International, LLC ("Freska"). The Company had no avocado sales to Freska during the three months ended January 31, 2022 or 2021.</w:t>
      </w:r>
    </w:p>
    <w:p>
      <w:pPr>
        <w:spacing w:after="0" w:line="188" w:lineRule="exact"/>
        <w:rPr>
          <w:rFonts w:ascii="Arial" w:cs="Arial" w:eastAsia="Arial" w:hAnsi="Arial"/>
          <w:sz w:val="20"/>
          <w:szCs w:val="20"/>
          <w:color w:val="auto"/>
          <w:vertAlign w:val="superscript"/>
        </w:rPr>
      </w:pPr>
    </w:p>
    <w:p>
      <w:pPr>
        <w:ind w:right="20" w:firstLine="8"/>
        <w:spacing w:after="0" w:line="282" w:lineRule="auto"/>
        <w:tabs>
          <w:tab w:leader="none" w:pos="248"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Third party growers - A member of the Company's board of directors markets lemons through the Company. The Company had payments due to the member for such lemon procurement.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for the three months ended January 31, 2022 was higher than the federal statutory tax rate of 21% mainly due to foreign jurisdictions which are taxed at different rates, state taxes, tax impact of stock-based compensation, and nondeductible tax items. The Company has no material uncertain tax positions as of January 31, 2022. The Company recognizes interest expense and penalties related to income tax matters as a component of income tax expense. There was no accrued interest or penalties associated with uncertain tax positions as of January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 In fiscal year 2021, the Company terminated the Plan effective December 31, 2021.</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was funded consistent with the funding requirements of federal law and regulations. There were no funding contributions during the three months ended January 31, 2022 and 2021. Plan assets are invested in a group trust consisting primarily of pooled funds, mutual funds, short-term investment funds and cash.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months ended January 31, 2022 and 2021 were as follows (in thousands):</w:t>
      </w:r>
    </w:p>
    <w:p>
      <w:pPr>
        <w:spacing w:after="0" w:line="4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8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lawsuit, initiated on March 27, 2018, against Southern California Edison in Superior Court of the State of California, County of Los Angeles whereby the Company is claiming unspecified damages, attorneys' fees and other costs, as a result from the Thomas Fire in fiscal year 2018. While the outcome of this lawsuit is uncertain, the Company believes its claim for damages is valid.</w:t>
      </w:r>
    </w:p>
    <w:p>
      <w:pPr>
        <w:spacing w:after="0" w:line="207" w:lineRule="exact"/>
        <w:rPr>
          <w:sz w:val="20"/>
          <w:szCs w:val="20"/>
          <w:color w:val="auto"/>
        </w:rPr>
      </w:pPr>
    </w:p>
    <w:p>
      <w:pPr>
        <w:ind w:right="7320" w:firstLine="8"/>
        <w:spacing w:after="0" w:line="534"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restricted stock grants are made to management each December under the Stock Plan based on the achievement of certain annual financial performance and other criteria achieved during the previous fiscal year (“Performance Awards”). The Performance Awards are based on a percentage of the employee’s base salary divided by the stock price on the grant date once the performance criteria has been met, and generally vest over a two-year period as service is provided. There were no Performance Awards granted for fiscal year 2021 because the financial performance and other criteria were not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restricted stock grants are made to key executives under the Stock Plan (“Executive Awards”). These grants generally vest over a three to five-year period as service is provided. During December 2021, the Company granted 70,000 shares of common stock with a per share price of $14.96 to key executives under the Stock Plan, of which 15,000 shares were forfeited on February 1, 2022 pursuant to a key executive's severance agreement. The related compensation expense of approximately $823,000 will be recognized equally over the next three years as the shares vest.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 annual basis, the Company generally issues shares of common stock that vest upon grant to non-employee directors under the Stock Plan (“Director Awards”). During January 2021, 27,815 shares of common stock were granted as Director Awards. The Company recognized $469,000 of stock-based compensation to non-employee directors during the three months ended January 31,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2022 and 2021, respectively, members of management exchanged 55,362 and 46,993 shares of common stock with fair values of $900,000 and $701,000, at the date of the exchanges, for the payment of payroll taxes associated with the vesting of shares under the Company’s stock-based compensation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2021, the Company's Board of Directors approved a share repurchase program authorizing the Company to repurchase up to $10,000,000 of its outstanding shares of common stock through September 2022; no shares have been repurchased under this program.</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consisted of oranges of $873,000 and specialty citrus and other crops of $876,000 for the three months ended January 31, 2022. Other agribusiness revenues consisted of oranges of $1,091,000 and specialty citrus and other crops of $1,849,000 for the three months ended January 31, 2021.</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and suppliers. Intersegment revenues represent packing revenues related to lemons grown on the Company’s orchards.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2022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920" w:type="dxa"/>
            <w:vAlign w:val="bottom"/>
          </w:tcPr>
          <w:p>
            <w:pPr>
              <w:jc w:val="right"/>
              <w:ind w:right="269"/>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90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39,274</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6,589</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12,557</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39,274</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32,161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10,556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39,059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7,293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46,352</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(2,561)</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(9,558)</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2021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Avocados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29,507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9,531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(6,685)</w:t>
            </w:r>
          </w:p>
        </w:tc>
        <w:tc>
          <w:tcPr>
            <w:tcW w:w="7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34,726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6,688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41,414</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evaluated events subsequent to January 31, 2022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6,100 acres of lemons, 800 acres of avocados, 1,000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market and sell citrus directly to our food service, wholesale and retail customers throughout the United States, Canada, Asia, Australia, Europe and certain other international markets. We are one of the largest growers of lemons and avocados in the United States. In fiscal year 2021, we sold a majority of our avocados to Calavo. Additionally, we sell our pistachios to a roaster, packager and marketer of nuts, and our wine grapes to various wine producers.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has experienced below average precipitation since 2018. According to the U.S. Drought Monitor, Ventura County was experiencing moderate drought conditions and Tulare and San Bernardino Counties were experiencing severe drought conditions as of January 31, 2022. In October 2021, the California Governor declared a drought state of emergency statewide. Federal officials who oversee the Central Valley Project, California’s largest water delivery system, allocated 5% of the contracted amount of water to San Joaquin Valley farmers in 2021 compared to 100% in 2017 through 2020. We are assessing the impact these reductions may have on our California orchards.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the U.S. Bureau of Reclamation declared a Level 1 Shortage Condition at Lake Mead in the Lower Colorado River Basin for the first time ever, requiring shortage reductions and water savings contributions for states in the southwest. Beginning January 1, 2022, Arizona experienced water releases from Lake Mead reduced by approximately 18% of the state’s annual apportionment. We are assessing the impact these reductions may have on our Arizona orchards.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equal partners in a joint venture with The Lewis Group of Companies (“Lewis”) for the residential development of our East Area I real estate development project and formed Limoneira Lewis Community Builders, LLC ("LLCB") as the development entity. LLCB has closed on lot sales representing 586 units from inception through January 31, 2022. For further information see Note 5 – Real Estate Development of the notes to consolidated financial statements included in this Quarterly Report on Form 10-Q.</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September 2021, we signed a Memorandum of Understanding with Wileman Bros. &amp; Elliott, Inc. ("Wileman"), to form an alliance to sell their combined citrus volumes under Limoneira's One World of Citrus trademark. Wileman is a 95-year-old citrus business located in California’s Central Valley with a focus on oranges, mandarins and specialty citrus. Effective November 1, 2021, our oranges and certain specialty citrus will be packed by Wileman.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February 2022, we terminated our Avocado Marketing Agreement and the associated Letter Agreement Regarding Fruit Commitment with Calavo to pursue opportunities with other packing and marketing companies.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January 2022, we were notified of Alex M. Teague’s decision to retire as Senior Vice President and Chief Operating Officer of our Company, effective February 1, 2022. In connection with his retirement, we entered into a separation agreement with Mr. Teague whereas, (i) Mr. Teague will be paid one year of his annual base salary, which shall be paid in one lump sum within ninety (90) business days of January 12, 2022; (ii) twenty-three thousand nine hundred ninety-nine (23,999) shares of our common stock granted to Mr. Teague pursuant to the Limoneira Company Omnibus Incentive Plan shall fully vest; and (iii) Mr. Teague will receive certain other benefits as set forth in the agreement. As of January 31, 2022, we accrued $0.4 million cash severance and $0.3 million accelerated vesting of stock-based compensation.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14, 2021, we declared a cash dividend of $0.075 per common share paid on January 14, 2022, in the aggregate amount of $1.3 million to stockholders of record as of December 27,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has had an adverse impact on the industries and markets in which we conduct business. In particular, the United States lemon market has seen a significant decline in volume, with lemon demand falling since widespread shelter in place orders were issued in mid-March 2020, resulting in a significant market oversupply. The export market for fresh product has also significantly declined due to the COVID-19 pandemic impacts. As of January 31, 2022, the demand within both markets is recovering but has not yet returned to pre-pandemic levels.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demand for our products beginning the second quarter of fiscal year 2020, which we believe was due to the COVID-19 pandemic, negatively impacted our sales and profitability for the last three quarters of fiscal year 2020, all of fiscal year 2021, and the first quarter of fiscal year 2022. We also expect material adverse impacts on our sales and profitability in future periods. The duration of these trends and the magnitude of such impacts cannot be estimated at this time, as they are influenced by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number of factors, many of which are outside management’s control, including, but not limited, to those presented in Item 1A Risk Factors of our Annual Report on Form 10-K for the year ended October 31, 2021. Notwithstanding the adverse impacts and subject to unforeseen changes that may arise as the COVID-19 pandemic continues, we currently expect improvement in fiscal year 2022 compared to fiscal year 2021.</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two years, we have taken actions to improve our current liquidity position, including temporarily postponing capital expenditures, selling equity securities to increase cash, reducing operating costs, and substantially reducing discretionary spending.</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are considered an essential business, there is significant uncertainty around the breadth and duration of our business disruptions related to the COVID-19 pandemic, as well as its impact on the U.S. economy, the ongoing business operations of our customers and our results of operations and financial condition. Our management team is actively monitoring the impacts of the COVID-19 pandemic and may take further actions altering our business operations that we determine are in the best interests of our employees and customers or as required by federal, state, or local authorities. The full impact of the COVID-19 pandemic on our results of operations, financial condition, or liquidity for fiscal year 2022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7980" w:type="dxa"/>
            <w:vAlign w:val="bottom"/>
          </w:tcPr>
          <w:p>
            <w:pPr>
              <w:spacing w:after="0"/>
              <w:rPr>
                <w:sz w:val="22"/>
                <w:szCs w:val="22"/>
                <w:color w:val="auto"/>
              </w:rPr>
            </w:pPr>
          </w:p>
        </w:tc>
        <w:tc>
          <w:tcPr>
            <w:tcW w:w="32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38,083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37,137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39,274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38,275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41,244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36,938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Gain on disposal of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48,832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43,915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Gain on disposal of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 in earnings of investments, net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named executive officer severance and gain on disposal of assets,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EBITDA</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(6,924)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Named executive officer severance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disposal of assets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2022 Compared to the Three Months Ended January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revenues for the three months ended January 31, 2022 were $39.3 million compared to $38.3 million for the three months ended January 31, 2021. The 3% increase of $1.0 million was primarily the result of increased lemons and avocados agribusiness revenues, partially offset by decreased specialty citrus and other crops agribusiness revenues, as detailed below ($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tcBorders>
              <w:bottom w:val="single" w:sz="8" w:color="auto"/>
            </w:tcBorders>
            <w:gridSpan w:val="9"/>
          </w:tcPr>
          <w:p>
            <w:pPr>
              <w:ind w:left="1000"/>
              <w:spacing w:after="0"/>
              <w:rPr>
                <w:sz w:val="20"/>
                <w:szCs w:val="20"/>
                <w:color w:val="auto"/>
              </w:rPr>
            </w:pPr>
            <w:r>
              <w:rPr>
                <w:rFonts w:ascii="Arial" w:cs="Arial" w:eastAsia="Arial" w:hAnsi="Arial"/>
                <w:sz w:val="18"/>
                <w:szCs w:val="18"/>
                <w:b w:val="1"/>
                <w:bCs w:val="1"/>
                <w:color w:val="auto"/>
              </w:rPr>
              <w:t>Agribusiness Revenues for the Three Months Ended January 31,</w:t>
            </w: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4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35,568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1,371</w:t>
            </w:r>
          </w:p>
        </w:tc>
        <w:tc>
          <w:tcPr>
            <w:tcW w:w="124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2"/>
              </w:rPr>
              <w:t>4%</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Avocados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766</w:t>
            </w:r>
          </w:p>
        </w:tc>
        <w:tc>
          <w:tcPr>
            <w:tcW w:w="1240" w:type="dxa"/>
            <w:vAlign w:val="bottom"/>
          </w:tcPr>
          <w:p>
            <w:pPr>
              <w:jc w:val="center"/>
              <w:ind w:right="370"/>
              <w:spacing w:after="0"/>
              <w:rPr>
                <w:sz w:val="20"/>
                <w:szCs w:val="20"/>
                <w:color w:val="auto"/>
              </w:rPr>
            </w:pPr>
            <w:r>
              <w:rPr>
                <w:rFonts w:ascii="Arial" w:cs="Arial" w:eastAsia="Arial" w:hAnsi="Arial"/>
                <w:sz w:val="18"/>
                <w:szCs w:val="18"/>
                <w:color w:val="auto"/>
                <w:w w:val="99"/>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(218)</w:t>
            </w:r>
          </w:p>
        </w:tc>
        <w:tc>
          <w:tcPr>
            <w:tcW w:w="124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5"/>
              </w:rPr>
              <w:t>(20)%</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(973)</w:t>
            </w:r>
          </w:p>
        </w:tc>
        <w:tc>
          <w:tcPr>
            <w:tcW w:w="12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5"/>
              </w:rPr>
              <w:t>(53)%</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946</w:t>
            </w:r>
          </w:p>
        </w:tc>
        <w:tc>
          <w:tcPr>
            <w:tcW w:w="124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Lemons: The increase in the first three months of fiscal year 2022 was primarily the result of increased shipping and handling, compared to the same period of fiscal year 2021. During the first three months of fiscal years 2022 and 2021, shipping and handling was $6.0 million and $4.9 million, respectively. During the first three months of fiscal years 2022 and 2021, fresh lemon sales were $24.7 million and $25.0 million, in aggregate, on 1,207,000 and 1,320,000 cartons of lemons sold at average per carton prices of $20.48 and $18.91, respectively. Lemon revenues in the first three months of fiscal years 2022 and 2021 included brokered fruit and other lemon sales of $3.9 million and $3.5 million and lemon by-product sales of $1.0 million and $0.8 million, respectively.</w:t>
      </w:r>
    </w:p>
    <w:p>
      <w:pPr>
        <w:spacing w:after="0" w:line="3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Avocados: During the first three months of fiscal year 2022, 365,000 pounds of avocados were sold at an average per pound price of $2.10. Due to harvest timing, no sales were recorded in the first quarter of fiscal year 2021.</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Oranges: The decrease in the first three months of fiscal year 2022 was primarily the result of decreased volumes, partially offset by higher prices of oranges sold, compared to the same period of fiscal year 2021. In the first three months of fiscal years 2022 and 2021, we sold 53,000 and 119,000 40-pound carton equivalents of oranges at an average per carton price of $16.47 and $9.17, respectively.</w:t>
      </w:r>
    </w:p>
    <w:p>
      <w:pPr>
        <w:spacing w:after="0" w:line="21" w:lineRule="exact"/>
        <w:rPr>
          <w:rFonts w:ascii="Arial" w:cs="Arial" w:eastAsia="Arial" w:hAnsi="Arial"/>
          <w:sz w:val="18"/>
          <w:szCs w:val="18"/>
          <w:color w:val="auto"/>
        </w:rPr>
      </w:pPr>
    </w:p>
    <w:p>
      <w:pPr>
        <w:jc w:val="both"/>
        <w:ind w:left="340" w:hanging="332"/>
        <w:spacing w:after="0" w:line="311"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Specialty citrus and other crops: The decrease in the first three months of fiscal year 2022 was primarily the result of decreased volume and lower prices of specialty citrus sold, compared to the same period of fiscal year 2021. During the first three months of fiscal years 2022 and 2021, we sold 51,000 and 115,000 40-pound carton equivalents of specialty citrus at an average per carton price of $14.63 and $15.46,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first three months of fiscal years 2022 and 2021 was $1.2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costs and expenses in the first three months of fiscal year 2022 were $48.8 million compared to $43.9 million in the same period of fiscal year 2021. The 11% increase of $4.9 million was primarily attributable to increases in our packing costs and third-party grower and supplier costs.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4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w w:val="98"/>
              </w:rPr>
              <w:t>Agribusiness Costs and Expenses for the Three Months Ended January 31,</w:t>
            </w:r>
          </w:p>
        </w:tc>
      </w:tr>
      <w:tr>
        <w:trPr>
          <w:trHeight w:val="223"/>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903</w:t>
            </w:r>
          </w:p>
        </w:tc>
        <w:tc>
          <w:tcPr>
            <w:tcW w:w="122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2"/>
              </w:rPr>
              <w:t>9%</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323</w:t>
            </w:r>
          </w:p>
        </w:tc>
        <w:tc>
          <w:tcPr>
            <w:tcW w:w="1220" w:type="dxa"/>
            <w:vAlign w:val="bottom"/>
          </w:tcPr>
          <w:p>
            <w:pPr>
              <w:jc w:val="center"/>
              <w:ind w:right="410"/>
              <w:spacing w:after="0"/>
              <w:rPr>
                <w:sz w:val="20"/>
                <w:szCs w:val="20"/>
                <w:color w:val="auto"/>
              </w:rPr>
            </w:pPr>
            <w:r>
              <w:rPr>
                <w:rFonts w:ascii="Arial" w:cs="Arial" w:eastAsia="Arial" w:hAnsi="Arial"/>
                <w:sz w:val="18"/>
                <w:szCs w:val="18"/>
                <w:color w:val="auto"/>
                <w:w w:val="92"/>
              </w:rPr>
              <w:t>7%</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166</w:t>
            </w:r>
          </w:p>
        </w:tc>
        <w:tc>
          <w:tcPr>
            <w:tcW w:w="122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2"/>
              </w:rPr>
              <w:t>2%</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2,941</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26%</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auto"/>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(1)%</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41,244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4,306</w:t>
            </w:r>
          </w:p>
        </w:tc>
        <w:tc>
          <w:tcPr>
            <w:tcW w:w="12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4"/>
              </w:rPr>
              <w:t>12%</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340" w:hanging="332"/>
        <w:spacing w:after="0" w:line="293"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Packing costs: Packing costs primarily consist of the costs to pack lemons for sale such as labor and benefits, cardboard cartons, fruit treatments, packing and shipping supplies and facility operating costs. In the first three months of fiscal years 2022 and 2021, lemon packing costs were $10.6 million and $9.5 million, respectively. During the first three months of fiscal years 2022 and 2021, we packed and sold 1,207,000 and 1,320,000 cartons of lemons at average per carton costs of $8.74 and $7.22, respectively. The increase in average per carton cost is primarily due to costs of labor and benefits, cardboard cartons, fruit treatments and packaging and shipping supplies from inflation and supply chain issues. Additionally, in the first three months of fiscal years 2022 and 2021, packing costs included $0.7 million and $0.8 million of shipping costs, respectively.</w:t>
      </w:r>
    </w:p>
    <w:p>
      <w:pPr>
        <w:spacing w:after="0" w:line="2" w:lineRule="exact"/>
        <w:rPr>
          <w:rFonts w:ascii="Arial" w:cs="Arial" w:eastAsia="Arial" w:hAnsi="Arial"/>
          <w:sz w:val="16"/>
          <w:szCs w:val="16"/>
          <w:color w:val="auto"/>
        </w:rPr>
      </w:pPr>
    </w:p>
    <w:p>
      <w:pPr>
        <w:ind w:left="340" w:right="2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Harvest costs: The increase in the first three months of fiscal year 2022 was primarily the result of increased volume of lemons, oranges and avocados harvested compared to the same period in fiscal year 2021.</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costs: Also referred to as cultural costs, consist of orchard maintenance costs such as cultivation, fertilization and soil amendments, pest control, pruning and irrigation. The increase in the first three months of fiscal year 2022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Third-party grower and supplier costs: We sell fruit that we grow and fruit that we procure from other growers and suppliers. The cost of procuring fruit from other growers is referred to as third-party grower and supplier costs. The increase in the first three months of fiscal year 2022 was primarily due to higher prices and increased volume of third-party grower fruit sold, compared to the same period of fiscal year 2021. Of the 1,207,000 and 1,320,000 cartons of lemons packed and sold during the first three months of fiscal years 2022 and 2021, 693,000 (57%) and 637,000 (48%) were procured from third-party growers at average per carton prices of $16.28 and $14.63, respectively. Additionally, in the first three months of fiscal years 2022 and 2021 we incurred $3.0 million and $2.0 million, respectively, of costs for purchased, packed fruit for resale.</w:t>
      </w:r>
    </w:p>
    <w:p>
      <w:pPr>
        <w:spacing w:after="0" w:line="15"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three months of fiscal year 2022 was similar to the same period of fiscal year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$1.1 million in the first three months of fiscal years 2022 and 2021.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$6.6 million in the first three months of fiscal year 2022 compared to $5.9 million in the first three months of fiscal year 2021. The 12% increase of $0.7 million primarily consisted of the following:</w:t>
      </w:r>
    </w:p>
    <w:p>
      <w:pPr>
        <w:spacing w:after="0" w:line="197" w:lineRule="exact"/>
        <w:rPr>
          <w:sz w:val="20"/>
          <w:szCs w:val="20"/>
          <w:color w:val="auto"/>
        </w:rPr>
      </w:pPr>
    </w:p>
    <w:p>
      <w:pPr>
        <w:ind w:left="34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Named executive officer severance for the first three months of fiscal year 2022 was $0.7 million compared to zero in the same period of fiscal year 2021.</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expenses for the first three months of fiscal year 2022 was $0.1 million higher than the same period of fiscal year 2021.</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selling, general and administrative expenses, including certain corporate overhead expenses, for the first three months of fiscal year 2022 were $0.1 million lower than the same period of fiscal year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 the first three months of fiscal year 2022 was comprised primarily of $0.1 million of equity in earnings of investments and $0.2 million of net interest income. Other income in the first three months of fiscal year 2021 was comprised primarily of $0.4 million of equity in earnings of investments and $0.2 million of net interest income.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an estimated income tax benefit of $2.7 million and $1.2 million in the first three months of fiscal years 2022 and 2021 on pre-tax loss of $9.3 million and $5.1 million, respectively. The tax benefit recorded for the first three months of fiscal year 2022 differs from the U.S. federal statutory tax rate of 21.0% due primarily to foreign jurisdictions which are taxed at different rates, state taxes, tax impact of stock-based compensation, and nondeductible tax items. Our projected annual effective blended tax rate for fiscal year 2022, excluding discrete items, is approximately 50.1%.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loss (income) attributable to noncontrolling interest represents 10% and 49% of the net loss (income) of PDA and Trapani Fresh,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2022 Compared to the Three Months Ended January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2022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88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3"/>
                <w:szCs w:val="13"/>
                <w:color w:val="auto"/>
              </w:rPr>
            </w:pPr>
          </w:p>
        </w:tc>
        <w:tc>
          <w:tcPr>
            <w:tcW w:w="90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39,274</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(6,589)</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39,274</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32,161</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39,059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7,293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46,352</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(2,561)</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(9,558)</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2021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29,507</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9,531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34,726</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6,688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41,414</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first three months of fiscal years 2022 and 2021, our fresh lemons segment total net revenues were $29.6 million and $29.3 million, respectively. The 1% increase of $0.3 million was primarily due to an increase in brokered fruit and other lemon sales of $0.4 million, partially offset by a net decrease in fresh lemons and lemon by-products sales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0" w:name="page31"/>
    <w:bookmarkEnd w:id="30"/>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fresh lemons segment include growing costs, harvest costs and costs of lemons we procure from third-party growers and suppliers. For the first three months of fiscal years 2022 and 2021, our fresh lemons segment costs and expenses were $32.2 million and $29.5 million, respectively. The 9% increase of $2.7 million primarily consisted of the following:</w:t>
      </w:r>
    </w:p>
    <w:p>
      <w:pPr>
        <w:spacing w:after="0" w:line="2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Harvest costs for the first three months of fiscal year 2022 were $0.7 million higher than the same period of fiscal year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Growing costs for the first three months of fiscal year 2022 were $0.1 million lower than the same period of fiscal year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Third-party grower and supplier costs for the first three months of fiscal year 2022 were $2.4 million higher than the same period of fiscal year 2021.</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costs for the first three months of fiscal year 2022 were $0.1 million lower than the same period of fiscal year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Intersegment costs and expenses for the first three months of fiscal year 2022 were $0.1 million lower than the same period of fiscal year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three months of fiscal years 2022 and 2021, our lemon packing segment total net revenues were $12.6 million and $11.6 million, respectively. The 8% increase of $1.0 million was primarily due to increased price per carton of lemons packed.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and expenses associated with our lemon packing segment consist of the cost to pack lemons for sale such as labor and benefits, cardboard cartons, fruit treatments, packing and shipping supplies and facility operating costs. For the first three months of fiscal years 2022 and 2021, our lemon packing costs and expenses were $10.6 million and $9.5 million, respectively. The 11% increase of $1.0 million was primarily due to increased costs of labor and benefits, cardboard cartons, fruit treatments and packaging and shipping supplies from inflation and supply chain issues.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first three months of fiscal years 2022 and 2021, lemon packing segment operating income per carton sold was $1.66 and $1.55, respectively.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three months of fiscal years 2022 and 2021, the lemon packing segment included $6.6 million and $6.7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three months of fiscal year 2022, our avocados segment had revenues of $0.8 million, compared to no revenues in the same period of fiscal year 2021.</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growing and harvest costs. For the first three months of fiscal years 2022 and 2021, our avocados segment costs and expenses were $0.3 million and zero, respectively. The increase of $0.3 million primarily consisted of harvest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first three months of fiscal years 2022 and 2021, our other agribusiness segment total net revenues were $1.7 million and $2.9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41% decrease of $1.2 million primarily consisted of the following:</w:t>
      </w:r>
    </w:p>
    <w:p>
      <w:pPr>
        <w:spacing w:after="0" w:line="2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Orange revenues for the first three months of fiscal year 2022 were $0.2 million lower than the same period of fiscal year 2021.</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first three months of fiscal year 2022 were $1.0 million lower compared to the same period of fiscal year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first three months of fiscal years 2022 and 2021, our other agribusiness costs and expenses were $2.6 million and $2.4 million, respectively. The 10% increase of $0.2 million primarily consisted of the following:</w:t>
      </w:r>
    </w:p>
    <w:p>
      <w:pPr>
        <w:spacing w:after="0" w:line="2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Harvest costs for the first three months of fiscal year 2022 were $0.4 million lower than the same period of fiscal year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Purchased fruit costs for the first three months of fiscal year 2022 were $0.6 million higher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Total agribusiness depreciation and amortization expenses for the first three months of fiscal year 2022 were similar to the same period of fiscal year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corporate and other operations had revenues of $1.2 million and $1.1 million for the first three months of fiscal years 2022 and 2021, respectively.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our corporate and other operations for the first three months of fiscal years 2022 and 2021 were approximately $7.4 million and $6.7 million, respectively, and include selling, general and administrative costs and expenses not allocated to the operating segments. Depreciation and amortization expenses for the first three months of fiscal years 2022 and 2021 were similar at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2022 and 2021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Trailing Twelve Months Ended</w:t>
            </w:r>
          </w:p>
        </w:tc>
      </w:tr>
      <w:tr>
        <w:trPr>
          <w:trHeight w:val="229"/>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40" w:type="dxa"/>
            <w:vAlign w:val="bottom"/>
            <w:tcBorders>
              <w:bottom w:val="single" w:sz="8" w:color="auto"/>
            </w:tcBorders>
          </w:tcPr>
          <w:p>
            <w:pPr>
              <w:spacing w:after="0"/>
              <w:rPr>
                <w:sz w:val="19"/>
                <w:szCs w:val="19"/>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162,327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156,591</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161,178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151,676</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Gain on disposal of assets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 on stock in Calavo Growers, Inc.</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(4,275)</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34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revenues increased $5.8 million in the twelve months ended January 31, 2022 compared to the twelve months ended January 31, 2021 primarily due to increased agribusiness revenues, particularly increased lemon sales.</w:t>
      </w:r>
    </w:p>
    <w:p>
      <w:pPr>
        <w:spacing w:after="0" w:line="8"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costs and expenses decreased $0.1 million in the twelve months ended January 31, 2022 compared to the twelve months ended January 31, 2021, primarily due to increases in our agribusiness costs, partially offset by decreases in selling, general and administrative expenses and the smaller gain on disposal of assets. The increase in agribusiness costs is primarily attributable to increased costs of third-party grower and supplier fruit and cultural costs, partially offset by decreased packing costs and harvest costs. The decrease in selling, general and administrative expenses is primarily attributable to decreased corporate expenses associated with our strategic initiatives.</w:t>
      </w:r>
    </w:p>
    <w:p>
      <w:pPr>
        <w:spacing w:after="0" w:line="14"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other income increased $7.3 million in the twelve months ended January 31, 2022 compared to the twelve months ended January 31, 2021 primarily due to increased equity in earnings of investments and decreased loss on stock in Calavo.</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benefit decreased $4.8 million in the twelve months ended January 31, 2022 compared to the twelve months ended January 31, 2021 primarily due to the decrease in pre-tax loss of $13.2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9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Material contractual obligations arising in the normal course of business primarily consist of purchase obligations, long-term fixed rate and variable rate debt and related interest payments, operating and finance leases and our noncontributory, defined benefit pension plan (“the Plan”). In fiscal year 2021, we decided to terminate the Plan effective December 31, 2021. The liabilities disclosed as of January 31, 2022, reflect an estimate of the additional cost to pay lump sums to a portion of the active and vested terminated participants and purchase annuities for all remaining participants from an insurance company. See Notes 10, 11 and 15 to the consolidated financial statements in the Quarterly Report for amounts outstanding as of January 31, 2022, related to debt, leases and the Plan. Purchase obligations consist of contracts primarily related to packing supplies and pollination services, the majority of which are due in the next three years.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2022 and 2021, net cash used in operating activities was $8.2 million and $1.8 million, respectively. The significant components of our cash flows used in operating activities were as follows:</w:t>
      </w:r>
    </w:p>
    <w:p>
      <w:pPr>
        <w:spacing w:after="0" w:line="170" w:lineRule="exact"/>
        <w:rPr>
          <w:sz w:val="20"/>
          <w:szCs w:val="20"/>
          <w:color w:val="auto"/>
        </w:rPr>
      </w:pPr>
    </w:p>
    <w:p>
      <w:pPr>
        <w:jc w:val="both"/>
        <w:ind w:left="340" w:hanging="332"/>
        <w:spacing w:after="0" w:line="263"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for the three months ended January 31, 2022 and 2021 was $6.6 million and $3.9 million, respectively. The components of net loss in the three months ended January 31, 2022 compared to the net loss in the same period in fiscal year 2021 consist of an increase in operating loss of $3.9 million, a decrease in total other income of $0.2 million and an increase in income tax benefit of $1.5 million.</w:t>
      </w:r>
    </w:p>
    <w:p>
      <w:pPr>
        <w:spacing w:after="0" w:line="21"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adjustments to reconcile net loss to net cash used in operating activities were $1.1 million and $2.3 million in the three months ended January 31, 2022 and 2021, respectively, primarily due to changes in deferred income taxes.</w:t>
      </w:r>
    </w:p>
    <w:p>
      <w:pPr>
        <w:spacing w:after="0" w:line="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changes in operating assets and liabilities used $2.6 million and $0.2 million of operating cash in the three months ended January 31, 2022 and 2021, respectively, primarily due to changes in income taxes receivable, accounts payable and growers and suppliers payable, and prepaid expenses and other current assets, partially offset by changes in accounts receivables/other from related parties and accrued liabilities and payables to related 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31, 2022 and 2021, net cash used in investing activities was $0.7 million and $3.6 million, respectively.</w:t>
      </w:r>
    </w:p>
    <w:p>
      <w:pPr>
        <w:spacing w:after="0" w:line="225" w:lineRule="exact"/>
        <w:rPr>
          <w:sz w:val="20"/>
          <w:szCs w:val="20"/>
          <w:color w:val="auto"/>
        </w:rPr>
      </w:pPr>
    </w:p>
    <w:p>
      <w:pPr>
        <w:ind w:left="340" w:right="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were $2.1 million in the three months ended January 31, 2022, comprised of $1.8 million for property, plant and equipment primarily related to orchard and vineyard development and $0.2 million for real estate development projects.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were $3.4 million in the three months ended January 31, 2021, comprised of $3.1 million for property, plant and equipment primarily related to orchard and vineyard development and $0.3 million for real estate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January 31, 2022 and 2021, net cash provided by financing activities was $9.3 million and $6.7 million, respectively.</w:t>
      </w:r>
    </w:p>
    <w:p>
      <w:pPr>
        <w:spacing w:after="0" w:line="237" w:lineRule="exact"/>
        <w:rPr>
          <w:sz w:val="20"/>
          <w:szCs w:val="20"/>
          <w:color w:val="auto"/>
        </w:rPr>
      </w:pPr>
    </w:p>
    <w:p>
      <w:pPr>
        <w:jc w:val="both"/>
        <w:ind w:left="3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$9.3 million of cash provided by financing activities during the three months ended January 31, 2022 was primarily comprised of net repayments of long-term debt in the amount of $11.7 million, partially offset by common and preferred dividends, in aggregate, of $1.5 million and the exchange of common stock of $0.9 million.</w:t>
      </w:r>
    </w:p>
    <w:p>
      <w:pPr>
        <w:spacing w:after="0" w:line="21"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$6.7 million of cash provided by financing activities during the three months ended January 31, 2021 was primarily comprised of net borrowings of long-term debt in the amount of $8.8 million, partially offset by common and preferred dividends, in aggregate, of $1.4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finance our working capital and other liquidity requirements primarily through cash from operations and our Farm Credit West Credit Facility, which includes the MLA, Supplements and Revolving Equity Line of Credit (the "RELOC"). In addition, we have the Farm Credit West term loans, Banco de Chile term loans and COVID-19 loans, and a note payable to the sellers of a land parcel. Additional information regarding these loans and the note payable can be found in Note 10 to the consolidated financial statements included in this Quarterly Report.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we entered into the MLA with the Lender dated June 1, 2021, together with the Supplements and a Fixed Interest Rate Agreement. The MLA governs the terms of the Supplements. The MLA amends and restates the previous Master Loan Agreement between us and the Lender, dated June 19, 2017 and extends the principal repayment to July 1, 2026.</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 million comprised of $75.0 million under the Revolving Credit Supplement, $40.0 million under the Non-Revolving Credit Supplement and $15.0 million under the RELOC. As of January 31, 2022, our outstanding borrowings under the Farm Credit West Credit Facility were $123.8 million and we had $6.2 million of availability.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on an annual basis. In December 2021, the Lender modified the covenant to defer measurement at October 31, 2021 and revert to a debt service coverage ratio of 1.25:1.0 measured as of October 31, 2022. We expect to be in compliance with these covenants in fiscal year 2022.</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first quarter of fiscal years 2022 and 2021, Farm Credit West declared an annual patronage dividend of $1.6 million and $1.2 million, respectively, which we received in the second quarter of fiscal years 2022 and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year 2021, our Company's Board of Directors approved a share repurchase program authorizing us to repurchase up to $10.0 million of our outstanding shares of common stock through September 2022; no shares have been repurchased under this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holders of the Series B Convertible Preferred Stock (the “Series B Stock”) and the Series B-2 Preferred Stock (the “Series B-2 Preferred Stock”) are entitled to receive cumulative cash dividends. Such preferred dividends paid were $0.1 million in the three months ended January 31, 2022 and 2021.</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dividends declared in the three months ended January 31, 2022 and 2021 were $0.075 per common share and such dividends paid were $1.3 million in the three months ended January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7 – Real Estate Development and Note 8 – Equity in Investments of the notes to consolidated financial statements included in our fiscal year 2021 Annual Report on Form 10-K, we have investments in joint ventures and partnerships that are accounted for using the equity method of accounting.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three months ended January 31, 2022, our critical accounting policies and estimates have not changed since the filing of our Annual Report on Form 10-K as of October 31, 2021. Please refer to that filing for a description of our critical accounting policies and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2021 as filed with the SEC on January 10,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January 31, 2022, we evaluated, under the supervision and with the participation of our management,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16 - Commitments and Contingencies of the notes to the consolidated financial statements (unaudited) in this Form 10-Q for the quarter ended January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changes in the disclosures discussed in the section entitled “Risk Factors” in Part I, Item 1A of our Annual Report on Form 10-K for the fiscal year ended October 31, 2021, as filed with the SEC on January 10,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year 2022, we purchased shares of our common stock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2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5"/>
              </w:rPr>
              <w:t>Approximate Dollar Value)</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 Number of</w:t>
            </w:r>
          </w:p>
        </w:tc>
        <w:tc>
          <w:tcPr>
            <w:tcW w:w="160" w:type="dxa"/>
            <w:vAlign w:val="bottom"/>
          </w:tcPr>
          <w:p>
            <w:pPr>
              <w:spacing w:after="0"/>
              <w:rPr>
                <w:sz w:val="15"/>
                <w:szCs w:val="15"/>
                <w:color w:val="auto"/>
              </w:rPr>
            </w:pPr>
          </w:p>
        </w:tc>
        <w:tc>
          <w:tcPr>
            <w:tcW w:w="16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Weighted Average</w:t>
            </w: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176"/>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2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1"/>
              </w:rPr>
              <w:t>Purchased Under the Plans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Shares Purchased(1)</w:t>
            </w:r>
          </w:p>
        </w:tc>
        <w:tc>
          <w:tcPr>
            <w:tcW w:w="1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Price Paid per Share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Programs(2)</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2021 - November 30,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December 1, 2021 - December 31, 2021</w:t>
            </w:r>
          </w:p>
        </w:tc>
        <w:tc>
          <w:tcPr>
            <w:tcW w:w="1800" w:type="dxa"/>
            <w:vAlign w:val="bottom"/>
          </w:tcPr>
          <w:p>
            <w:pPr>
              <w:jc w:val="right"/>
              <w:spacing w:after="0"/>
              <w:rPr>
                <w:sz w:val="20"/>
                <w:szCs w:val="20"/>
                <w:color w:val="auto"/>
              </w:rPr>
            </w:pPr>
            <w:r>
              <w:rPr>
                <w:rFonts w:ascii="Arial" w:cs="Arial" w:eastAsia="Arial" w:hAnsi="Arial"/>
                <w:sz w:val="18"/>
                <w:szCs w:val="18"/>
                <w:color w:val="auto"/>
              </w:rPr>
              <w:t>55,362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16.25</w:t>
            </w:r>
          </w:p>
        </w:tc>
        <w:tc>
          <w:tcPr>
            <w:tcW w:w="1800" w:type="dxa"/>
            <w:vAlign w:val="bottom"/>
          </w:tcPr>
          <w:p>
            <w:pPr>
              <w:ind w:left="154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55,362</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firstLine="8"/>
        <w:spacing w:after="0" w:line="277"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were acquired from our employees in accordance with our stock-based compensation plan as a result of share withholdings to pay income tax related to the vesting and distribution of a restricted stock award.</w:t>
      </w:r>
    </w:p>
    <w:p>
      <w:pPr>
        <w:spacing w:after="0" w:line="197" w:lineRule="exact"/>
        <w:rPr>
          <w:rFonts w:ascii="Arial" w:cs="Arial" w:eastAsia="Arial" w:hAnsi="Arial"/>
          <w:sz w:val="18"/>
          <w:szCs w:val="18"/>
          <w:color w:val="auto"/>
        </w:rPr>
      </w:pPr>
    </w:p>
    <w:p>
      <w:pPr>
        <w:jc w:val="both"/>
        <w:ind w:firstLine="8"/>
        <w:spacing w:after="0" w:line="263" w:lineRule="auto"/>
        <w:tabs>
          <w:tab w:leader="none" w:pos="2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fiscal year 2021, our Company's Board of Directors approved a share repurchase program authorizing us to repurchase up to $10.0 million of our outstanding shares of common stock through September 2022; no shares have been repurchased under this program. As of January 31, 2022, the remaining authorization under this plan is approximately $10.0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980" w:type="dxa"/>
            <w:vAlign w:val="bottom"/>
            <w:gridSpan w:val="34"/>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980" w:type="dxa"/>
            <w:vAlign w:val="bottom"/>
            <w:tcBorders>
              <w:bottom w:val="single" w:sz="8" w:color="auto"/>
            </w:tcBorders>
            <w:gridSpan w:val="3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9980" w:type="dxa"/>
            <w:vAlign w:val="bottom"/>
            <w:gridSpan w:val="34"/>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2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8"/>
              </w:rPr>
            </w:pPr>
            <w:hyperlink r:id="rId54">
              <w:r>
                <w:rPr>
                  <w:rFonts w:ascii="Arial" w:cs="Arial" w:eastAsia="Arial" w:hAnsi="Arial"/>
                  <w:sz w:val="18"/>
                  <w:szCs w:val="18"/>
                  <w:color w:val="0000FF"/>
                  <w:w w:val="98"/>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972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4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declared effective April 13, 2010 (File No. 000-53885))</w:t>
              </w:r>
            </w:hyperlink>
          </w:p>
        </w:tc>
        <w:tc>
          <w:tcPr>
            <w:tcW w:w="55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8"/>
              </w:rPr>
            </w:pPr>
            <w:hyperlink r:id="rId55">
              <w:r>
                <w:rPr>
                  <w:rFonts w:ascii="Arial" w:cs="Arial" w:eastAsia="Arial" w:hAnsi="Arial"/>
                  <w:sz w:val="18"/>
                  <w:szCs w:val="18"/>
                  <w:color w:val="0000FF"/>
                  <w:w w:val="98"/>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992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exhibit 3.3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95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No. 000-53885))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8"/>
              </w:rPr>
            </w:pPr>
            <w:hyperlink r:id="rId56">
              <w:r>
                <w:rPr>
                  <w:rFonts w:ascii="Arial" w:cs="Arial" w:eastAsia="Arial" w:hAnsi="Arial"/>
                  <w:sz w:val="18"/>
                  <w:szCs w:val="18"/>
                  <w:color w:val="0000FF"/>
                  <w:w w:val="98"/>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970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2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2010 (File No. 000-53885))</w:t>
              </w:r>
            </w:hyperlink>
          </w:p>
        </w:tc>
        <w:tc>
          <w:tcPr>
            <w:tcW w:w="76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984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exhibit 3.7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95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No. 000-53885))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Certificate of Amendment of Certificate of Incorporation of Limoneira Company, dated March 24, 2010 (Incorporated by reference</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8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to exhibit 3.9 to the Company’s Registration Statement on Form 10, and amendments thereto, declared effective April 13, 2010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9880" w:type="dxa"/>
            <w:vAlign w:val="bottom"/>
            <w:gridSpan w:val="2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No. 000-53885))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3.7</w:t>
            </w:r>
          </w:p>
        </w:tc>
        <w:tc>
          <w:tcPr>
            <w:tcW w:w="9980" w:type="dxa"/>
            <w:vAlign w:val="bottom"/>
            <w:gridSpan w:val="34"/>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Certificate of Amendment of Certificate of Incorporation of Limoneira Company, dated March 29, 2017 (Incorporated by reference</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7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to exhibit 3.1 to the Company’s Current Report on Form 8-K, filed March 31, 2017 (File No. 001-34755))</w:t>
              </w:r>
            </w:hyperlink>
          </w:p>
        </w:tc>
        <w:tc>
          <w:tcPr>
            <w:tcW w:w="216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3.8</w:t>
            </w:r>
          </w:p>
        </w:tc>
        <w:tc>
          <w:tcPr>
            <w:tcW w:w="9980" w:type="dxa"/>
            <w:vAlign w:val="bottom"/>
            <w:gridSpan w:val="34"/>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Amended and Restated Bylaws of Limoneira Company (Incorporated by reference to exhibit 3.1 to the Company's Current Report</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4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on Form 8-K, filed October 27, 2021 (File No. 001-34755))</w:t>
              </w:r>
            </w:hyperlink>
          </w:p>
        </w:tc>
        <w:tc>
          <w:tcPr>
            <w:tcW w:w="5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 xml:space="preserve">Specimen Certificate representing shares of Common Stock, par value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0.01 per share (Incorporated by reference to exhibit 4.1 to</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900" w:type="dxa"/>
            <w:vAlign w:val="bottom"/>
            <w:tcBorders>
              <w:top w:val="single" w:sz="8" w:color="0000FF"/>
            </w:tcBorders>
            <w:gridSpan w:val="30"/>
          </w:tcPr>
          <w:p>
            <w:pPr>
              <w:spacing w:after="0" w:line="156"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the Company’s Registration Statement on Form 10, and amendments thereto, declared effective April 13, 2010 (File No. 000-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12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53885)</w:t>
              </w:r>
              <w:r>
                <w:rPr>
                  <w:rFonts w:ascii="Arial" w:cs="Arial" w:eastAsia="Arial" w:hAnsi="Arial"/>
                  <w:sz w:val="18"/>
                  <w:szCs w:val="18"/>
                  <w:u w:val="single" w:color="auto"/>
                  <w:color w:val="0000FF"/>
                </w:rPr>
                <w:t>)</w:t>
              </w:r>
            </w:hyperlink>
          </w:p>
        </w:tc>
        <w:tc>
          <w:tcPr>
            <w:tcW w:w="8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rPr>
            </w:pPr>
            <w:hyperlink r:id="rId62">
              <w:r>
                <w:rPr>
                  <w:rFonts w:ascii="Arial" w:cs="Arial" w:eastAsia="Arial" w:hAnsi="Arial"/>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97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Agent (Incorporated by reference to exhibit 4.2 to the Company’s Registration Statement on Form 10, and amendments thereto,</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4020" w:type="dxa"/>
            <w:vAlign w:val="bottom"/>
            <w:tcBorders>
              <w:bottom w:val="single" w:sz="8" w:color="0000FF"/>
            </w:tcBorders>
            <w:gridSpan w:val="5"/>
          </w:tcPr>
          <w:p>
            <w:pPr>
              <w:spacing w:after="0" w:line="15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declared effective April 13, 2010 (File No. 000-53885))</w:t>
              </w:r>
            </w:hyperlink>
          </w:p>
        </w:tc>
        <w:tc>
          <w:tcPr>
            <w:tcW w:w="592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 xml:space="preserve">Certificate of Designation, Preferences and Rights of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8.75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 of Limoneira</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6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Company, dated May 21, 1997 (Incorporated by reference to exhibit 3.4 to the Company’s Registration Statement on Form 10, and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9680" w:type="dxa"/>
            <w:vAlign w:val="bottom"/>
            <w:gridSpan w:val="19"/>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amendments thereto, declared effective April 13, 2010 (File No. 000-53885))</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rPr>
            </w:pPr>
            <w:hyperlink r:id="rId64">
              <w:r>
                <w:rPr>
                  <w:rFonts w:ascii="Arial" w:cs="Arial" w:eastAsia="Arial" w:hAnsi="Arial"/>
                  <w:sz w:val="18"/>
                  <w:szCs w:val="18"/>
                  <w:color w:val="0000FF"/>
                </w:rPr>
                <w:t xml:space="preserve">Amended Certificate of Designation, Preferences and Rights of </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8.75 Voting Preferred Stock, </w:t>
              </w:r>
              <w:r>
                <w:rPr>
                  <w:rFonts w:ascii="Arial" w:cs="Arial" w:eastAsia="Arial" w:hAnsi="Arial"/>
                  <w:sz w:val="18"/>
                  <w:szCs w:val="18"/>
                  <w:u w:val="single" w:color="auto"/>
                  <w:color w:val="0000FF"/>
                </w:rPr>
                <w:t>$</w:t>
              </w:r>
              <w:r>
                <w:rPr>
                  <w:rFonts w:ascii="Arial" w:cs="Arial" w:eastAsia="Arial" w:hAnsi="Arial"/>
                  <w:sz w:val="18"/>
                  <w:szCs w:val="18"/>
                  <w:color w:val="0000FF"/>
                </w:rPr>
                <w:t>100.00 Par Value, Series B of</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64">
              <w:r>
                <w:rPr>
                  <w:rFonts w:ascii="Arial" w:cs="Arial" w:eastAsia="Arial" w:hAnsi="Arial"/>
                  <w:sz w:val="18"/>
                  <w:szCs w:val="18"/>
                  <w:color w:val="0000FF"/>
                  <w:w w:val="96"/>
                </w:rPr>
                <w:t>Limoneira Company, dated May 21, 1997 (Incorporated by reference to exhibit 3.5 to the Company’s Registration Statement on</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65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Form 10, and amendments thereto, declared effective April 13, 2010 (File No. 000-53885))</w:t>
              </w:r>
            </w:hyperlink>
          </w:p>
        </w:tc>
        <w:tc>
          <w:tcPr>
            <w:tcW w:w="3160" w:type="dxa"/>
            <w:vAlign w:val="bottom"/>
            <w:tcBorders>
              <w:top w:val="single" w:sz="8" w:color="0000FF"/>
            </w:tcBorders>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996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8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and amendments thereto, declared effective April 13, 2010 (File No. 000-53885))</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00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4"/>
                <w:szCs w:val="24"/>
                <w:color w:val="auto"/>
              </w:rPr>
            </w:pPr>
          </w:p>
        </w:tc>
        <w:tc>
          <w:tcPr>
            <w:tcW w:w="9980" w:type="dxa"/>
            <w:vAlign w:val="bottom"/>
            <w:gridSpan w:val="34"/>
          </w:tcPr>
          <w:p>
            <w:pPr>
              <w:spacing w:after="0"/>
              <w:rPr>
                <w:rFonts w:ascii="Arial" w:cs="Arial" w:eastAsia="Arial" w:hAnsi="Arial"/>
                <w:sz w:val="18"/>
                <w:szCs w:val="18"/>
                <w:color w:val="0000FF"/>
              </w:rPr>
            </w:pPr>
            <w:hyperlink r:id="rId66">
              <w:r>
                <w:rPr>
                  <w:rFonts w:ascii="Arial" w:cs="Arial" w:eastAsia="Arial" w:hAnsi="Arial"/>
                  <w:sz w:val="18"/>
                  <w:szCs w:val="18"/>
                  <w:color w:val="0000FF"/>
                </w:rPr>
                <w:t xml:space="preserve">Certificate of Designation, Preferences and Rights of 4% Voting Preferred Stock, </w:t>
              </w:r>
              <w:r>
                <w:rPr>
                  <w:rFonts w:ascii="Arial" w:cs="Arial" w:eastAsia="Arial" w:hAnsi="Arial"/>
                  <w:sz w:val="18"/>
                  <w:szCs w:val="18"/>
                  <w:u w:val="single" w:color="auto"/>
                  <w:color w:val="0000FF"/>
                </w:rPr>
                <w:t>$</w:t>
              </w:r>
              <w:r>
                <w:rPr>
                  <w:rFonts w:ascii="Arial" w:cs="Arial" w:eastAsia="Arial" w:hAnsi="Arial"/>
                  <w:sz w:val="18"/>
                  <w:szCs w:val="18"/>
                  <w:color w:val="0000FF"/>
                </w:rPr>
                <w:t>100.00 Par Value, Series B-2 of Limoneira</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9960" w:type="dxa"/>
            <w:vAlign w:val="bottom"/>
            <w:tcBorders>
              <w:top w:val="single" w:sz="8" w:color="0000FF"/>
            </w:tcBorders>
            <w:gridSpan w:val="33"/>
          </w:tcPr>
          <w:p>
            <w:pPr>
              <w:spacing w:after="0" w:line="156"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8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March 24, 2014 (File No. 001-34755))</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35" w:right="8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660" w:type="dxa"/>
            <w:vAlign w:val="bottom"/>
            <w:tcBorders>
              <w:bottom w:val="single" w:sz="8" w:color="auto"/>
            </w:tcBorders>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9660" w:type="dxa"/>
            <w:vAlign w:val="bottom"/>
            <w:gridSpan w:val="11"/>
          </w:tcPr>
          <w:p>
            <w:pPr>
              <w:spacing w:after="0" w:line="182"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Separation Agreement, dated January 10, 2022, by and between Limoneira Company and Alex M. Teague (Incorporated by</w:t>
              </w:r>
            </w:hyperlink>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6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reference to exhibit 10.1 to the Company's Current Report on Form 8-K, filed January 14, 2022 (File No. 001-34755))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9660" w:type="dxa"/>
            <w:vAlign w:val="bottom"/>
            <w:gridSpan w:val="11"/>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Consulting Agreement, dated January 12, 2022, by and between Limoneira Company and AMT Ag Consulting, LLC (Incorporated</w:t>
              </w:r>
            </w:hyperlink>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8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by reference to exhibit 10.2 to the Company's Current Report on Form 8-K, filed January 14, 2022 (File No. 001-34755))</w:t>
              </w:r>
            </w:hyperlink>
          </w:p>
        </w:tc>
        <w:tc>
          <w:tcPr>
            <w:tcW w:w="8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9660" w:type="dxa"/>
            <w:vAlign w:val="bottom"/>
            <w:gridSpan w:val="1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the Principal Executive Officer pursuant to Exchange Act Rule 13a-14(a) and 15d-14(a)</w:t>
              </w:r>
            </w:hyperlink>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7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the Principal Financial Officer pursuant to Exchange Act Rule 13a-14(a) and 15d-14(a)</w:t>
              </w:r>
            </w:hyperlink>
          </w:p>
        </w:tc>
        <w:tc>
          <w:tcPr>
            <w:tcW w:w="40" w:type="dxa"/>
            <w:vAlign w:val="bottom"/>
            <w:tcBorders>
              <w:top w:val="single" w:sz="8" w:color="0000FF"/>
            </w:tcBorders>
          </w:tcPr>
          <w:p>
            <w:pPr>
              <w:spacing w:after="0"/>
              <w:rPr>
                <w:sz w:val="24"/>
                <w:szCs w:val="24"/>
                <w:color w:val="auto"/>
              </w:rPr>
            </w:pPr>
          </w:p>
        </w:tc>
        <w:tc>
          <w:tcPr>
            <w:tcW w:w="2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9660" w:type="dxa"/>
            <w:vAlign w:val="bottom"/>
            <w:gridSpan w:val="11"/>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Certification of the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Sarbanes-Oxley Act of 2002</w:t>
              </w:r>
            </w:hyperlink>
          </w:p>
        </w:tc>
        <w:tc>
          <w:tcPr>
            <w:tcW w:w="7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9660" w:type="dxa"/>
            <w:vAlign w:val="bottom"/>
            <w:gridSpan w:val="11"/>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Certification of the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Sarbanes-Oxley Act of 2002</w:t>
              </w:r>
            </w:hyperlink>
          </w:p>
        </w:tc>
        <w:tc>
          <w:tcPr>
            <w:tcW w:w="752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96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60" w:right="100" w:hanging="1134"/>
        <w:spacing w:after="0" w:line="235"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January 31, 2022 has been formatted in Inline XBRL</w:t>
      </w:r>
    </w:p>
    <w:p>
      <w:pPr>
        <w:spacing w:after="0" w:line="39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252" w:lineRule="exact"/>
        <w:rPr>
          <w:rFonts w:ascii="Arial" w:cs="Arial" w:eastAsia="Arial" w:hAnsi="Arial"/>
          <w:sz w:val="18"/>
          <w:szCs w:val="18"/>
          <w:color w:val="auto"/>
        </w:rPr>
      </w:pPr>
    </w:p>
    <w:p>
      <w:pPr>
        <w:jc w:val="both"/>
        <w:ind w:left="1140"/>
        <w:spacing w:after="0" w:line="214"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45" w:right="7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Palamountain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ind w:left="5840"/>
        <w:spacing w:after="0"/>
        <w:rPr>
          <w:sz w:val="20"/>
          <w:szCs w:val="20"/>
          <w:color w:val="auto"/>
        </w:rPr>
      </w:pPr>
      <w:r>
        <w:rPr>
          <w:rFonts w:ascii="Arial" w:cs="Arial" w:eastAsia="Arial" w:hAnsi="Arial"/>
          <w:sz w:val="18"/>
          <w:szCs w:val="18"/>
          <w:color w:val="auto"/>
        </w:rPr>
        <w:t>Treasurer and Corporate Secretary</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6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right="20" w:hanging="412"/>
        <w:spacing w:after="0" w:line="308" w:lineRule="auto"/>
        <w:tabs>
          <w:tab w:leader="none" w:pos="3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right="20" w:hanging="412"/>
        <w:spacing w:after="0" w:line="290" w:lineRule="auto"/>
        <w:tabs>
          <w:tab w:leader="none" w:pos="37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2022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2022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March 10, 2022</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17"/>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7"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53" Type="http://schemas.openxmlformats.org/officeDocument/2006/relationships/hyperlink" Target="http://www.sec.gov/Archives/edgar/data/1342423/000114420410007241/v173157_ex3-1.htm" TargetMode="External"/><Relationship Id="rId54" Type="http://schemas.openxmlformats.org/officeDocument/2006/relationships/hyperlink" Target="http://www.sec.gov/Archives/edgar/data/1342423/000114420410007241/v173157_ex3-2.htm" TargetMode="External"/><Relationship Id="rId55" Type="http://schemas.openxmlformats.org/officeDocument/2006/relationships/hyperlink" Target="http://www.sec.gov/Archives/edgar/data/1342423/000114420410007241/v173157_ex3-3.htm" TargetMode="External"/><Relationship Id="rId56" Type="http://schemas.openxmlformats.org/officeDocument/2006/relationships/hyperlink" Target="http://www.sec.gov/Archives/edgar/data/1342423/000114420410007241/v173157_ex3-6.htm" TargetMode="External"/><Relationship Id="rId57" Type="http://schemas.openxmlformats.org/officeDocument/2006/relationships/hyperlink" Target="http://www.sec.gov/Archives/edgar/data/1342423/000114420410007241/v173157_ex3-7.htm" TargetMode="External"/><Relationship Id="rId58" Type="http://schemas.openxmlformats.org/officeDocument/2006/relationships/hyperlink" Target="http://www.sec.gov/Archives/edgar/data/1342423/000114420410017415/v178900_ex3-9.htm" TargetMode="External"/><Relationship Id="rId59" Type="http://schemas.openxmlformats.org/officeDocument/2006/relationships/hyperlink" Target="http://www.sec.gov/Archives/edgar/data/1342423/000114420417018212/v463210_ex3-1.htm" TargetMode="External"/><Relationship Id="rId60" Type="http://schemas.openxmlformats.org/officeDocument/2006/relationships/hyperlink" Target="http://www.sec.gov/Archives/edgar/data/1342423/000110465921130485/tm2131208d1_ex3-1.htm" TargetMode="External"/><Relationship Id="rId61" Type="http://schemas.openxmlformats.org/officeDocument/2006/relationships/hyperlink" Target="http://www.sec.gov/Archives/edgar/data/1342423/000114420410007241/v173157_ex4-1.htm" TargetMode="External"/><Relationship Id="rId62" Type="http://schemas.openxmlformats.org/officeDocument/2006/relationships/hyperlink" Target="http://www.sec.gov/Archives/edgar/data/1342423/000114420410007241/v173157_ex4-2.htm" TargetMode="External"/><Relationship Id="rId63" Type="http://schemas.openxmlformats.org/officeDocument/2006/relationships/hyperlink" Target="http://www.sec.gov/Archives/edgar/data/1342423/000114420410007241/v173157_ex3-4.htm" TargetMode="External"/><Relationship Id="rId64" Type="http://schemas.openxmlformats.org/officeDocument/2006/relationships/hyperlink" Target="http://www.sec.gov/Archives/edgar/data/1342423/000114420410007241/v173157_ex3-5.htm" TargetMode="External"/><Relationship Id="rId65" Type="http://schemas.openxmlformats.org/officeDocument/2006/relationships/hyperlink" Target="http://www.sec.gov/Archives/edgar/data/1342423/000114420410007241/v173157_ex3-8.htm" TargetMode="External"/><Relationship Id="rId66" Type="http://schemas.openxmlformats.org/officeDocument/2006/relationships/hyperlink" Target="http://www.sec.gov/Archives/edgar/data/1342423/000114420414017379/v372494_ex3-1.htm" TargetMode="External"/><Relationship Id="rId68" Type="http://schemas.openxmlformats.org/officeDocument/2006/relationships/hyperlink" Target="http://www.sec.gov/Archives/edgar/data/1342423/000110465922004238/tm222937d1_ex10-1.htm" TargetMode="External"/><Relationship Id="rId69" Type="http://schemas.openxmlformats.org/officeDocument/2006/relationships/hyperlink" Target="http://www.sec.gov/Archives/edgar/data/1342423/000110465922004238/tm22293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2022-03-10T15:20:57Z</dcterms:created>
  <dcterms:modified xsi:type="dcterms:W3CDTF">2022-03-10T15:20:57Z</dcterms:modified>
</cp:coreProperties>
</file>