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33020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-172085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4" w:lineRule="exact"/>
        <w:rPr>
          <w:sz w:val="24"/>
          <w:szCs w:val="24"/>
          <w:color w:val="auto"/>
        </w:rPr>
      </w:pPr>
    </w:p>
    <w:p>
      <w:pPr>
        <w:ind w:left="3700" w:right="2700" w:hanging="3674"/>
        <w:spacing w:after="0" w:line="362" w:lineRule="auto"/>
        <w:tabs>
          <w:tab w:leader="none" w:pos="31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25"/>
          <w:szCs w:val="25"/>
          <w:b w:val="1"/>
          <w:bCs w:val="1"/>
          <w:color w:val="auto"/>
        </w:rPr>
        <w:t>April 30, 2024</w:t>
      </w:r>
    </w:p>
    <w:p>
      <w:pPr>
        <w:spacing w:after="0" w:line="234"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001-347</w:t>
      </w:r>
      <w:r>
        <w:rPr>
          <w:rFonts w:ascii="Times New Roman" w:cs="Times New Roman" w:eastAsia="Times New Roman" w:hAnsi="Times New Roman"/>
          <w:sz w:val="17"/>
          <w:szCs w:val="17"/>
          <w:b w:val="1"/>
          <w:bCs w:val="1"/>
          <w:color w:val="auto"/>
        </w:rPr>
        <w:t>55</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-289560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p>
      <w:pPr>
        <w:spacing w:after="0" w:line="2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77-0260692</w:t>
      </w:r>
    </w:p>
    <w:p>
      <w:pPr>
        <w:spacing w:after="0" w:line="34"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52" w:lineRule="exact"/>
        <w:rPr>
          <w:sz w:val="24"/>
          <w:szCs w:val="24"/>
          <w:color w:val="auto"/>
        </w:rPr>
      </w:pPr>
    </w:p>
    <w:p>
      <w:pPr>
        <w:sectPr>
          <w:pgSz w:w="11900" w:h="16838" w:orient="portrait"/>
          <w:cols w:equalWidth="0" w:num="2">
            <w:col w:w="6380" w:space="720"/>
            <w:col w:w="4140"/>
          </w:cols>
          <w:pgMar w:left="320" w:top="136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1141 Cummings Road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Paula, CA 93060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525-5541</w:t>
      </w:r>
    </w:p>
    <w:p>
      <w:pPr>
        <w:spacing w:after="0" w:line="11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60" w:type="dxa"/>
            <w:vAlign w:val="bottom"/>
            <w:gridSpan w:val="5"/>
          </w:tcPr>
          <w:p>
            <w:pPr>
              <w:jc w:val="center"/>
              <w:ind w:right="26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95"/>
        </w:trPr>
        <w:tc>
          <w:tcPr>
            <w:tcW w:w="5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3"/>
        </w:trPr>
        <w:tc>
          <w:tcPr>
            <w:tcW w:w="238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 par value $0.01</w:t>
            </w:r>
          </w:p>
        </w:tc>
        <w:tc>
          <w:tcPr>
            <w:tcW w:w="1580" w:type="dxa"/>
            <w:vAlign w:val="bottom"/>
          </w:tcPr>
          <w:p>
            <w:pPr>
              <w:spacing w:after="0"/>
              <w:rPr>
                <w:sz w:val="15"/>
                <w:szCs w:val="15"/>
                <w:color w:val="auto"/>
              </w:rPr>
            </w:pPr>
          </w:p>
        </w:tc>
        <w:tc>
          <w:tcPr>
            <w:tcW w:w="1780" w:type="dxa"/>
            <w:vAlign w:val="bottom"/>
            <w:gridSpan w:val="2"/>
          </w:tcPr>
          <w:p>
            <w:pPr>
              <w:jc w:val="center"/>
              <w:ind w:right="680"/>
              <w:spacing w:after="0" w:line="183" w:lineRule="exact"/>
              <w:rPr>
                <w:sz w:val="20"/>
                <w:szCs w:val="20"/>
                <w:color w:val="auto"/>
              </w:rPr>
            </w:pPr>
            <w:r>
              <w:rPr>
                <w:rFonts w:ascii="Times New Roman" w:cs="Times New Roman" w:eastAsia="Times New Roman" w:hAnsi="Times New Roman"/>
                <w:sz w:val="16"/>
                <w:szCs w:val="16"/>
                <w:b w:val="1"/>
                <w:bCs w:val="1"/>
                <w:color w:val="auto"/>
              </w:rPr>
              <w:t>LMNR</w:t>
            </w:r>
          </w:p>
        </w:tc>
        <w:tc>
          <w:tcPr>
            <w:tcW w:w="680" w:type="dxa"/>
            <w:vAlign w:val="bottom"/>
          </w:tcPr>
          <w:p>
            <w:pPr>
              <w:spacing w:after="0"/>
              <w:rPr>
                <w:sz w:val="15"/>
                <w:szCs w:val="15"/>
                <w:color w:val="auto"/>
              </w:rPr>
            </w:pPr>
          </w:p>
        </w:tc>
        <w:tc>
          <w:tcPr>
            <w:tcW w:w="3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2" w:lineRule="exact"/>
        <w:rPr>
          <w:sz w:val="24"/>
          <w:szCs w:val="24"/>
          <w:color w:val="auto"/>
        </w:rPr>
      </w:pPr>
    </w:p>
    <w:p>
      <w:pPr>
        <w:jc w:val="both"/>
        <w:ind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64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2"/>
        </w:trPr>
        <w:tc>
          <w:tcPr>
            <w:tcW w:w="21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2200" w:type="dxa"/>
            <w:vAlign w:val="bottom"/>
            <w:vMerge w:val="restart"/>
          </w:tcPr>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440" w:type="dxa"/>
            <w:vAlign w:val="bottom"/>
            <w:vMerge w:val="restart"/>
          </w:tcPr>
          <w:p>
            <w:pPr>
              <w:ind w:left="4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21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Smaller reporting</w:t>
            </w:r>
          </w:p>
        </w:tc>
        <w:tc>
          <w:tcPr>
            <w:tcW w:w="170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color w:val="auto"/>
              </w:rPr>
              <w:t>Emerging growth</w:t>
            </w: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2140" w:type="dxa"/>
            <w:vAlign w:val="bottom"/>
          </w:tcPr>
          <w:p>
            <w:pPr>
              <w:jc w:val="center"/>
              <w:ind w:right="3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1700" w:type="dxa"/>
            <w:vAlign w:val="bottom"/>
          </w:tcPr>
          <w:p>
            <w:pPr>
              <w:jc w:val="center"/>
              <w:ind w:left="47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right="2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60" w:right="23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31, 2024, there were 18,010,975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0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 Financial Statements (Unaudited)</w:t>
            </w:r>
          </w:p>
        </w:tc>
        <w:tc>
          <w:tcPr>
            <w:tcW w:w="10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Balance Sheets – April 30, 2024 and October 31, 2023</w:t>
            </w:r>
          </w:p>
        </w:tc>
        <w:tc>
          <w:tcPr>
            <w:tcW w:w="10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 three and six months ended April 30, 2024 and 2023</w:t>
            </w:r>
          </w:p>
        </w:tc>
        <w:tc>
          <w:tcPr>
            <w:tcW w:w="10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(Loss) – three and six months ended April 30, 2024 and 2023</w:t>
            </w:r>
          </w:p>
        </w:tc>
        <w:tc>
          <w:tcPr>
            <w:tcW w:w="10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 three and six months ended April 30, 2024 and 2023</w:t>
            </w:r>
          </w:p>
        </w:tc>
        <w:tc>
          <w:tcPr>
            <w:tcW w:w="10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 six months ended April 30, 2024 and 2023</w:t>
            </w:r>
          </w:p>
        </w:tc>
        <w:tc>
          <w:tcPr>
            <w:tcW w:w="10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 Controls and Procedures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 OTHER INFORMATION</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 Legal Proceedings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1A. Risk Factors</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 Defaults Upon Senior Securities</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 Mine Safety Disclosures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5. Other Information</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6. Exhibits</w:t>
            </w:r>
          </w:p>
        </w:tc>
        <w:tc>
          <w:tcPr>
            <w:tcW w:w="8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8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6"/>
                <w:szCs w:val="16"/>
                <w:color w:val="auto"/>
              </w:rPr>
            </w:pPr>
          </w:p>
        </w:tc>
      </w:tr>
      <w:tr>
        <w:trPr>
          <w:trHeight w:val="871"/>
        </w:trPr>
        <w:tc>
          <w:tcPr>
            <w:tcW w:w="1016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both historical and forward-looking statements.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9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executing the Company's business plans and strategies and managing the risks involved in the foregoing;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disease, insects and other pests;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related to the COVID-19 pandemic and our Company's responses to the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supplies and pricing;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impact of inflation;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development activities;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covenants under our loan agreements;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2023 additional factors that could cause our actual results to differ from our projections or estimates.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2023.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Quarterly Report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760" w:type="dxa"/>
            <w:vAlign w:val="bottom"/>
          </w:tcPr>
          <w:p>
            <w:pPr>
              <w:spacing w:after="0"/>
              <w:rPr>
                <w:sz w:val="16"/>
                <w:szCs w:val="16"/>
                <w:color w:val="auto"/>
              </w:rPr>
            </w:pP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2024</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29"/>
        </w:trPr>
        <w:tc>
          <w:tcPr>
            <w:tcW w:w="87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85"/>
        </w:trPr>
        <w:tc>
          <w:tcPr>
            <w:tcW w:w="87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Cultural costs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0" w:type="dxa"/>
            <w:vAlign w:val="bottom"/>
          </w:tcPr>
          <w:p>
            <w:pPr>
              <w:spacing w:after="0"/>
              <w:rPr>
                <w:sz w:val="1"/>
                <w:szCs w:val="1"/>
                <w:color w:val="auto"/>
              </w:rPr>
            </w:pPr>
          </w:p>
        </w:tc>
      </w:tr>
      <w:tr>
        <w:trPr>
          <w:trHeight w:val="207"/>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30,225</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160,631</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Real estate development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9,987</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investments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78,816</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301,210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7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33,358</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40,628</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0" w:type="dxa"/>
            <w:vAlign w:val="bottom"/>
          </w:tcPr>
          <w:p>
            <w:pPr>
              <w:spacing w:after="0"/>
              <w:rPr>
                <w:sz w:val="1"/>
                <w:szCs w:val="1"/>
                <w:color w:val="auto"/>
              </w:rPr>
            </w:pPr>
          </w:p>
        </w:tc>
      </w:tr>
      <w:tr>
        <w:trPr>
          <w:trHeight w:val="207"/>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100,713</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April 30,</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2024 and October 31, 2023) (8.75% coupon rate)</w:t>
            </w: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April</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2024 and October 31, 2023) (4% dividend rate on liquidation value of $1,000 per share)</w:t>
            </w:r>
          </w:p>
        </w:tc>
        <w:tc>
          <w:tcPr>
            <w:tcW w:w="3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April 30,</w:t>
            </w:r>
          </w:p>
        </w:tc>
        <w:tc>
          <w:tcPr>
            <w:tcW w:w="3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2024 and October 31, 2023)</w:t>
            </w:r>
          </w:p>
        </w:tc>
        <w:tc>
          <w:tcPr>
            <w:tcW w:w="3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18,223,633 and 18,192,009 shares issued and 17,972,656 and</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17,941,032 shares outstanding at April 30, 2024 and October 31, 2023, respectively)</w:t>
            </w: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168,441</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19,017</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13"/>
        </w:trPr>
        <w:tc>
          <w:tcPr>
            <w:tcW w:w="8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at cost, 250,977 shares at April 30, 2024 and October 31, 2023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0" w:type="dxa"/>
            <w:vAlign w:val="bottom"/>
          </w:tcPr>
          <w:p>
            <w:pPr>
              <w:spacing w:after="0"/>
              <w:rPr>
                <w:sz w:val="1"/>
                <w:szCs w:val="1"/>
                <w:color w:val="auto"/>
              </w:rPr>
            </w:pPr>
          </w:p>
        </w:tc>
      </w:tr>
      <w:tr>
        <w:trPr>
          <w:trHeight w:val="207"/>
        </w:trPr>
        <w:tc>
          <w:tcPr>
            <w:tcW w:w="8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188,952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189,687</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301,210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40" w:type="dxa"/>
            <w:vAlign w:val="bottom"/>
            <w:tcBorders>
              <w:bottom w:val="single" w:sz="8" w:color="auto"/>
            </w:tcBorders>
          </w:tcPr>
          <w:p>
            <w:pPr>
              <w:spacing w:after="0"/>
              <w:rPr>
                <w:sz w:val="18"/>
                <w:szCs w:val="18"/>
                <w:color w:val="auto"/>
              </w:rPr>
            </w:pPr>
          </w:p>
        </w:tc>
      </w:tr>
      <w:tr>
        <w:trPr>
          <w:trHeight w:val="209"/>
        </w:trPr>
        <w:tc>
          <w:tcPr>
            <w:tcW w:w="5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83,204</w:t>
            </w: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7"/>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85,971</w:t>
            </w: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79,430</w:t>
            </w: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w:t>
            </w: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3"/>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15,285</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63,949</w:t>
            </w:r>
          </w:p>
        </w:tc>
      </w:tr>
      <w:tr>
        <w:trPr>
          <w:trHeight w:val="207"/>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22,022</w:t>
            </w: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r>
      <w:tr>
        <w:trPr>
          <w:trHeight w:val="20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 (provision) benefit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19,819</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(5,915)</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13,904</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Limoneira Company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14,018</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17,587</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18,328</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INCOME (LOSS)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r>
      <w:tr>
        <w:trPr>
          <w:trHeight w:val="225"/>
        </w:trPr>
        <w:tc>
          <w:tcPr>
            <w:tcW w:w="56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6,555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176"/>
        </w:trPr>
        <w:tc>
          <w:tcPr>
            <w:tcW w:w="5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Minimum pension liability adjustments, net of tax of $(135) for the six</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months ended April 30, 2023</w:t>
            </w:r>
          </w:p>
        </w:tc>
        <w:tc>
          <w:tcPr>
            <w:tcW w:w="84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176"/>
        </w:trPr>
        <w:tc>
          <w:tcPr>
            <w:tcW w:w="56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Pension settlement cost, net of tax of $756 for the six months ended April</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30, 2023</w:t>
            </w:r>
          </w:p>
        </w:tc>
        <w:tc>
          <w:tcPr>
            <w:tcW w:w="8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8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Limoneira Company</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6,330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17,941,032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at January 31, 2024</w:t>
            </w: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95"/>
              </w:rPr>
              <w:t>18,004,918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168,620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13,957</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(6,133)</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11,057</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184,188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7"/>
        </w:trPr>
        <w:tc>
          <w:tcPr>
            <w:tcW w:w="176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Dividends Common ($0.075 per</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April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17,972,656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168,540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188,952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17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1"/>
                <w:szCs w:val="11"/>
                <w:color w:val="auto"/>
              </w:rPr>
            </w:pPr>
          </w:p>
        </w:tc>
        <w:tc>
          <w:tcPr>
            <w:tcW w:w="7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6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17,684,315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165,169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181,054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7"/>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2023</w:t>
            </w:r>
          </w:p>
        </w:tc>
        <w:tc>
          <w:tcPr>
            <w:tcW w:w="8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5"/>
              </w:rPr>
              <w:t>17,830,604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166,232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(3,961)</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200,059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1"/>
        </w:trPr>
        <w:tc>
          <w:tcPr>
            <w:tcW w:w="176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April 30, 2023</w:t>
            </w:r>
          </w:p>
        </w:tc>
        <w:tc>
          <w:tcPr>
            <w:tcW w:w="8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5"/>
              </w:rPr>
              <w:t>17,978,910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20"/>
          </w:cols>
          <w:pgMar w:left="320" w:top="3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(30,744)</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Cultural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w:t>
            </w:r>
          </w:p>
        </w:tc>
      </w:tr>
      <w:tr>
        <w:trPr>
          <w:trHeight w:val="216"/>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sales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sale of real estate development assets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from Trapani Fresh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 on notes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investment contributions and capitalized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95,422</w:t>
            </w:r>
          </w:p>
        </w:tc>
      </w:tr>
      <w:tr>
        <w:trPr>
          <w:trHeight w:val="216"/>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paid on finance leases and equipment financings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(68,012)</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9,833</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(UNAUDITED)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April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0"/>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contribution obligation of investment in water company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40" w:firstLine="8"/>
        <w:spacing w:after="0" w:line="41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Business</w:t>
      </w:r>
    </w:p>
    <w:p>
      <w:pPr>
        <w:jc w:val="both"/>
        <w:spacing w:after="0" w:line="282"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citrus directly to food service, wholesale and retail customers throughout the United States, Canada, Asia, Australia and other international markets. Through fiscal year 2023, the Company was a member of Sunkist Growers, Inc., an agricultural marketing cooperative, and sold a portion of its oranges, specialty citrus and other crops to Sunkist-licensed and other third-party packinghouses.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23" w:lineRule="exact"/>
        <w:rPr>
          <w:sz w:val="20"/>
          <w:szCs w:val="20"/>
          <w:color w:val="auto"/>
        </w:rPr>
      </w:pPr>
    </w:p>
    <w:p>
      <w:pPr>
        <w:ind w:right="7680" w:firstLine="8"/>
        <w:spacing w:after="0" w:line="417"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Comprehensive Income (Loss)</w:t>
      </w: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comprehensive (loss) income by component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Pre-tax</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Tax Expense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Tax Expense</w:t>
            </w:r>
          </w:p>
        </w:tc>
        <w:tc>
          <w:tcPr>
            <w:tcW w:w="120" w:type="dxa"/>
            <w:vAlign w:val="bottom"/>
          </w:tcPr>
          <w:p>
            <w:pPr>
              <w:spacing w:after="0"/>
              <w:rPr>
                <w:sz w:val="13"/>
                <w:szCs w:val="13"/>
                <w:color w:val="auto"/>
              </w:rPr>
            </w:pPr>
          </w:p>
        </w:tc>
        <w:tc>
          <w:tcPr>
            <w:tcW w:w="7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5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Pre-tax</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Tax Expense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Pre-tax</w:t>
            </w:r>
          </w:p>
        </w:tc>
        <w:tc>
          <w:tcPr>
            <w:tcW w:w="10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Tax Benefit</w:t>
            </w:r>
          </w:p>
        </w:tc>
        <w:tc>
          <w:tcPr>
            <w:tcW w:w="120" w:type="dxa"/>
            <w:vAlign w:val="bottom"/>
          </w:tcPr>
          <w:p>
            <w:pPr>
              <w:spacing w:after="0"/>
              <w:rPr>
                <w:sz w:val="13"/>
                <w:szCs w:val="13"/>
                <w:color w:val="auto"/>
              </w:rPr>
            </w:pPr>
          </w:p>
        </w:tc>
        <w:tc>
          <w:tcPr>
            <w:tcW w:w="7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 w:type="dxa"/>
            <w:vAlign w:val="bottom"/>
          </w:tcPr>
          <w:p>
            <w:pPr>
              <w:spacing w:after="0"/>
              <w:rPr>
                <w:sz w:val="18"/>
                <w:szCs w:val="18"/>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pension liability adjustments: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Amounts reclassified to earnings included in “Other income (expense), net”</w:t>
            </w: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37"/>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740" w:firstLine="8"/>
        <w:spacing w:after="0" w:line="424"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Comprehensive Income (Loss) (continued)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by component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Translation Loss</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4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37"/>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420" w:type="dxa"/>
            <w:vAlign w:val="bottom"/>
            <w:gridSpan w:val="3"/>
          </w:tcPr>
          <w:p>
            <w:pPr>
              <w:jc w:val="right"/>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 (Loss)</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4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30, 2023</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decline in demand for the Company's products as a result of the COVID-19 pandemic negatively impacted the Company's sales and profitability beginning in the second quarter of fiscal year 2020. The export market for fresh produce continues to experience decreased demand and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Financial Accounting Standards Board (“FASB”) Accounting Standards Update (“ASU”) 2023-07, Segment Reporting (Topic 280): Improvements to Reportable Segment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Release No. 33-11275: The Enhancement and Standardization of Climate-Related Disclosures for Investors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requires registrants to provide certain climate-related information in their registration statements and annual reports. The rules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registrant's climate-related risks that are reasonably likely to have a material impact on its business, results of operations, or financial condition. These requirements are effective for the Company in various fiscal years, starting with its fiscal year beginning November 1, 2026. On April 4, 2024, the SEC determined to voluntarily stay the final rules pending certain legal challenges. The Company is currently evaluating the impact of these final rules on its consolidated financial statements and disclosures.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740" w:firstLine="8"/>
        <w:spacing w:after="0" w:line="42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Concentrations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accounts receivable are limited due to a large, diverse customer base. One individual customer represented 14% of revenue for the six months ended April 30, 2024. Two individual customers represented 20% and 11% of accounts receivable, net as of April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individual vendor represented 26% of accounts payable as of April 30, 2024.</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Lemons procured from third-party growers were 79% and 57% of the Company's lemon supply for the six months ended April 30, 2024 and 2023, respectively. One third-party grower was 20% of the Company's lemon supply for the six months ended April 30,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91" w:lineRule="exact"/>
        <w:rPr>
          <w:sz w:val="20"/>
          <w:szCs w:val="20"/>
          <w:color w:val="auto"/>
        </w:rPr>
      </w:pPr>
    </w:p>
    <w:p>
      <w:pPr>
        <w:ind w:right="9100" w:firstLine="8"/>
        <w:spacing w:after="0" w:line="424"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Northern Properties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transaction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5"/>
        </w:trPr>
        <w:tc>
          <w:tcPr>
            <w:tcW w:w="9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 received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directly repaid through the transaction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proceeds received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book value of assets sold</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Cultural costs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53,144</w:t>
            </w:r>
          </w:p>
        </w:tc>
      </w:tr>
      <w:tr>
        <w:trPr>
          <w:trHeight w:val="230"/>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9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39,995</w:t>
            </w:r>
          </w:p>
        </w:tc>
      </w:tr>
      <w:tr>
        <w:trPr>
          <w:trHeight w:val="21"/>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were used to pay down all of the Company’s domestic debt except the AgWest Farm Credit $40,000,000 non-revolving line of credit.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2023, the Company entered into a Farm Management Agreement (“FMA”) with an affiliate of PGIM to provide farming, management and operations services related to the Northern Properties. The FMA had an initial term expiring March 31, 2024, and thereafter continues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180" w:firstLine="8"/>
        <w:spacing w:after="0" w:line="424"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(continued) Yuma Property</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sold 12 acres of real property located in Yuma, Arizona for a sales price of $775,000. After transaction and closing costs, the Company recorded a gain on disposal of assets of approximately $187,000 during the quarter ended January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Cadiz Ranch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Company determined that citrus farming operations were economically unviable on 670 acres of leased agricultural land at the Cadiz Ranch. As a result, the Company ceased farming operations at the Cadiz Ranch, disposed of the related property, plant and equipment and recorded a loss on disposal of assets of $9,012,000 during the quarter ended April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for the East Area II property in the amount of $9,995,000 and $9,987,000 as of April 30, 2024 and October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and East Area II, subject to certain reimbursements by the Company. The balance in East Area II includes estimated costs incurred by and reimbursable to LLCB of $3,444,000 as of April 30, 2024 and October 31, 2023, which is included in payables to related parties.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Effective as of February 22, 2024, the loan maturity date was extended to August 22, 2024 and the interest rate transitioned from the BSBY to the Secured Overnight Financing Rate ("SOFR") plus 2.85%. The Loan contains certain customary default provisions and LLCB may prepay any amounts outstanding under the Loan without penalty. As of April 30, 2024, the Loan had no outstanding balance and LLCB had unaudited cash and cash equivalents of $102,078,000.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 (continued)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and the Loan terminates.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April 30, 2024 and October 31, 2023. The joint venture partners will share in the capital contributions to fund project costs until loan proceeds and/or revenues are sufficient to fund the project. The Company made contributions of $200,000 and $275,000 to LLCB II during the six months ended April 30, 2024 and 2023, respectively.</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April 30, 2024, LLCB closed on lot sales representing 1,261 residential units since inception, including 554 residential units in the second quarter of fiscal year 2024. In June 2024, the Company received a cash distribution of $15,005,000 from LLCB.</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six months ended April 30,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Equity in Investments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66,288</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LLCB II, LLC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Limco Del Mar, Ltd.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six months ended April 30, 2024, this threshold was met for LLCB and thus summarized income statement information is presented in this Quarterly Report on Form 10-Q. The full audited financial statements of LLCB for the years ended October 31, 2023, 2022 and 2021 were provided as exhibits to the Annual Report on Form 10-K for the fiscal year ended October 31,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in Investments (continued)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unaudited summarized financial information for LLCB (in thousands):</w:t>
      </w:r>
    </w:p>
    <w:p>
      <w:pPr>
        <w:spacing w:after="0" w:line="18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land sold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2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April 30, 2024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October 31,</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1" w:lineRule="exact"/>
        <w:rPr>
          <w:sz w:val="20"/>
          <w:szCs w:val="20"/>
          <w:color w:val="auto"/>
        </w:rPr>
      </w:pPr>
    </w:p>
    <w:p>
      <w:pPr>
        <w:sectPr>
          <w:pgSz w:w="11900" w:h="16838" w:orient="portrait"/>
          <w:cols w:equalWidth="0" w:num="2">
            <w:col w:w="9700" w:space="420"/>
            <w:col w:w="11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20" w:type="dxa"/>
            <w:vAlign w:val="bottom"/>
            <w:tcBorders>
              <w:top w:val="single" w:sz="8" w:color="auto"/>
            </w:tcBorders>
            <w:shd w:val="clear" w:color="auto" w:fill="CCEEFF"/>
          </w:tcPr>
          <w:p>
            <w:pPr>
              <w:spacing w:after="0"/>
              <w:rPr>
                <w:sz w:val="19"/>
                <w:szCs w:val="19"/>
                <w:color w:val="auto"/>
              </w:rPr>
            </w:pPr>
          </w:p>
        </w:tc>
      </w:tr>
      <w:tr>
        <w:trPr>
          <w:trHeight w:val="23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line of credit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Goodwill</w:t>
            </w:r>
          </w:p>
        </w:tc>
      </w:tr>
      <w:tr>
        <w:trPr>
          <w:trHeight w:val="184"/>
        </w:trPr>
        <w:tc>
          <w:tcPr>
            <w:tcW w:w="4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0"/>
        </w:trPr>
        <w:tc>
          <w:tcPr>
            <w:tcW w:w="4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40" w:type="dxa"/>
            <w:vAlign w:val="bottom"/>
          </w:tcPr>
          <w:p>
            <w:pPr>
              <w:spacing w:after="0"/>
              <w:rPr>
                <w:sz w:val="19"/>
                <w:szCs w:val="19"/>
                <w:color w:val="auto"/>
              </w:rPr>
            </w:pPr>
          </w:p>
        </w:tc>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3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30, 2024</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 charges recorded against goodwill as of April 30,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$177,000 and $178,000 for the three months ended April 30, 2024 and 2023, respectively. Amortization expense totaled $356,000 and $375,000 for the six months ended April 30, 2024 and 2023, respectively.</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9880" w:type="dxa"/>
            <w:vAlign w:val="bottom"/>
          </w:tcPr>
          <w:p>
            <w:pPr>
              <w:ind w:left="4380"/>
              <w:spacing w:after="0"/>
              <w:rPr>
                <w:sz w:val="20"/>
                <w:szCs w:val="20"/>
                <w:color w:val="auto"/>
              </w:rPr>
            </w:pPr>
            <w:r>
              <w:rPr>
                <w:rFonts w:ascii="Times New Roman" w:cs="Times New Roman" w:eastAsia="Times New Roman" w:hAnsi="Times New Roman"/>
                <w:sz w:val="22"/>
                <w:szCs w:val="22"/>
                <w:b w:val="1"/>
                <w:bCs w:val="1"/>
                <w:color w:val="auto"/>
              </w:rPr>
              <w:t>LIMONEIRA COMPANY</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98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78"/>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April 30, 2024 is as follows (in thousands):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2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20" w:type="dxa"/>
            <w:vAlign w:val="bottom"/>
          </w:tcPr>
          <w:p>
            <w:pPr>
              <w:spacing w:after="0"/>
              <w:rPr>
                <w:sz w:val="19"/>
                <w:szCs w:val="19"/>
                <w:color w:val="auto"/>
              </w:rPr>
            </w:pP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20" w:type="dxa"/>
            <w:vAlign w:val="bottom"/>
          </w:tcPr>
          <w:p>
            <w:pPr>
              <w:spacing w:after="0"/>
              <w:rPr>
                <w:sz w:val="19"/>
                <w:szCs w:val="19"/>
                <w:color w:val="auto"/>
              </w:rPr>
            </w:pPr>
          </w:p>
        </w:tc>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8"/>
        </w:trPr>
        <w:tc>
          <w:tcPr>
            <w:tcW w:w="20" w:type="dxa"/>
            <w:vAlign w:val="bottom"/>
          </w:tcPr>
          <w:p>
            <w:pPr>
              <w:spacing w:after="0"/>
              <w:rPr>
                <w:sz w:val="21"/>
                <w:szCs w:val="21"/>
                <w:color w:val="auto"/>
              </w:rPr>
            </w:pPr>
          </w:p>
        </w:tc>
        <w:tc>
          <w:tcPr>
            <w:tcW w:w="9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April 30, 2024 and October 31, 2023 were $6,200,000 and $5,703,000,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6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6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8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64"/>
        </w:trPr>
        <w:tc>
          <w:tcPr>
            <w:tcW w:w="85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AgWest Farm Credit revolving and non-revolving lines of credit: the interest rate of the revolving line of credit is</w:t>
            </w: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variable based on the one-month SOFR, which was 5.33% at April 30, 2024, plus 1.78%. The interest rate for the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$40.0 million outstanding balance of the non-revolving line of credit is fixed at 3.57% through July 1, 2025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thereafter. Interest is payable monthly and the principal is due in full on July 1, 2026.</w:t>
            </w: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The loans are payable in monthly</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84"/>
        </w:trPr>
        <w:tc>
          <w:tcPr>
            <w:tcW w:w="8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2026.</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41,009</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$115,000,000 comprised of $75,000,000 under the Revolving Credit Supplement, and $40,000,000 under the Non-Revolving Credit Supplement. As of April 30, 2024, the Company's outstanding borrowings under the Supplements were $59,417,000 and it had $55,583,000 available to borrow.</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used the proceeds from the Northern Properties sale as described in Note 3 - Asset Sales and Disposals to reduce the Company's long-term debt.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SOFR.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Lender declared an annual cash patronage dividend of 1.25% of average eligible loan balances and the Company received $558,000 in the second quarter of fiscal year 2024. In February 2023, the Lender declared an annual cash patronage dividend of 1.25% of average eligible loan balances and the Company received $1,413,000 in the second quarter of fiscal year 2023.</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$98,000 and zero during the three months ended April 30, 2024 and 2023, and $154,000 and $306,000 for the six months ended April 30, 2024 and 2023, respectively. Capitalized interest is included in property, plant and equipment, real estate development assets and equity in investments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Other Long-Term Liabilities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guarantee</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19 years with various renewal terms available. All of the residential rentals have month-to-month lease terms.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8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80" w:type="dxa"/>
            <w:vAlign w:val="bottom"/>
            <w:tcBorders>
              <w:bottom w:val="single" w:sz="8" w:color="auto"/>
            </w:tcBorders>
          </w:tcPr>
          <w:p>
            <w:pPr>
              <w:spacing w:after="0"/>
              <w:rPr>
                <w:sz w:val="20"/>
                <w:szCs w:val="20"/>
                <w:color w:val="auto"/>
              </w:rPr>
            </w:pPr>
          </w:p>
        </w:tc>
      </w:tr>
      <w:tr>
        <w:trPr>
          <w:trHeight w:val="225"/>
        </w:trPr>
        <w:tc>
          <w:tcPr>
            <w:tcW w:w="4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packinghouse facilities, equipment and vehicles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 costs consist of the following (in thousands):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2"/>
        </w:trPr>
        <w:tc>
          <w:tcPr>
            <w:tcW w:w="4860" w:type="dxa"/>
            <w:vAlign w:val="bottom"/>
          </w:tcPr>
          <w:p>
            <w:pPr>
              <w:spacing w:after="0"/>
              <w:rPr>
                <w:sz w:val="24"/>
                <w:szCs w:val="24"/>
                <w:color w:val="auto"/>
              </w:rPr>
            </w:pPr>
          </w:p>
        </w:tc>
        <w:tc>
          <w:tcPr>
            <w:tcW w:w="26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10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Borders>
              <w:bottom w:val="single" w:sz="8" w:color="CCEEFF"/>
            </w:tcBorders>
          </w:tcPr>
          <w:p>
            <w:pPr>
              <w:spacing w:after="0"/>
              <w:rPr>
                <w:sz w:val="21"/>
                <w:szCs w:val="21"/>
                <w:color w:val="auto"/>
              </w:rPr>
            </w:pPr>
          </w:p>
        </w:tc>
        <w:tc>
          <w:tcPr>
            <w:tcW w:w="438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3"/>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438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43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438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Basic and Diluted Net Income (Loss) Per Share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unvested, restricted stock and conversion of preferred stock. The computations for basic and diluted net income (loss) per common share are as follows (in thousands, except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25"/>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basic EPS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17,587</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basic EPS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diluted EPS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income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(loss) per common share was calculated under the two-class method for the three and six months ended April 30, 2024 and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Equity in Investments and in the tables below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Payables to</w:t>
            </w:r>
          </w:p>
        </w:tc>
        <w:tc>
          <w:tcPr>
            <w:tcW w:w="100" w:type="dxa"/>
            <w:vAlign w:val="bottom"/>
          </w:tcPr>
          <w:p>
            <w:pPr>
              <w:spacing w:after="0"/>
              <w:rPr>
                <w:sz w:val="11"/>
                <w:szCs w:val="11"/>
                <w:color w:val="auto"/>
              </w:rPr>
            </w:pPr>
          </w:p>
        </w:tc>
        <w:tc>
          <w:tcPr>
            <w:tcW w:w="1560" w:type="dxa"/>
            <w:vAlign w:val="bottom"/>
            <w:gridSpan w:val="5"/>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Payables to</w:t>
            </w:r>
          </w:p>
        </w:tc>
        <w:tc>
          <w:tcPr>
            <w:tcW w:w="0" w:type="dxa"/>
            <w:vAlign w:val="bottom"/>
          </w:tcPr>
          <w:p>
            <w:pPr>
              <w:spacing w:after="0"/>
              <w:rPr>
                <w:sz w:val="1"/>
                <w:szCs w:val="1"/>
                <w:color w:val="auto"/>
              </w:rPr>
            </w:pPr>
          </w:p>
        </w:tc>
      </w:tr>
      <w:tr>
        <w:trPr>
          <w:trHeight w:val="146"/>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40" w:type="dxa"/>
            <w:vAlign w:val="bottom"/>
          </w:tcPr>
          <w:p>
            <w:pPr>
              <w:spacing w:after="0"/>
              <w:rPr>
                <w:sz w:val="12"/>
                <w:szCs w:val="12"/>
                <w:color w:val="auto"/>
              </w:rPr>
            </w:pPr>
          </w:p>
        </w:tc>
        <w:tc>
          <w:tcPr>
            <w:tcW w:w="1020" w:type="dxa"/>
            <w:vAlign w:val="bottom"/>
          </w:tcPr>
          <w:p>
            <w:pPr>
              <w:jc w:val="right"/>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10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960" w:type="dxa"/>
            <w:vAlign w:val="bottom"/>
          </w:tcPr>
          <w:p>
            <w:pPr>
              <w:jc w:val="right"/>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 w:type="dxa"/>
            <w:vAlign w:val="bottom"/>
            <w:gridSpan w:val="2"/>
            <w:vMerge w:val="continue"/>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10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140" w:type="dxa"/>
            <w:vAlign w:val="bottom"/>
          </w:tcPr>
          <w:p>
            <w:pPr>
              <w:spacing w:after="0"/>
              <w:rPr>
                <w:sz w:val="17"/>
                <w:szCs w:val="17"/>
                <w:color w:val="auto"/>
              </w:rPr>
            </w:pPr>
          </w:p>
        </w:tc>
        <w:tc>
          <w:tcPr>
            <w:tcW w:w="9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0" w:type="dxa"/>
            <w:vAlign w:val="bottom"/>
          </w:tcPr>
          <w:p>
            <w:pPr>
              <w:spacing w:after="0"/>
              <w:rPr>
                <w:sz w:val="1"/>
                <w:szCs w:val="1"/>
                <w:color w:val="auto"/>
              </w:rPr>
            </w:pPr>
          </w:p>
        </w:tc>
      </w:tr>
      <w:tr>
        <w:trPr>
          <w:trHeight w:val="21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Cadiz / Fenner / WAM</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2,519</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LLCB</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4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460" w:type="dxa"/>
            <w:vAlign w:val="bottom"/>
            <w:gridSpan w:val="3"/>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33655</wp:posOffset>
            </wp:positionV>
            <wp:extent cx="27089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33655</wp:posOffset>
            </wp:positionV>
            <wp:extent cx="2726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33" w:lineRule="exact"/>
        <w:rPr>
          <w:sz w:val="20"/>
          <w:szCs w:val="20"/>
          <w:color w:val="auto"/>
        </w:rPr>
      </w:pPr>
    </w:p>
    <w:p>
      <w:pPr>
        <w:sectPr>
          <w:pgSz w:w="11900" w:h="16838" w:orient="portrait"/>
          <w:cols w:equalWidth="0" w:num="2">
            <w:col w:w="6760" w:space="720"/>
            <w:col w:w="37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51"/>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0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3"/>
                <w:szCs w:val="13"/>
                <w:color w:val="auto"/>
              </w:rPr>
            </w:pPr>
          </w:p>
        </w:tc>
        <w:tc>
          <w:tcPr>
            <w:tcW w:w="7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0" w:type="dxa"/>
            <w:vAlign w:val="bottom"/>
            <w:gridSpan w:val="2"/>
            <w:vMerge w:val="continue"/>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4"/>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Cadiz / Fenner / WAM</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6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Six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33655</wp:posOffset>
            </wp:positionV>
            <wp:extent cx="27089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33655</wp:posOffset>
            </wp:positionV>
            <wp:extent cx="2726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33" w:lineRule="exact"/>
        <w:rPr>
          <w:sz w:val="20"/>
          <w:szCs w:val="20"/>
          <w:color w:val="auto"/>
        </w:rPr>
      </w:pPr>
    </w:p>
    <w:p>
      <w:pPr>
        <w:sectPr>
          <w:pgSz w:w="11900" w:h="16838" w:orient="portrait"/>
          <w:cols w:equalWidth="0" w:num="2">
            <w:col w:w="6760" w:space="720"/>
            <w:col w:w="37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2"/>
                <w:szCs w:val="12"/>
                <w:color w:val="auto"/>
              </w:rPr>
            </w:pPr>
          </w:p>
        </w:tc>
        <w:tc>
          <w:tcPr>
            <w:tcW w:w="7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9"/>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gridSpan w:val="2"/>
            <w:vMerge w:val="continue"/>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Cadiz / Fenner / WAM</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firstLine="8"/>
        <w:spacing w:after="0" w:line="229" w:lineRule="auto"/>
        <w:tabs>
          <w:tab w:leader="none" w:pos="20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w:t>
      </w:r>
    </w:p>
    <w:p>
      <w:pPr>
        <w:spacing w:after="0" w:line="130"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118"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19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 (continued)</w:t>
      </w:r>
    </w:p>
    <w:p>
      <w:pPr>
        <w:spacing w:after="0" w:line="148" w:lineRule="exact"/>
        <w:rPr>
          <w:sz w:val="20"/>
          <w:szCs w:val="20"/>
          <w:color w:val="auto"/>
        </w:rPr>
      </w:pPr>
    </w:p>
    <w:p>
      <w:pPr>
        <w:jc w:val="both"/>
        <w:ind w:firstLine="8"/>
        <w:spacing w:after="0" w:line="260" w:lineRule="auto"/>
        <w:tabs>
          <w:tab w:leader="none" w:pos="186"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Cadiz / Fenner / WAM - A member of the Company’s board of directors served as the CEO, President and a member of the board of directors of Cadiz, Inc. through December 31, 2023. As of January 1, 2024, Cadiz, Inc. is no longer a related-party.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the lease assignment, the Company no longer had any related-party transactions with Cadiz. An affiliate of WAM is the holder of 9,300 shares of the Company's Series B-2 convertible preferred stock and the Company paid dividends to such affiliate.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w:t>
      </w:r>
    </w:p>
    <w:p>
      <w:pPr>
        <w:spacing w:after="0" w:line="336"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1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spacing w:after="0" w:line="132" w:lineRule="exact"/>
        <w:rPr>
          <w:rFonts w:ascii="Times New Roman" w:cs="Times New Roman" w:eastAsia="Times New Roman" w:hAnsi="Times New Roman"/>
          <w:sz w:val="23"/>
          <w:szCs w:val="23"/>
          <w:color w:val="auto"/>
          <w:vertAlign w:val="superscript"/>
        </w:rPr>
      </w:pPr>
    </w:p>
    <w:p>
      <w:pPr>
        <w:jc w:val="both"/>
        <w:ind w:firstLine="8"/>
        <w:spacing w:after="0" w:line="255" w:lineRule="auto"/>
        <w:tabs>
          <w:tab w:leader="none" w:pos="184"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8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LLCB - Refer to Note 5 - Real Estate Development.</w:t>
      </w:r>
    </w:p>
    <w:p>
      <w:pPr>
        <w:spacing w:after="0" w:line="11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Principal owner - The Company has one principal owner with ownership shares over 10% and paid dividends to such owner.</w:t>
      </w:r>
    </w:p>
    <w:p>
      <w:pPr>
        <w:spacing w:after="0" w:line="130" w:lineRule="exact"/>
        <w:rPr>
          <w:rFonts w:ascii="Times New Roman" w:cs="Times New Roman" w:eastAsia="Times New Roman" w:hAnsi="Times New Roman"/>
          <w:sz w:val="22"/>
          <w:szCs w:val="22"/>
          <w:color w:val="auto"/>
          <w:vertAlign w:val="superscript"/>
        </w:rPr>
      </w:pPr>
    </w:p>
    <w:p>
      <w:pPr>
        <w:ind w:right="20" w:firstLine="8"/>
        <w:spacing w:after="0" w:line="272" w:lineRule="auto"/>
        <w:tabs>
          <w:tab w:leader="none" w:pos="24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Rosales - The Company has an equity interest in Rosales as further described in Note 6 - Equity in Investments. The Company recognizes lemon sales to Rosales, procures lemons and oranges from Rosales and has amounts due to and due from Rosales for such sales and consignments.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six months ended April 30, 2024 was higher than the federal statutory tax rate of 21% mainly due to foreign jurisdictions that are taxed at different rates, state taxes, tax impact of executive compensation, nondeductible tax items and valuation allowances on certain deferred tax assets of foreign subsidiaries. The Company has no material uncertain tax positions as of April 30, 2024. The Company recognizes interest expense and penalties related to income tax matters as a component of income tax expense. There was no accrued interest or penalties associated with uncertain tax positions as of April 30,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30,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was funded consistent with the funding requirements of federal law and regulations. Plan assets were invested in a group trust consisting primarily of pooled funds, mutual funds, cash and cash equivalents.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Retirement Plans (continued)</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Plan were as follows (in thousands):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1"/>
        </w:trPr>
        <w:tc>
          <w:tcPr>
            <w:tcW w:w="8500" w:type="dxa"/>
            <w:vAlign w:val="bottom"/>
          </w:tcPr>
          <w:p>
            <w:pPr>
              <w:spacing w:after="0"/>
              <w:rPr>
                <w:sz w:val="24"/>
                <w:szCs w:val="24"/>
                <w:color w:val="auto"/>
              </w:rPr>
            </w:pPr>
          </w:p>
        </w:tc>
        <w:tc>
          <w:tcPr>
            <w:tcW w:w="22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Pr>
          <w:p>
            <w:pPr>
              <w:spacing w:after="0"/>
              <w:rPr>
                <w:sz w:val="24"/>
                <w:szCs w:val="24"/>
                <w:color w:val="auto"/>
              </w:rPr>
            </w:pPr>
          </w:p>
        </w:tc>
      </w:tr>
      <w:tr>
        <w:trPr>
          <w:trHeight w:val="241"/>
        </w:trPr>
        <w:tc>
          <w:tcPr>
            <w:tcW w:w="8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80" w:type="dxa"/>
            <w:vAlign w:val="bottom"/>
            <w:tcBorders>
              <w:bottom w:val="single" w:sz="8" w:color="auto"/>
            </w:tcBorders>
          </w:tcPr>
          <w:p>
            <w:pPr>
              <w:spacing w:after="0"/>
              <w:rPr>
                <w:sz w:val="20"/>
                <w:szCs w:val="20"/>
                <w:color w:val="auto"/>
              </w:rPr>
            </w:pPr>
          </w:p>
        </w:tc>
      </w:tr>
      <w:tr>
        <w:trPr>
          <w:trHeight w:val="225"/>
        </w:trPr>
        <w:tc>
          <w:tcPr>
            <w:tcW w:w="85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9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 recognized</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2,700</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2,741</w:t>
            </w:r>
          </w:p>
        </w:tc>
      </w:tr>
      <w:tr>
        <w:trPr>
          <w:trHeight w:val="21"/>
        </w:trPr>
        <w:tc>
          <w:tcPr>
            <w:tcW w:w="8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 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 as of April 30,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common stock on the date of grant and all are classified as equity awards.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These grants are based on a percentage of the employee’s base salary divided by the stock price on the grant date once the performance criteria have been met, and generally vest over a two-year period as service is provided. During December 2023, 36,127 shares of stock with a per share price of $19.57 were granted to management under the Stock Plan for fiscal year 2023 performance, resulting in total compensation expense of approximately $707,000, with $293,000 recognized in the fiscal year ended October 31, 2023, and the balance will be recognized over the next two years as the shares vest. During April 2024, 4,330 shares of stock with a weighted average per share price of $19.49 were granted to management under the Stock Plan and vested upon issuance.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These grants generally vest over a three-year period as service is provided. During November 2023, the Company granted 53,078 shares of stock with a per share price of $14.13 to key executives under the Stock Plan. The related compensation expense of approximately $750,000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Stock-based Compensation (continued)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 (continued)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2022, the Company entered into Retention Bonus Agreements with key executives (collectively, the “Retention Bonus Agreements”) whereby the executives will be eligible to receive cash and restricted stock grants. During December 2023, the Company granted 12,709 shares of stock with a per share price of $19.57 to key executives related to the Retention Bonus Agreements. The related compensation expense of approximately $249,000 had $115,000 recognized in the fiscal year ended October 31, 2023, and the balance will be recognized over the next year as the shares vest.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Performance Share-Based Award Agreements with key executives whereby the executives may be granted common stock in the future based on the achievement of certain long-term performance goals. The Company recorded $175,000 of stock compensation expense related to these awards during the six months ended April 30,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restricted stock grants are made to non-employee directors under the Stock Plan on an annual basis that generally vest after a one-year period (“Director Awards”). During January 2024, 609 shares of stock were granted as Director Awards with a per share price of $20.37. During March 2024, an additional 26,478 shares of stock were granted as Director Awards with a per share price of $19.26.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Common Stock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April 30, 2024 and 2023, members of management exchanged 99,167 and 1,594 shares of common stock with fair values totaling $1,835,000 and $26,000, respectively, at the dates of the exchanges, for the payment of payroll taxes associated with the vesting of shares under the Stock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other crops, fallowing revenue, shipping revenue and shipping costs. During fiscal year 2024, the Company changed its reporting of other revenue and other costs and includes these items in the other agribusiness segment instead of the fresh lemons segment. Prior year's information has been restated to conform to the current year's presentation.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or loss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(continued)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April 30, 2024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4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April 30, 2023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40" w:type="dxa"/>
            <w:vAlign w:val="bottom"/>
          </w:tcPr>
          <w:p>
            <w:pPr>
              <w:spacing w:after="0"/>
              <w:rPr>
                <w:sz w:val="13"/>
                <w:szCs w:val="13"/>
                <w:color w:val="auto"/>
              </w:rPr>
            </w:pPr>
          </w:p>
        </w:tc>
        <w:tc>
          <w:tcPr>
            <w:tcW w:w="9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six months ended April 30, 2024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six months ended April 30, 2023 is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85,971</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 (gains)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related to rental operations are included in “Corporate and Other.” The detail of other agribusiness revenues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7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25"/>
        </w:trPr>
        <w:tc>
          <w:tcPr>
            <w:tcW w:w="57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1,160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2,046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events subsequent to April 30, 2024 through the date of this filing, to assess the need for potential recognition or disclosure in this Quarterly Report.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 w:name="page27"/>
    <w:bookmarkEnd w:id="26"/>
    <w:p>
      <w:pPr>
        <w:ind w:right="400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color w:val="auto"/>
        </w:rPr>
        <w:t>Overview</w:t>
      </w: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10,500 acres of land, water resources and other assets to maximize long-term stockholder value. Our current operations consist of fruit production, sales and marketing, rental operations, real estate and capital investment activities.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California’s oldest citrus growers and are one of the largest growers of lemons in the United States. According to the California Avocado Commission, we are one of the largest growers of avocados in the United States. In addition to growing lemons and avocados, we grow oranges and other crops. We have agricultural plantings throughout Ventura and San Luis Obispo Counties in California, Yuma County in Arizona, La Serena, Chile and Jujuy, Argentina, which collectively consist of approximately 3,400 acres of lemons, 1,200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 We use ground water from the San Joaquin Valley Basin and water from local water and irrigation districts in Tulare County, which is in California’s San Joaquin Valley.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Summary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sell citrus directly to our food service, wholesale and retail customers throughout the United States, Canada, Asia, Australia, Europe and certain other international markets. We sell our avocados and oranges to third-party packinghouses. Additionally, we sell our wine grapes to various wine producers.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avocado producing business is important to us and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and other crops. We regularly monitor the demand for the fruit we grow in the current marketplace to identify trends.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 Summary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Our Windfall Farms property located in San Luis Obispo County, California obtains water from wells that derive water from the Paso Robles Basin (aquifer). Our farming operations in Yuma, Arizona source water from the Colorado River through the YMIDD, where we have access to approximately 11,700 acre-feet of Class 3 Colorado River water rights. We use ground water provided by wells and surface water for our PDA and San Pablo farming operations in La Serena, Chile and our Trapani Fresh farming operations in Argentina.</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received above average precipitation during the 2022 - 2023 rainfall season and is experiencing above average precipitation for the 2023 - 2024 rainfall season, after experiencing three years of below average precipitation and drought conditions. The above average precipitation helped to alleviate the drought conditions in California. As of April 30, 2024, the state was free from moderate drought conditions and Ventura County was free from any drought conditions. We continue to assess the impact drought conditions may have on our California orchards.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U.S. Bureau of Reclamation announced that Lake Mead will operate in a Tier 1 shortage in 2024, which requires Arizona to forfeit approximately 18% of the state's yearly allotment of water from Lake Mead. In response to this and prior year water shortages, we entered into fallowing agreements during fiscal years 2023 and 2022 and continue to assess the impact these reductions may have on our Arizona orchards.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2023, we announced the commencement of a strategic review process to explore potential alternatives aimed at maximizing stockholder value. Potential strategic alternatives could include, but not be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we sold 12 acres of real property located in Yuma, Arizona for a sales price of $0.8 million. After transaction and closing costs, we recorded a gain on sale of approximately $0.2 million.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5, 2024, we declared a cash dividend of $0.075 per common share paid on April 12, 2024, in the aggregate amount of approximately $1.3 million to stockholders of record as of April 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the Company conducted an organization restructuring which resulted in severance benefits of approximately $1.2 million.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2024, our real estate development joint venture with The Lewis Group of Companies (“Lewis”) closed an additional 554 residential homesites at the Harvest at Limoneira master planned community in Santa Paula, CA (“Harvest”) and we recorded equity in earnings of investments of $16.6 million in the second quarter of fiscal year 2024. On June 5, 2024, we received a cash distribution of $15.0 million from the joint venture.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2024, we announced that the Santa Paula City Council has approved the proposal brought forward by the Company's real estate development joint venture with Lewis to increase the number of entitled lots at Harvest from 1,500 dwelling units to 2,050 dwelling units. The Santa Paula City Council approved an amendment allowing for the 550-unit increase on April 3, 2024. The 550-unit increase will provide 250 additional single family for-sale homesites within Phase 3 of Harvest. Additionally, the Company in partnership with Lewis plans to construct 300 multi-family rental homes on a mixed-use portion of the project.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export market for fresh produce significantly declined due to the COVID-19 pandemic impacts and continues to experience decreased demand.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demand for the Company's products negatively impacted our sales and profitability for the last four fiscal years. The COVID-19 pandemic may continue to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2023.</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continued uncertainty around the breadth and duration of our export market business disruptions related to the COVID-19 pandemic. The ongoing impact of the COVID-19 pandemic on our results of operations, financial condition, or liquidity for fiscal year 2024 and beyond cannot be estimated at this time.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2"/>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83,204</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85,971</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79,430</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63,949</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pension settlement cost, loss (gain) on disposal of assets, net, cash bonus related to sale of assets, gain on legal settlement and severance benefits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25"/>
        </w:trPr>
        <w:tc>
          <w:tcPr>
            <w:tcW w:w="5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 cost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bonus related to sale of assets</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benefits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43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Three Months Ended April 30, 2024 Compared to the Three Months Ended April 30, 2023 </w:t>
      </w:r>
      <w:r>
        <w:rPr>
          <w:rFonts w:ascii="Times New Roman" w:cs="Times New Roman" w:eastAsia="Times New Roman" w:hAnsi="Times New Roman"/>
          <w:sz w:val="18"/>
          <w:szCs w:val="18"/>
          <w:b w:val="1"/>
          <w:bCs w:val="1"/>
          <w:i w:val="1"/>
          <w:iCs w:val="1"/>
          <w:color w:val="auto"/>
        </w:rPr>
        <w:t>Revenues</w:t>
      </w:r>
    </w:p>
    <w:p>
      <w:pPr>
        <w:spacing w:after="0"/>
        <w:rPr>
          <w:sz w:val="20"/>
          <w:szCs w:val="20"/>
          <w:color w:val="auto"/>
        </w:rPr>
      </w:pPr>
      <w:r>
        <w:rPr>
          <w:rFonts w:ascii="Times New Roman" w:cs="Times New Roman" w:eastAsia="Times New Roman" w:hAnsi="Times New Roman"/>
          <w:sz w:val="18"/>
          <w:szCs w:val="18"/>
          <w:color w:val="auto"/>
        </w:rPr>
        <w:t>Total net revenues for the three months ended April 30, 2024 were $44.6 million, compared to $48.1 million for the three months ended April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7% decrease of $3.5 million was primarily due to decreased lemons and avocados agribusiness revenues as detailed below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(2,560)</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(7)%</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(1,255)</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(35)%</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(223)</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7"/>
              </w:rPr>
              <w:t>(16)%</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(177)</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(17)%</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642</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6"/>
              </w:rPr>
              <w:t>46%</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154</w:t>
            </w:r>
          </w:p>
        </w:tc>
        <w:tc>
          <w:tcPr>
            <w:tcW w:w="9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6"/>
              </w:rPr>
              <w:t>17%</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(3,419)</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55"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second quarter of fiscal year 2024, compared to the same period of fiscal year 2023, was primarily due to decreased volume, partially offset by higher prices of fresh lemons sold and legal settlement proceeds allocated to lemons in the second quarter of fiscal year 2023. During the second quarter of fiscal years 2024 and 2023, fresh packed lemon sales were $25.8 million and $26.6 million, in aggregate, on 1,446,000 and 1,547,000 cartons of lemons sold at average per carton prices of $17.85 and $17.23, respectively. Lemon revenues in the second quarter of fiscal years 2024 and 2023 included brokered lemons and other lemon sales of $3.8 million and $2.5 million, lemon packing of $5.0 million and $6.4 million and lemon by-product sales of $1.2 million and $1.3 million, respectively, and included legal settlement proceeds of $1.4 million allocated to lemons in the second quarter of fiscal year 2023.</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decrease in the second quarter of fiscal year 2024, compared to the same period of fiscal year 2023, was primarily due to legal settlement proceeds of $2.4 million allocated to avocados in the second quarter of fiscal year 2023, partially offset by increased volume and higher prices of avocados sold. The California avocado crop typically experiences alternating years of high and low production due to plant physiology. During the second quarter of fiscal years 2024 and 2023, we sold 1,595,000 and 941,000 pounds of avocados at an average per pound price of $1.47 and $1.30, respectively.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decrease in the second quarter of fiscal year 2024, compared to the same period of fiscal year 2023, was primarily due to decreased volume, partially offset by higher prices of oranges sold. During the second quarter of fiscal years 2024 and 2023, we sold 66,000 and 88,000 cartons of oranges at an average per carton price of $17.58 and $15.72, respectively.</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decrease in the second quarter of fiscal year 2024, compared to the same period of fiscal year 2023, was primarily due to decreased volume, partially offset by higher prices of specialty citrus sold. During the second quarter of fiscal years 2024 and 2023, we sold 29,000 and 41,000 40-pound carton equivalents of specialty citrus at an average per carton price of $29.24 and $24.78, respectively.</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Farm management: Farm management revenue is comprised primarily of Northern Properties farming, management and operations services. The increase in farm management revenues in the second quarter of fiscal year 2024, compared to the same period of fiscal year 2023, was primarily due to farm management decisions based on weather and crop conditions.</w:t>
      </w:r>
    </w:p>
    <w:p>
      <w:pPr>
        <w:spacing w:after="0" w:line="94"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Other revenue is comprised primarily of fallowing and freight revenue. Other revenues in the second quarter of fiscal year 2024 were similar to the same period of fiscal year 2023.</w:t>
      </w:r>
    </w:p>
    <w:p>
      <w:pPr>
        <w:spacing w:after="0" w:line="94" w:lineRule="exact"/>
        <w:rPr>
          <w:sz w:val="20"/>
          <w:szCs w:val="20"/>
          <w:color w:val="auto"/>
        </w:rPr>
      </w:pPr>
    </w:p>
    <w:p>
      <w:pPr>
        <w:ind w:right="2080"/>
        <w:spacing w:after="0" w:line="414" w:lineRule="auto"/>
        <w:rPr>
          <w:sz w:val="20"/>
          <w:szCs w:val="20"/>
          <w:color w:val="auto"/>
        </w:rPr>
      </w:pPr>
      <w:r>
        <w:rPr>
          <w:rFonts w:ascii="Times New Roman" w:cs="Times New Roman" w:eastAsia="Times New Roman" w:hAnsi="Times New Roman"/>
          <w:sz w:val="18"/>
          <w:szCs w:val="18"/>
          <w:color w:val="auto"/>
        </w:rPr>
        <w:t xml:space="preserve">Other operations revenue in the second quarters of fiscal years 2024 and 2023 were $1.3 million and $1.4 million, respectively. </w:t>
      </w:r>
      <w:r>
        <w:rPr>
          <w:rFonts w:ascii="Times New Roman" w:cs="Times New Roman" w:eastAsia="Times New Roman" w:hAnsi="Times New Roman"/>
          <w:sz w:val="18"/>
          <w:szCs w:val="18"/>
          <w:b w:val="1"/>
          <w:bCs w:val="1"/>
          <w:i w:val="1"/>
          <w:iCs w:val="1"/>
          <w:color w:val="auto"/>
        </w:rPr>
        <w:t>Costs and Expenses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costs and expenses in the second quarter of fiscal year 2024 were $49.3 million, compared to $51.9 million in the same period of fiscal year 2023. The 5% decrease of $2.6 million was primarily due to the 2023 loss on disposal of Cadiz Ranch assets, partially offset by the 2023 gain on legal settlement and increases in agribusiness costs and expenses and selling, general and administrative expenses. Agribusiness costs and expenses are detailed below ($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1,513</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6"/>
              </w:rPr>
              <w:t>13%</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(3,429)</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(54)%</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(487)</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4,579</w:t>
            </w:r>
          </w:p>
        </w:tc>
        <w:tc>
          <w:tcPr>
            <w:tcW w:w="9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6"/>
              </w:rPr>
              <w:t>40%</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3%</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2,247</w:t>
            </w:r>
          </w:p>
        </w:tc>
        <w:tc>
          <w:tcPr>
            <w:tcW w:w="98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consist primarily of the costs to pack lemons for sale such as labor and benefits, cardboard cartons, fruit treatments, packing and shipping supplies, subcontracted costs and facility operating costs. During the second quarter of fiscal years 2024 and 2023, we packed and sold 1,446,000 and 1,547,000 cartons of lemons at average per carton costs of $9.39 and $7.81, respectively. The increase in per carton packing costs was primarily due to decreased volume packed and sold and increased subcontracted costs in the second quarter of fiscal year 2024.</w:t>
      </w:r>
    </w:p>
    <w:p>
      <w:pPr>
        <w:spacing w:after="0" w:line="44"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Harvest costs: The decrease in the second quarter of fiscal year 2024, compared to the same period of fiscal year 2023, was primarily due to decreased volume of lemons harvested related to the sale of the Northern Properties.</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in the second quarter of fiscal year 2024, compared to the same period in fiscal year 2023, was primarily due to farm management decisions based on weather, harvest timing and crop conditions.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both"/>
        <w:ind w:left="340" w:hanging="332"/>
        <w:spacing w:after="0" w:line="254"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and suppliers is referred to as third-party grower and supplier costs. The increase in the second quarter of fiscal year 2024, compared to the same period of fiscal year 2023, was primarily due to increased volume of third-party grower fruit. In the second quarter of fiscal years 2024 and 2023, we incurred costs for third-party grower fruit of $12.4 million and $8.8 million, respectively. Of the 1,446,000 and 1,547,000 cartons of lemons packed and sold during the second quarter of fiscal years 2024 and 2023, 1,099,000 (76%) and 765,000 (49%), were procured from third-party growers at average per carton prices of $11.36 and $11.46, respectively. The increased volume for third-party grower fruit was primarily due to the sale of the Northern Properties. Additionally, in the second quarter of fiscal years 2024 and 2023, we incurred $3.5 million and $2.6 million, respectively, of costs for purchased, packed fruit for resale.</w:t>
      </w:r>
    </w:p>
    <w:p>
      <w:pPr>
        <w:spacing w:after="0" w:line="4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costs: Other costs in the second quarter of fiscal year 2024 were similar to the same period of fiscal year 2023.</w:t>
      </w:r>
    </w:p>
    <w:p>
      <w:pPr>
        <w:spacing w:after="0" w:line="90" w:lineRule="exact"/>
        <w:rPr>
          <w:rFonts w:ascii="Times New Roman" w:cs="Times New Roman" w:eastAsia="Times New Roman" w:hAnsi="Times New Roman"/>
          <w:sz w:val="18"/>
          <w:szCs w:val="18"/>
          <w:i w:val="1"/>
          <w:iCs w:val="1"/>
          <w:color w:val="auto"/>
        </w:rPr>
      </w:pPr>
    </w:p>
    <w:p>
      <w:pPr>
        <w:ind w:left="340" w:right="20" w:hanging="332"/>
        <w:spacing w:after="0" w:line="282"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Depreciation and amortization: Depreciation and amortization expense in the second quarter of fiscal year 2024 was similar to the same period of fiscal year 2023.</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operations expenses were $1.4 million and $1.0 million in the second quarter of fiscal years 2024 and 2023, respectively. The increase in other operations expenses was primarily due to severance benefits in the second quarter of fiscal year 2024.</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on disposal of assets, net was immaterial and $9.0 million in the second quarter of fiscal years 2024 and 2023, respectively. The decrease in loss on disposal of assets, net was primarily due to the disposal of Cadiz Ranch assets in the second quarter of fiscal year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legal settlement was $2.3 million in the second quarter of fiscal year 2023 due to the Settlement Agreement related to the Thomas fire.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and expenses were $7.4 million and $6.0 million in the second quarter of fiscal years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23% increase of $1.4 million was primarily due to:</w:t>
      </w:r>
    </w:p>
    <w:p>
      <w:pPr>
        <w:spacing w:after="0" w:line="139" w:lineRule="exact"/>
        <w:rPr>
          <w:sz w:val="20"/>
          <w:szCs w:val="20"/>
          <w:color w:val="auto"/>
        </w:rPr>
      </w:pPr>
    </w:p>
    <w:p>
      <w:pPr>
        <w:ind w:left="3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net increase in salaries, benefits and incentive compensation, primarily due to compensation expense related to the Retention Bonus Agreements; and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net increase in other selling, general and administrative expenses, primarily associated with our strategic initiatives.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other income was $16.5 million and $1.3 million in the second quarter of fiscal years 2024 and 2023, respectively. The increase of $15.2 million in total other income was primarily due to:</w:t>
      </w:r>
    </w:p>
    <w:p>
      <w:pPr>
        <w:spacing w:after="0" w:line="94" w:lineRule="exact"/>
        <w:rPr>
          <w:sz w:val="20"/>
          <w:szCs w:val="20"/>
          <w:color w:val="auto"/>
        </w:rPr>
      </w:pPr>
    </w:p>
    <w:p>
      <w:pPr>
        <w:ind w:left="340" w:hanging="332"/>
        <w:spacing w:after="0" w:line="271" w:lineRule="auto"/>
        <w:tabs>
          <w:tab w:leader="none" w:pos="328"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$16.5 million increase in equity in earnings of investments, net, primarily due to LLCB's closing of 554 residential homesites in the second quarter of fiscal year 2024; and</w:t>
      </w:r>
    </w:p>
    <w:p>
      <w:pPr>
        <w:spacing w:after="0" w:line="19" w:lineRule="exact"/>
        <w:rPr>
          <w:rFonts w:ascii="Times New Roman" w:cs="Times New Roman" w:eastAsia="Times New Roman" w:hAnsi="Times New Roman"/>
          <w:sz w:val="20"/>
          <w:szCs w:val="20"/>
          <w:b w:val="1"/>
          <w:bCs w:val="1"/>
          <w:i w:val="1"/>
          <w:iCs w:val="1"/>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$1.3 million increase in interest expense, net of patronage dividends, primarily due to decreased patronage dividends.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estimated income tax (provision) benefit of $(5.2) million and $0.9 million in the second quarter of fiscal years 2024 and 2023 on pre-tax income (loss) of $11.8 million and $(2.5) million, respectively. The tax provision recorded for the second quarter of fiscal year 2024 differs from the U.S. federal statutory tax rate of 21.0% due primarily to foreign jurisdictions which are taxed at different rates, state taxes, tax impact of stock-based compensation, executive compensation and nondeductible tax items. Our projected annual effective blended tax rate for fiscal year 2024, excluding discrete items, is approximately 29.9%.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 represents 10% and 49% of PDA and Trapani Fresh, respectively, of the net income or loss in the second quarter of fiscal years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right="474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Six Months Ended April 30, 2024 Compared to the Six Months Ended April 30, 2023 </w:t>
      </w:r>
      <w:r>
        <w:rPr>
          <w:rFonts w:ascii="Times New Roman" w:cs="Times New Roman" w:eastAsia="Times New Roman" w:hAnsi="Times New Roman"/>
          <w:sz w:val="18"/>
          <w:szCs w:val="18"/>
          <w:b w:val="1"/>
          <w:bCs w:val="1"/>
          <w:i w:val="1"/>
          <w:iCs w:val="1"/>
          <w:color w:val="auto"/>
        </w:rPr>
        <w:t>Revenues</w:t>
      </w: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six months ended April 30, 2024 were $84.3 million, compared to $86.0 million for the six months ended April 30, 2023. The 2% decrease of $1.7 million was primarily due to decreased lemons and avocados agribusiness revenues, partially offset by increased farm management agribusiness revenues, as detailed below ($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(2,553)</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(1,255)</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(35)%</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(9)%</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(338)</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(15)%</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2,690</w:t>
            </w:r>
          </w:p>
        </w:tc>
        <w:tc>
          <w:tcPr>
            <w:tcW w:w="96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192%</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4%</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(1,608)</w:t>
            </w:r>
          </w:p>
        </w:tc>
        <w:tc>
          <w:tcPr>
            <w:tcW w:w="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55"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first six months of fiscal year 2024, compared to the same period of fiscal year 2023, was primarily due to decreased volume, partially offset by higher prices of fresh lemons sold and legal settlement proceeds allocated to lemons in fiscal year 2023. During the first six months of fiscal years 2024 and 2023, fresh packed lemon sales were $49.8 million and $51.3 million, in aggregate, on 2,583,000 and 2,855,000 cartons of lemons sold at average per carton prices of $19.27 and $17.98, respectively. Lemon revenues in the first six months of fiscal years 2024 and 2023 included brokered lemons and other lemon sales of $6.8 million and $3.9 million, lemon packing of $10.6 million and $12.1 million, and lemon by-product sales of $1.7 million and $2.6 million, respectively, and included legal settlement proceeds of $1.4 million allocated to lemons in fiscal year 2023.</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decrease in the first six months of fiscal year 2024, compared to the same period in fiscal year 2023, was primarily due to legal settlement proceeds of $2.4 million allocated to avocados in fiscal year 2023, partially offset by increased volume and higher prices of avocados sold. The California avocado crop typically experiences alternating years of high and low production due to plant physiology. During the first six months of fiscal years 2024 and 2023, we sold 1,595,000 and 941,000 pounds of avocados at an average per pound price of $1.47 and $1.30, respectively.</w:t>
      </w:r>
    </w:p>
    <w:p>
      <w:pPr>
        <w:spacing w:after="0" w:line="3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decrease in the first six months of fiscal year 2024, compared to the same period of fiscal year 2023, was primarily due to decreased volume and lower prices of oranges sold. During the first six months of fiscal years 2024 and 2023, we sold 146,000 and 152,000 cartons of oranges at an average per carton price of $15.76 and $16.68, respectively.</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decrease in the first six months of fiscal year 2024, compared to the same period of fiscal year 2023, was primarily due to decreased volume, partially offset by higher prices of specialty citrus sold. During the first six months of fiscal years 2024 and 2023, we sold 46,000 and 95,000 40-pound carton equivalents of specialty citrus at an average per carton price of $29.11 and $23.82, respectively.</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Farm management: Farm management revenue is comprised primarily of Northern Properties farming, management and operations services. The increase in farm management revenues in the first six months of fiscal year 2024, compared to the same period of fiscal year 2023, was primarily due to farm management decisions based on weather and crop conditions.</w:t>
      </w:r>
    </w:p>
    <w:p>
      <w:pPr>
        <w:spacing w:after="0" w:line="27" w:lineRule="exact"/>
        <w:rPr>
          <w:rFonts w:ascii="Times New Roman" w:cs="Times New Roman" w:eastAsia="Times New Roman" w:hAnsi="Times New Roman"/>
          <w:sz w:val="18"/>
          <w:szCs w:val="18"/>
          <w:i w:val="1"/>
          <w:iCs w:val="1"/>
          <w:color w:val="auto"/>
        </w:rPr>
      </w:pPr>
    </w:p>
    <w:p>
      <w:pPr>
        <w:ind w:left="340" w:right="20" w:hanging="332"/>
        <w:spacing w:after="0" w:line="282"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Other revenue is comprised primarily of fallowing and freight revenue. Other revenues in the first six months of fiscal year 2024 were similar to the same period of fiscal year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in the first six months of fiscal years 2024 and 2023 was $2.7 million and $2.8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costs and expenses in the first six months of fiscal year 2024 were $96.8 million, compared to $63.9 million in the same period of fiscal year 2023. The 51% increase of $32.9 million was primarily due to the 2023 gain on disposal of Northern Properties assets, the 2023 gain on legal settlement, partially offset by the 2023 loss on disposal of Cadiz Ranch assets. Agribusiness costs and expenses in the first six months of fiscal year 2024 were similar compared to the same period of fiscal year 2023, as detailed below ($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878</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(5,574)</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(54)%</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(1,966)</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7,284</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28%</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(159)</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(9)%</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(343)</w:t>
            </w: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(9)%</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61"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Packing costs: Packing costs consist primarily of the costs to pack lemons for sale such as labor and benefits, cardboard cartons, fruit treatments, packing and shipping supplies, subcontracted costs and facility operating costs. During the first six months of fiscal years 2024 and 2023, we packed and sold 2,583,000 and 2,855,000 cartons of lemons at average per carton costs of $9.41 and $8.21, respectively. The increase in per carton packing costs was primarily due to decreased volume packed and sold and increased subcontracted costs in fiscal year 2024.</w:t>
      </w:r>
    </w:p>
    <w:p>
      <w:pPr>
        <w:spacing w:after="0" w:line="31"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Harvest costs: The decrease in the first six months of fiscal year 2024, compared to the same period in fiscal year 2023, was primarily due to decreased volume of lemons harvested related to the sale of the Northern Properties.</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6"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in the first six months of fiscal year 2024, compared to the same period in fiscal year 2023, was primarily due to farm management decisions based on weather, harvest timing and crop conditions.</w:t>
      </w:r>
    </w:p>
    <w:p>
      <w:pPr>
        <w:spacing w:after="0" w:line="40" w:lineRule="exact"/>
        <w:rPr>
          <w:rFonts w:ascii="Times New Roman" w:cs="Times New Roman" w:eastAsia="Times New Roman" w:hAnsi="Times New Roman"/>
          <w:sz w:val="18"/>
          <w:szCs w:val="18"/>
          <w:i w:val="1"/>
          <w:iCs w:val="1"/>
          <w:color w:val="auto"/>
        </w:rPr>
      </w:pPr>
    </w:p>
    <w:p>
      <w:pPr>
        <w:jc w:val="both"/>
        <w:ind w:left="340" w:hanging="332"/>
        <w:spacing w:after="0" w:line="254"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and suppliers is referred to as third-party grower and supplier costs. The increase in the first six months of fiscal year 2024, compared to the same period of fiscal year 2023, was primarily due to increased volume and higher prices of third-party grower fruit sold. In the first six months of fiscal years 2024 and 2023, we incurred costs for third-party grower fruit of $27.2 million and $20.5 million, respectively. Of the 2,583,000 and 2,855,000 cartons of lemons packed and sold during the first six months of fiscal years 2024 and 2023, 2,052,000 (79%) and 1,630,000 (57%), were procured from third-party growers at average per carton prices of $13.24 and $12.60, respectively. The increased volume for third-party grower fruit was primarily due to the sale of the Northern Properties. Additionally, in the first six months of fiscal years 2024 and 2023, we incurred $6.5 million and $5.8 million, respectively, of costs for purchased, packed fruit for resale.</w:t>
      </w:r>
    </w:p>
    <w:p>
      <w:pPr>
        <w:spacing w:after="0" w:line="43"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costs: The decrease in the first six months of fiscal year 2024, compared to the same period of fiscal year 2023, was primarily due to decreased freight costs.</w:t>
      </w:r>
    </w:p>
    <w:p>
      <w:pPr>
        <w:spacing w:after="0" w:line="13"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The decrease in the first six months of fiscal year 2024, compared to the same period of fiscal year 2023, was primarily due to the Northern Properties sale in fiscal year 2023.</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operations expenses were $2.6 million and $2.2 million in the first six months of fiscal years 2024 and 2023, respectively. The increase in other operations expenses was primarily due to severance benefits in fiscal year 2024.</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disposal of assets, net was $0.1 million and $30.7 million in the first six months of fiscal years 2024 and 2023, respectively. The decrease in gain on disposal of assets, net was primarily due to the gain on the sale of the Northern Properties, partially offset by the loss on disposal of Cadiz Ranch assets in fiscal year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legal settlement was $2.3 million in the first six months of fiscal year 2023 due to the Settlement Agreement related to the Thomas fire.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$14.7 million and $15.3 million in the first six months of fiscal years 2024 and 2023, respectively. The 4% decrease of $0.6 million was primarily due to:</w:t>
      </w:r>
    </w:p>
    <w:p>
      <w:pPr>
        <w:spacing w:after="0" w:line="94" w:lineRule="exact"/>
        <w:rPr>
          <w:sz w:val="20"/>
          <w:szCs w:val="20"/>
          <w:color w:val="auto"/>
        </w:rPr>
      </w:pPr>
    </w:p>
    <w:p>
      <w:pPr>
        <w:ind w:left="340" w:right="2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net decrease in salaries, benefits and incentive compensation, primarily due to compensation expense related to the Retention Bonus Agreements; and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net increase in other selling, general and administrative expenses, primarily associated with our strategic initiatives.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other income (expense) was $16.3 million and $(2.2) million in the first six months of fiscal years 2024 and 2023, respectively. The increase of $18.5 million in total other income was primarily due to:</w:t>
      </w:r>
    </w:p>
    <w:p>
      <w:pPr>
        <w:spacing w:after="0" w:line="10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$16.3 million increase of equity in earnings of investments, net, primarily due to LLCB's closing of 554 residential homesites in 2024;</w:t>
      </w:r>
    </w:p>
    <w:p>
      <w:pPr>
        <w:spacing w:after="0" w:line="6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$2.6 million decrease of other income (expense), net primarily due to pension settlement cost in 2023;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$0.4 million increase of interest expense, net of patronage dividends due to decreased patronage dividends.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estimated income tax provision of $1.0 million and $5.9 million in the first six months of fiscal years 2024 and 2023 on pre-tax income of $3.9 million and $19.8 million, respectively. The tax provision recorded for the first six months of fiscal year 2024 differs from the U.S. federal statutory tax rate of 21.0% due primarily to foreign jurisdictions which are taxed at different rates, state taxes, tax impact of stock-based compensation, executive compensation and nondeductible tax items. Our projected annual effective blended tax rate for fiscal year 2024, excluding discrete items, is approximately 29.9%.</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 represents 10% and 49% of PDA and Trapani Fresh, respectively, of the net income or loss in the first six months of fiscal years 2024 and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2024 Compared to the Three Months Ended April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April 30, 2024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44,606</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April 30, 2023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3740"/>
        <w:spacing w:after="0" w:line="415" w:lineRule="auto"/>
        <w:rPr>
          <w:sz w:val="20"/>
          <w:szCs w:val="20"/>
          <w:color w:val="auto"/>
        </w:rPr>
      </w:pPr>
      <w:r>
        <w:rPr>
          <w:rFonts w:ascii="Times New Roman" w:cs="Times New Roman" w:eastAsia="Times New Roman" w:hAnsi="Times New Roman"/>
          <w:sz w:val="18"/>
          <w:szCs w:val="18"/>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8"/>
          <w:szCs w:val="18"/>
          <w:b w:val="1"/>
          <w:bCs w:val="1"/>
          <w:i w:val="1"/>
          <w:iCs w:val="1"/>
          <w:color w:val="auto"/>
        </w:rPr>
        <w:t>Fresh Lemons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brokered lemons and other lemon revenue. For the second quarter of fiscal years 2024 and 2023, our fresh lemons segment total net revenues were $30.8 million and $31.9 million, respectively. The (3)% decrease of $1.1 million was primarily due to:</w:t>
      </w:r>
    </w:p>
    <w:p>
      <w:pPr>
        <w:spacing w:after="0" w:line="10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packed lemon sales decrease of $0.8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 by-products sales decrease of $0.2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Brokered lemons and other lemon sales increase of $1.3 million;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Legal settlement proceeds of $1.4 million allocated to fresh lemons in the second quarter of fiscal year 2023.</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cost of lemons we procure from third-party growers and suppliers and packing service charges incurred from the lemon packing segment to pack lemons for sale. For the second quarter of fiscal years 2024 and 2023, our fresh lemons segment costs and expenses were $28.9 million and $29.2 million, respectively. The 1% decrease of $0.3 million was primarily due to:</w:t>
      </w:r>
    </w:p>
    <w:p>
      <w:pPr>
        <w:spacing w:after="0" w:line="112"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decrease of $3.4 million;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decrease of $1.8 million;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increase of $4.3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Intersegment costs and expenses increase of $0.6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and intersegment packing revenue. For the second quarter of fiscal years 2024 and 2023, our lemon packing segment total net revenues were $15.9 million and $16.7 million, respectively. The 5% decrease of $0.8 million was primarily due to decreased volume of lemons packed and sold.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costs to pack lemons for sale such as labor and benefits, cardboard cartons, fruit treatments, packing and shipping supplies, subcontracted costs and facility operating costs. For the second quarter of fiscal years 2024 and 2023, our lemon packing costs and expenses were $13.6 million and $12.1 million, respectively. The 13% increase of $1.5 million was primarily due to increased subcontracted costs in the second quarter of fiscal year 2024, partially offset by decreased volume of lemons packed and sold.</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For the second quarter of fiscal years 2024 and 2023, lemon packing segment operating income per carton sold was $1.58 and $3.01, respectively.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$10.9 million and $10.3 million of intersegment revenues for the second quarter of fiscal years 2024 and 2023, respectively, that were charged to the fresh lemons segment to pack lemons for sale. Such intersegment revenues and expenses are eliminated in our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fiscal years 2024 and 2023, our avocados segment revenues were $2.3 million and $3.6 million, respectively.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For the second quarter of fiscal years 2024 and 2023, our avocados segment costs and expenses were $1.4 million and $1.0 million, respectively. The increase of $0.4 million was primarily due to the following:</w:t>
      </w:r>
    </w:p>
    <w:p>
      <w:pPr>
        <w:spacing w:after="0" w:line="81"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increase of $0.1 million;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increase of $0.3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agribusiness segment total net revenues were $5.1 million and $4.7 million for the second quarter of fiscal years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8% increase of $0.4 million was primarily due to:</w:t>
      </w:r>
    </w:p>
    <w:p>
      <w:pPr>
        <w:spacing w:after="0" w:line="139"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management revenues increase of $0.6 million;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decrease of $0.2 million.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purchased fruit costs and freight costs. Our other agribusiness costs and expenses were $5.7 million and $4.4 million for the second quarter of fiscal years 2024 and 2023, respectively. The 28% increase of $1.3 million was primarily due to:</w:t>
      </w:r>
    </w:p>
    <w:p>
      <w:pPr>
        <w:spacing w:after="0" w:line="95"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increase of $1.0 million;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increase of $0.3 million.</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were $1.8 million and $1.7 million for the second quarter of fiscal years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$1.3 million and $1.4 million for the second quarter of fiscal years 2024 and 2023, respectively.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in our corporate and other operations were approximately $8.5 million and $13.4 million for the second quarter of fiscal years 2024 and 2023, respectively, and include selling, general and administrative costs and expenses, loss on disposal of assets, net and gain on legal settlement not allocated to the operating segments. Depreciation and amortization expenses for the second quarters of fiscal years 2024 and 2023 were similar at $0.3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2024 Compared to the Six Months Ended April 30,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six months ended April 30,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92,599</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six months ended April 30, 2023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 (gains)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3740"/>
        <w:spacing w:after="0" w:line="415" w:lineRule="auto"/>
        <w:rPr>
          <w:sz w:val="20"/>
          <w:szCs w:val="20"/>
          <w:color w:val="auto"/>
        </w:rPr>
      </w:pPr>
      <w:r>
        <w:rPr>
          <w:rFonts w:ascii="Times New Roman" w:cs="Times New Roman" w:eastAsia="Times New Roman" w:hAnsi="Times New Roman"/>
          <w:sz w:val="18"/>
          <w:szCs w:val="18"/>
          <w:i w:val="1"/>
          <w:iCs w:val="1"/>
          <w:color w:val="auto"/>
        </w:rPr>
        <w:t xml:space="preserve">The following analysis should be read in conjunction with the previous section “Results of Operations.” </w:t>
      </w:r>
      <w:r>
        <w:rPr>
          <w:rFonts w:ascii="Times New Roman" w:cs="Times New Roman" w:eastAsia="Times New Roman" w:hAnsi="Times New Roman"/>
          <w:sz w:val="18"/>
          <w:szCs w:val="18"/>
          <w:b w:val="1"/>
          <w:bCs w:val="1"/>
          <w:i w:val="1"/>
          <w:iCs w:val="1"/>
          <w:color w:val="auto"/>
        </w:rPr>
        <w:t>Fresh Lemons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brokered lemons and other lemon revenue. For the first six months of fiscal years 2024 and 2023, our fresh lemons segment total net revenues were $58.2 million and $59.3 million, respectively. The 2% decrease of $1.1 million was primarily due to:</w:t>
      </w:r>
    </w:p>
    <w:p>
      <w:pPr>
        <w:spacing w:after="0" w:line="10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Fresh packed lemon sales decrease of $1.6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Lemon by-products decrease of $0.9 million;</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Brokered lemons and other lemon sales increase of $2.8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Legal settlement proceeds of $1.4 million allocated to fresh lemons in the first six months of fiscal year 2023.</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cost of lemons we procure from third-party growers and suppliers and transportation costs. For the first six months of fiscal years 2024 and 2023, our fresh lemons segment costs and expenses were $57.7 million and $61.5 million, respectively. The 6% decrease of $3.8 million was primarily due to:</w:t>
      </w:r>
    </w:p>
    <w:p>
      <w:pPr>
        <w:spacing w:after="0" w:line="95"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decrease of $5.7 million;</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decrease of $5.3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Third-party grower and supplier costs increase of $7.2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and intersegment packing revenue. For the first six months of fiscal years 2024 and 2023, our lemon packing segment total net revenues were $28.2 million and $29.7 million, respectively. The 5% decrease of $1.5 million was primarily due to decreased volume of lemons packed and sold.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costs to pack lemons for sale such as labor and benefits, cardboard cartons, fruit treatments, packing and shipping supplies, subcontracted and facility operating costs. For the first six months of fiscal years 2024 and 2023, our lemon packing costs and expenses were $24.3 million and $23.4 million, respectively. The 4% increase of $0.9 million was primarily due to increased subcontracted costs in the first six months of fiscal year 2024, partially offset by decreased volume of lemons packed and sold.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years 2024 and 2023, lemon packing segment operating income per carton sold was $1.50 and $2.21, respectively.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$17.6 million and $17.7 million of intersegment revenues in the first six months of fiscal years 2024 and 2023, respectively, that were charged to the fresh lemons segment to pack lemons for sale. Such intersegment revenues and expenses are eliminated in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years 2024 and 2023, our avocados segment revenues were $2.3 million and $3.6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Our avocados segment costs and expenses were $1.4 million and $1.0 million for the first six months of fiscal years 2024 and 2023, respectively. The 39% increase of $0.4 million was primarily due to the following:</w:t>
      </w:r>
    </w:p>
    <w:p>
      <w:pPr>
        <w:spacing w:after="0" w:line="94"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increase of $0.1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increase of $0.3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agribusiness segment total net revenues were $10.5 million and $8.3 million for the first six months of fiscal years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27% increase of $2.2 million was primarily due to:</w:t>
      </w:r>
    </w:p>
    <w:p>
      <w:pPr>
        <w:spacing w:after="0" w:line="139"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Farm management revenues increase of $2.7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Orange revenues decrease of $0.2 million; and</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Specialty citrus and other crops revenues decrease of $0.3 million.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purchased fruit costs and freight costs. Our other agribusiness costs and expenses were $10.2 million and $7.2 million for the first six months of fiscal years 2024 and 2023, respectively. The 41% increase of $3.0 million was primarily due to:</w:t>
      </w:r>
    </w:p>
    <w:p>
      <w:pPr>
        <w:spacing w:after="0" w:line="10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increase of $3.1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Purchased fruit costs increase of $0.1 million; and</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costs decrease of $0.2 million.</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were $3.5 million and $3.9 million, for the first six months of fiscal years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revenues were $2.7 million and $2.8 million for the first six months of fiscal years 2024 and 2023, respectively.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(gains) in our corporate and other operations were $16.6 million and $(16.1) million for the first six months of fiscal years 2024 and 2023, respectively, and include selling, general and administrative costs and expenses, loss (gain) on disposal of assets, net and gain on legal settlement not allocated to the operating segments. Depreciation and amortization expenses for the first six months of fiscal years 2024 and 2023 were similar at $0.6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April 30, 2024 and 2023</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2"/>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Trailing Twelve Months Ended</w:t>
            </w:r>
          </w:p>
        </w:tc>
      </w:tr>
      <w:tr>
        <w:trPr>
          <w:trHeight w:val="238"/>
        </w:trPr>
        <w:tc>
          <w:tcPr>
            <w:tcW w:w="8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23"/>
        </w:trPr>
        <w:tc>
          <w:tcPr>
            <w:tcW w:w="8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179,033</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161,238</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(35,505)</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legal settlement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25,375</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153,357</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(provision)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attributable to noncontrolling interest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Limoneira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146" w:lineRule="exact"/>
        <w:rPr>
          <w:sz w:val="20"/>
          <w:szCs w:val="20"/>
          <w:color w:val="auto"/>
        </w:rPr>
      </w:pPr>
    </w:p>
    <w:p>
      <w:pPr>
        <w:ind w:left="340" w:hanging="332"/>
        <w:spacing w:after="0" w:line="28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decreased $6.3 million, primarily due to decreased lemons, avocados and oranges agribusiness revenues, partially offset by increased farm management revenues.</w:t>
      </w:r>
    </w:p>
    <w:p>
      <w:pPr>
        <w:spacing w:after="0" w:line="2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increased $48.6 million, primarily due to loss (gain) on disposal of assets, gain on legal settlement and increased agribusiness costs and selling, general and administrative expenses.</w:t>
      </w:r>
    </w:p>
    <w:p>
      <w:pPr>
        <w:spacing w:after="0" w:line="1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increased $25.2 million, primarily due to increased equity in earnings of investments, net related to LLCB and decreased other expense related to pension settlement costs.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provision decreased $9.3 million, primarily due to decreased pre-tax income of $29.7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April 30, 2024, related to debt and leases. Purchase obligations consist of contracts primarily related to packing supplies, the majority of which are due in the next 5 years.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12 months. We believe our revenue generating operations, distributions from equity investments and credit facilities will generate sufficient cash needed to operate beyond the next 12 months. In addition, we have the ability to control a portion of our investing cash flows to the extent necessary based on our liquidity demands.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$13.3 million and $18.4 million for the six months ended April 30, 2024 and 2023, respectively. The significant components of our cash flows used in operating activities were as follows:</w:t>
      </w:r>
    </w:p>
    <w:p>
      <w:pPr>
        <w:spacing w:after="0" w:line="94" w:lineRule="exact"/>
        <w:rPr>
          <w:sz w:val="20"/>
          <w:szCs w:val="20"/>
          <w:color w:val="auto"/>
        </w:rPr>
      </w:pPr>
    </w:p>
    <w:p>
      <w:pPr>
        <w:jc w:val="both"/>
        <w:ind w:left="340" w:hanging="332"/>
        <w:spacing w:after="0" w:line="261"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$2.9 million and $13.9 million for the six months ended April 30, 2024 and 2023, respectively. The components of net income in the six months ended April 30, 2024, compared to the net income in the same period in fiscal year 2023 consist of a decrease in operating income of $34.4 million primarily due to the Northern Properties sale, an increase in total other income of $18.5 million, primarily related to LLCB equity earnings and a decrease in income tax provision of $4.9 million.</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income to net cash used in operating activities:</w:t>
      </w:r>
    </w:p>
    <w:p>
      <w:pPr>
        <w:spacing w:after="0" w:line="76"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used $8.7 million and $18.5 million in the six months ended April 30, 2024 and 2023, respectively, primarily related to gain on disposal of assets, net, equity in earnings in investments, net and deferred income taxes.</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used $7.5 million and $13.8 million of operating cash in the six months ended April 30, 2024 and 2023, respectively, primarily related to accounts receivables and receivables/other from related parties, cultural costs, prepaid expenses and other current assets, accounts payable and growers and suppliers payable and accrued liabilities and payables to related parties.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 was $(2.9) million and $95.4 million for the six months ended April 30, 2024 and 2023, respectively.</w:t>
      </w:r>
    </w:p>
    <w:p>
      <w:pPr>
        <w:spacing w:after="0" w:line="158" w:lineRule="exact"/>
        <w:rPr>
          <w:sz w:val="20"/>
          <w:szCs w:val="20"/>
          <w:color w:val="auto"/>
        </w:rPr>
      </w:pPr>
    </w:p>
    <w:p>
      <w:pPr>
        <w:ind w:left="340" w:hanging="332"/>
        <w:spacing w:after="0" w:line="282" w:lineRule="auto"/>
        <w:tabs>
          <w:tab w:leader="none" w:pos="33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$2.9 million of cash used in investing activities during the six months ended April 30, 2024 was comprised primarily of capital expenditures of $3.7 million, primarily related to orchard and vineyard development, partially offset by net proceeds from sales of assets of $0.9 million.</w:t>
      </w:r>
    </w:p>
    <w:p>
      <w:pPr>
        <w:spacing w:after="0" w:line="13"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$95.4 million of cash provided by investing activities during the six months ended April 30, 2023 was comprised primarily of net proceeds from sales of assets of $98.5 million and net proceeds from the sale of real estate development assets of $2.6 million, partially offset by capital expenditures of $5.4 million, primarily related to orchard and vineyard development.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 was $14.0 million and $(68.0) million for the six months ended April 30, 2024 and 2023, respectively.</w:t>
      </w:r>
    </w:p>
    <w:p>
      <w:pPr>
        <w:spacing w:after="0" w:line="144" w:lineRule="exact"/>
        <w:rPr>
          <w:sz w:val="20"/>
          <w:szCs w:val="20"/>
          <w:color w:val="auto"/>
        </w:rPr>
      </w:pPr>
    </w:p>
    <w:p>
      <w:pPr>
        <w:jc w:val="both"/>
        <w:ind w:left="340" w:hanging="332"/>
        <w:spacing w:after="0" w:line="266"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 million of cash provided by financing activities during the six months ended April 30, 2024 was comprised primarily of net borrowings of long-term debt of $19.2 million, partially offset by common and preferred stock dividends of $2.9 million and exchange of common stock of $1.8 million.</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$68.0 million of cash used in financing activities during the six months ended April 30, 2023 was comprised primarily of net repayments of long-term debt of $64.8 million and common and preferred dividends of $2.9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from our Credit Facility with AgWest Farm Credit, formerly know as Farm Credit West, (the "Lender"), which includes the Master Loan Agreement (the “MLA”), a revolving credit facility supplement (the “Revolving Credit Supplement”), a non-revolving credit facility supplement (the “Non-Revolving Credit Supplement” and, together with the Revolving Credit Supplement, the “Supplements”), and a Fixed Interest Rate Agreement, which extends principal repayment to July 1, 2026. The MLA governs the terms of the Supplements. In addition, we have Banco de Chile term loans and COVID-19 loans. Additional information regarding these loans can be found in Note 10 - Long-Term Debt.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 million, comprised of $75.0 million under the Revolving Credit Supplement and $40.0 million under the Non-Revolving Credit Supplement. As of April 30, 2024, our outstanding borrowings under the AgWest Farm Credit Facility were $59.4 million and we had $55.6 million of availability.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2023, the Company sold the Northern Properties which resulted in total net proceeds of $98.4 million. The proceeds were used to pay down all of the Company's domestic debt except the Non-Revolving Credit Supplement.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Lender declared an annual cash patronage dividend of 1.25% of average eligible loan balances and we received $0.6 million in the second quarter of fiscal year 2024. In February 2023, the Lender declared an annual cash patronage dividend of 1.25% of average eligible loan balances and we received $1.4 million in the second quarter of fiscal year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 Joint Ve</w:t>
      </w:r>
      <w:r>
        <w:rPr>
          <w:rFonts w:ascii="Times New Roman" w:cs="Times New Roman" w:eastAsia="Times New Roman" w:hAnsi="Times New Roman"/>
          <w:sz w:val="19"/>
          <w:szCs w:val="19"/>
          <w:i w:val="1"/>
          <w:iCs w:val="1"/>
          <w:color w:val="auto"/>
        </w:rPr>
        <w:t>nture</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our real estate development joint venture with Lewis closed an additional 554 residential homesites at the Harvest at Limoneira master planned community in Santa Paula, CA, and we recorded equity in earnings of investments of $16.6 million in the second quarter of fiscal year 2024. As of April 30, 2024, the 50%-owned unconsolidated joint venture had $102.1 million of unaudited cash and cash equivalents on hand, and on June 5, 2024, the joint venture made a cash distribution of $30.0 million. We intend to pay down debt with our $15.0 million portion of this cash distribution.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Series B Convertible Preferred Stock and Series B-2 Preferred Stock are entitled to receive cumulative cash dividends. Such preferred dividends paid were $0.3 million in the six months ended April 30, 2024 and 2023.</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dividends declared in the six months ended April 30, 2024 and 2023 were $0.15 per common share and such dividends paid were $2.7 million in the six months ended April 30, 2024 and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six months ended April 30, 2024, our critical accounting policies and estimates have not changed since the filing of our Annual Report on Form 10-K as of October 31, 2023. Please refer to that filing for a description of our critical accounting policies and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included in this Quarterly Report for information concerning recent accounting pronouncements.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2023, as filed with the SEC on December 21,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April 30, 2024, 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significant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ended April 30, 2024, or, to our knowledge, in other factors that have materially affected, or are reasonably likely to materially affect, our internal control over financial reporting.</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“Risk Factors” in Part I, Item 1A of our Annual Report on Form 10-K for the fiscal year ended October 31, 2023, as filed with the SEC on December 21,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fiscal year 2024, we purchased shares of our common stock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7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8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8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8"/>
        <w:spacing w:after="0" w:line="242" w:lineRule="auto"/>
        <w:tabs>
          <w:tab w:leader="none" w:pos="185"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were acquired from employees in accordance with our stock-based compensation plan as a result of share withholdings to pay income tax related to the vesting and distribution of restricted stock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ectPr>
          <w:pgSz w:w="11900" w:h="16838" w:orient="portrait"/>
          <w:cols w:equalWidth="0" w:num="1">
            <w:col w:w="11240"/>
          </w:cols>
          <w:pgMar w:left="320" w:top="1251" w:right="339" w:bottom="1440" w:gutter="0" w:footer="0" w:header="0"/>
        </w:sectPr>
      </w:pPr>
    </w:p>
    <w:p>
      <w:pPr>
        <w:spacing w:after="0" w:line="5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63950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Restated Certificate of Incorporation of Limoneira Company, dated July 5, 1990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Company’s Registration Statement on Form 10, and amendments thereto, declared effective April 13, 2010 (File No. 000-53885))</w:t>
        </w:r>
      </w:hyperlink>
    </w:p>
    <w:p>
      <w:pPr>
        <w:spacing w:after="0" w:line="158" w:lineRule="exact"/>
        <w:rPr>
          <w:sz w:val="20"/>
          <w:szCs w:val="20"/>
          <w:color w:val="auto"/>
        </w:rPr>
      </w:pPr>
    </w:p>
    <w:p>
      <w:pPr>
        <w:jc w:val="both"/>
        <w:ind w:right="20"/>
        <w:spacing w:after="0" w:line="222"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Agreement of Merger Between Ronald Michaelis Ranches, Inc. and Limoneira Company, dated June 24, 1997 (Incorporated by reference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to Exhibit 3.6 to the Company’s Registration Statement on Form 10, and amendments thereto, declared effective April 13, 2010 (File No.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000-53885))</w:t>
        </w:r>
      </w:hyperlink>
    </w:p>
    <w:p>
      <w:pPr>
        <w:spacing w:after="0" w:line="138" w:lineRule="exact"/>
        <w:rPr>
          <w:sz w:val="20"/>
          <w:szCs w:val="20"/>
          <w:color w:val="auto"/>
        </w:rPr>
      </w:pPr>
    </w:p>
    <w:p>
      <w:pPr>
        <w:sectPr>
          <w:pgSz w:w="11900" w:h="16838" w:orient="portrait"/>
          <w:cols w:equalWidth="0" w:num="2">
            <w:col w:w="660" w:space="520"/>
            <w:col w:w="1006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3.3</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r>
      <w:tr>
        <w:trPr>
          <w:trHeight w:val="156"/>
        </w:trPr>
        <w:tc>
          <w:tcPr>
            <w:tcW w:w="1180" w:type="dxa"/>
            <w:vAlign w:val="bottom"/>
          </w:tcPr>
          <w:p>
            <w:pPr>
              <w:spacing w:after="0"/>
              <w:rPr>
                <w:sz w:val="13"/>
                <w:szCs w:val="13"/>
                <w:color w:val="auto"/>
              </w:rPr>
            </w:pPr>
          </w:p>
        </w:tc>
        <w:tc>
          <w:tcPr>
            <w:tcW w:w="101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Exhibit 3.7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000-53885))</w:t>
              </w:r>
            </w:hyperlink>
          </w:p>
        </w:tc>
        <w:tc>
          <w:tcPr>
            <w:tcW w:w="320" w:type="dxa"/>
            <w:vAlign w:val="bottom"/>
            <w:tcBorders>
              <w:top w:val="single" w:sz="8" w:color="0000FF"/>
            </w:tcBorders>
          </w:tcPr>
          <w:p>
            <w:pPr>
              <w:spacing w:after="0"/>
              <w:rPr>
                <w:sz w:val="14"/>
                <w:szCs w:val="14"/>
                <w:color w:val="auto"/>
              </w:rPr>
            </w:pPr>
          </w:p>
        </w:tc>
        <w:tc>
          <w:tcPr>
            <w:tcW w:w="34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3.4</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Amendment of Certificate of Incorporation of Limoneira Company, dated March 24, 2010 (Incorporated by reference to</w:t>
              </w:r>
            </w:hyperlink>
          </w:p>
        </w:tc>
      </w:tr>
      <w:tr>
        <w:trPr>
          <w:trHeight w:val="156"/>
        </w:trPr>
        <w:tc>
          <w:tcPr>
            <w:tcW w:w="118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Exhibit 3.9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9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000-53885))</w:t>
              </w:r>
            </w:hyperlink>
          </w:p>
        </w:tc>
        <w:tc>
          <w:tcPr>
            <w:tcW w:w="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3.5</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Amendment of Certificate of Incorporation of Limoneira Company, dated March 29, 2017 (Incorporated by reference to</w:t>
              </w:r>
            </w:hyperlink>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Exhibit 3.1 to the Company’s Current Report on Form 8-K, filed March 31, 2017 (File No. 001-34755))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3.6</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Amendment of Certificate of Incorporation of Limoneira Company, dated March 26, 2024 (Incorporated by reference to</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3.1 to the Company’s Current Report on Form 8-K, filed March 28,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3.7</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Bylaws of Limoneira Company, dated December 15, 2023 (Incorporated by reference to Exhibit 3.1 to the</w:t>
              </w:r>
            </w:hyperlink>
          </w:p>
        </w:tc>
      </w:tr>
      <w:tr>
        <w:trPr>
          <w:trHeight w:val="155"/>
        </w:trPr>
        <w:tc>
          <w:tcPr>
            <w:tcW w:w="1180" w:type="dxa"/>
            <w:vAlign w:val="bottom"/>
          </w:tcPr>
          <w:p>
            <w:pPr>
              <w:spacing w:after="0"/>
              <w:rPr>
                <w:sz w:val="13"/>
                <w:szCs w:val="13"/>
                <w:color w:val="auto"/>
              </w:rPr>
            </w:pPr>
          </w:p>
        </w:tc>
        <w:tc>
          <w:tcPr>
            <w:tcW w:w="102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Current Report on Form 8-K, filed December 18, 2023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 Company,</w:t>
              </w:r>
            </w:hyperlink>
          </w:p>
        </w:tc>
      </w:tr>
      <w:tr>
        <w:trPr>
          <w:trHeight w:val="156"/>
        </w:trPr>
        <w:tc>
          <w:tcPr>
            <w:tcW w:w="1180" w:type="dxa"/>
            <w:vAlign w:val="bottom"/>
          </w:tcPr>
          <w:p>
            <w:pPr>
              <w:spacing w:after="0"/>
              <w:rPr>
                <w:sz w:val="13"/>
                <w:szCs w:val="13"/>
                <w:color w:val="auto"/>
              </w:rPr>
            </w:pPr>
          </w:p>
        </w:tc>
        <w:tc>
          <w:tcPr>
            <w:tcW w:w="10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dated May 21, 1997 (Incorporated by reference to Exhibit 3.4 to the Company’s Registration Statement on Form 10, and amendments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thereto, declared effective April 13, 2010 (File No. 000-53885))</w:t>
              </w:r>
            </w:hyperlink>
          </w:p>
        </w:tc>
        <w:tc>
          <w:tcPr>
            <w:tcW w:w="55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r>
      <w:tr>
        <w:trPr>
          <w:trHeight w:val="155"/>
        </w:trPr>
        <w:tc>
          <w:tcPr>
            <w:tcW w:w="118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 dated May 21, 1997 (Incorporated by reference to Exhibit 3.5 to the Company’s Registration Statement on Form 10,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10120" w:type="dxa"/>
            <w:vAlign w:val="bottom"/>
            <w:gridSpan w:val="12"/>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amendments thereto, declared effective April 13, 2010 (File No. 000-53885))</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r>
      <w:tr>
        <w:trPr>
          <w:trHeight w:val="155"/>
        </w:trPr>
        <w:tc>
          <w:tcPr>
            <w:tcW w:w="1180" w:type="dxa"/>
            <w:vAlign w:val="bottom"/>
          </w:tcPr>
          <w:p>
            <w:pPr>
              <w:spacing w:after="0"/>
              <w:rPr>
                <w:sz w:val="13"/>
                <w:szCs w:val="13"/>
                <w:color w:val="auto"/>
              </w:rPr>
            </w:pPr>
          </w:p>
        </w:tc>
        <w:tc>
          <w:tcPr>
            <w:tcW w:w="102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Company, dated November 21, 2006 (Incorporated by reference to Exhibit 3.8 to the Company’s Registration Statement on Form 10, and</w:t>
              </w:r>
            </w:hyperlink>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101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amendments thereto, declared effective April 13, 2010 (File No. 000-53885))</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w:t>
            </w:r>
          </w:p>
        </w:tc>
        <w:tc>
          <w:tcPr>
            <w:tcW w:w="10280" w:type="dxa"/>
            <w:vAlign w:val="bottom"/>
            <w:gridSpan w:val="2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 Company,</w:t>
              </w:r>
            </w:hyperlink>
          </w:p>
        </w:tc>
      </w:tr>
      <w:tr>
        <w:trPr>
          <w:trHeight w:val="155"/>
        </w:trPr>
        <w:tc>
          <w:tcPr>
            <w:tcW w:w="118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dated March 20, 2014 (Incorporated by reference to Exhibit 3.1 to the Company’s Current Report on Form 8-K, filed March 24, 2014 (File</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12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No. 001-34755))</w:t>
              </w:r>
            </w:hyperlink>
          </w:p>
        </w:tc>
        <w:tc>
          <w:tcPr>
            <w:tcW w:w="9020" w:type="dxa"/>
            <w:vAlign w:val="bottom"/>
            <w:gridSpan w:val="1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885"/>
        </w:trPr>
        <w:tc>
          <w:tcPr>
            <w:tcW w:w="1180" w:type="dxa"/>
            <w:vAlign w:val="bottom"/>
          </w:tcPr>
          <w:p>
            <w:pPr>
              <w:spacing w:after="0"/>
              <w:rPr>
                <w:sz w:val="24"/>
                <w:szCs w:val="24"/>
                <w:color w:val="auto"/>
              </w:rPr>
            </w:pPr>
          </w:p>
        </w:tc>
        <w:tc>
          <w:tcPr>
            <w:tcW w:w="462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8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8"/>
          </w:tcPr>
          <w:p>
            <w:pPr>
              <w:spacing w:after="0" w:line="194"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Limoneira Company 2022 Omnibus Incentive Plan, as approved by the Stockholders on March 22, 2022 (Incorporated by reference to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exhibit 10.2 to the Company’s Current Report on Form 8-K, filed August 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8"/>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to Limoneira Company 2022 Omnibus Incentive Plan, dated March 26, 2024 (Incorporated by reference to Exhibit 10.1 to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Company’s Current Report on Form 8-K, filed March 28,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Exchange Act Rule 13a-14(a) and 15d-14(a)</w:t>
            </w:r>
          </w:p>
        </w:tc>
        <w:tc>
          <w:tcPr>
            <w:tcW w:w="2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Exchange Act Rule 13a-14(a) and 15d-14(a)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80" w:type="dxa"/>
            <w:vAlign w:val="bottom"/>
            <w:gridSpan w:val="3"/>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7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3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7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information from the Company's Quarterly Report on Form 10-Q for the quarter ended April 30, 2024 formatted in Inline</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008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auto"/>
              </w:rPr>
              <w:t>XBRL (Extensible Business Reporting Language) includes: (i) the Consolidated Balance Sheets (Unaudited), (ii) the Consolidated</w:t>
            </w:r>
          </w:p>
        </w:tc>
        <w:tc>
          <w:tcPr>
            <w:tcW w:w="0" w:type="dxa"/>
            <w:vAlign w:val="bottom"/>
          </w:tcPr>
          <w:p>
            <w:pPr>
              <w:spacing w:after="0"/>
              <w:rPr>
                <w:sz w:val="1"/>
                <w:szCs w:val="1"/>
                <w:color w:val="auto"/>
              </w:rPr>
            </w:pPr>
          </w:p>
        </w:tc>
      </w:tr>
    </w:tbl>
    <w:p>
      <w:pPr>
        <w:jc w:val="both"/>
        <w:ind w:left="1160"/>
        <w:spacing w:after="0" w:line="218" w:lineRule="auto"/>
        <w:rPr>
          <w:sz w:val="20"/>
          <w:szCs w:val="20"/>
          <w:color w:val="auto"/>
        </w:rPr>
      </w:pPr>
      <w:r>
        <w:rPr>
          <w:rFonts w:ascii="Times New Roman" w:cs="Times New Roman" w:eastAsia="Times New Roman" w:hAnsi="Times New Roman"/>
          <w:sz w:val="18"/>
          <w:szCs w:val="18"/>
          <w:color w:val="auto"/>
        </w:rPr>
        <w:t>Statements of Operations (Unaudited), (iii) the Consolidated Statements of Comprehensive Income (Loss) (Unaudited), (iv) the Consolidated Statements of Stockholders' Equity and Temporary Equity (Unaudited), (v) the Consolidated Statements of Cash Flows (Unaudited), and (vi) the Notes to Consolidated Financial Statements (Unaudited)</w:t>
      </w:r>
    </w:p>
    <w:p>
      <w:pPr>
        <w:spacing w:after="0" w:line="147" w:lineRule="exact"/>
        <w:rPr>
          <w:sz w:val="20"/>
          <w:szCs w:val="20"/>
          <w:color w:val="auto"/>
        </w:rPr>
      </w:pPr>
    </w:p>
    <w:p>
      <w:pPr>
        <w:ind w:left="1160" w:hanging="1154"/>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April 30, 2024 has been formatted in Inline</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management contracts and compensatory plans or arrangements.</w:t>
      </w:r>
    </w:p>
    <w:p>
      <w:pPr>
        <w:spacing w:after="0" w:line="77" w:lineRule="exact"/>
        <w:rPr>
          <w:sz w:val="20"/>
          <w:szCs w:val="20"/>
          <w:color w:val="auto"/>
        </w:rPr>
      </w:pPr>
    </w:p>
    <w:p>
      <w:pPr>
        <w:jc w:val="both"/>
        <w:ind w:left="260" w:hanging="254"/>
        <w:spacing w:after="0" w:line="223"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20"/>
        <w:spacing w:after="0"/>
        <w:tabs>
          <w:tab w:leader="none" w:pos="5100" w:val="left"/>
          <w:tab w:leader="none" w:pos="564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100" w:val="left"/>
          <w:tab w:leader="none" w:pos="564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3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365" w:right="35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4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57" w:lineRule="auto"/>
        <w:tabs>
          <w:tab w:leader="none" w:pos="89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4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April 30, 2024 (the “Report”) of Limoneira Company (the “Registrant”), as filed with the Securities and Exchange Commission on the date hereof, I, Harold S. Edwards, Director, President and Chief Executive Officer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April 30, 2024 (the “Report”) of Limoneira Company (the “Registrant”), as filed with the Securities and Exchange Commission on the date hereof, I, Mark Palamountain, Executive Vice President, Chief Financial Officer and Treasurer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97"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3"/>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lvl w:ilvl="1">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04"/>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63" Type="http://schemas.openxmlformats.org/officeDocument/2006/relationships/hyperlink" Target="http://www.sec.gov/Archives/edgar/data/1342423/000114420410007241/v173157_ex3-1.htm" TargetMode="External"/><Relationship Id="rId64" Type="http://schemas.openxmlformats.org/officeDocument/2006/relationships/hyperlink" Target="http://www.sec.gov/Archives/edgar/data/1342423/000114420410007241/v173157_ex3-6.htm" TargetMode="External"/><Relationship Id="rId65" Type="http://schemas.openxmlformats.org/officeDocument/2006/relationships/hyperlink" Target="http://www.sec.gov/Archives/edgar/data/1342423/000114420410007241/v173157_ex3-7.htm" TargetMode="External"/><Relationship Id="rId66" Type="http://schemas.openxmlformats.org/officeDocument/2006/relationships/hyperlink" Target="http://www.sec.gov/Archives/edgar/data/1342423/000114420410017415/v178900_ex3-9.htm" TargetMode="External"/><Relationship Id="rId67" Type="http://schemas.openxmlformats.org/officeDocument/2006/relationships/hyperlink" Target="http://www.sec.gov/Archives/edgar/data/1342423/000114420417018212/v463210_ex3-1.htm" TargetMode="External"/><Relationship Id="rId68" Type="http://schemas.openxmlformats.org/officeDocument/2006/relationships/hyperlink" Target="http://www.sec.gov/ix?doc=/Archives/edgar/data/1342423/000110465924040501/tm249848d1_8k.htm" TargetMode="External"/><Relationship Id="rId69" Type="http://schemas.openxmlformats.org/officeDocument/2006/relationships/hyperlink" Target="http://www.sec.gov/Archives/edgar/data/1342423/000110465921130485/tm2131208d1_ex3-1.htm" TargetMode="External"/><Relationship Id="rId70" Type="http://schemas.openxmlformats.org/officeDocument/2006/relationships/hyperlink" Target="http://www.sec.gov/Archives/edgar/data/1342423/000114420410007241/v173157_ex3-4.htm" TargetMode="External"/><Relationship Id="rId71" Type="http://schemas.openxmlformats.org/officeDocument/2006/relationships/hyperlink" Target="http://www.sec.gov/Archives/edgar/data/1342423/000114420410007241/v173157_ex3-5.htm" TargetMode="External"/><Relationship Id="rId72" Type="http://schemas.openxmlformats.org/officeDocument/2006/relationships/hyperlink" Target="http://www.sec.gov/Archives/edgar/data/1342423/000114420410007241/v173157_ex3-8.htm" TargetMode="External"/><Relationship Id="rId73" Type="http://schemas.openxmlformats.org/officeDocument/2006/relationships/hyperlink" Target="http://www.sec.gov/Archives/edgar/data/1342423/000114420414017379/v372494_ex3-1.htm" TargetMode="External"/><Relationship Id="rId76" Type="http://schemas.openxmlformats.org/officeDocument/2006/relationships/hyperlink" Target="https://www.sec.gov/ix?doc=/Archives/edgar/data/1342423/000110465922084701/tm2221856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2024-06-06T15:15:12Z</dcterms:created>
  <dcterms:modified xsi:type="dcterms:W3CDTF">2024-06-06T15:15:12Z</dcterms:modified>
</cp:coreProperties>
</file>