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90170</wp:posOffset>
            </wp:positionV>
            <wp:extent cx="4090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-127635</wp:posOffset>
            </wp:positionV>
            <wp:extent cx="4090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51" w:lineRule="exact"/>
        <w:rPr>
          <w:sz w:val="24"/>
          <w:szCs w:val="24"/>
          <w:color w:val="auto"/>
        </w:rPr>
      </w:pPr>
    </w:p>
    <w:p>
      <w:pPr>
        <w:ind w:left="260" w:hanging="21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260" w:hanging="218"/>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260"/>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-7620</wp:posOffset>
            </wp:positionV>
            <wp:extent cx="904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001-34755</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-311785</wp:posOffset>
            </wp:positionV>
            <wp:extent cx="4090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34290</wp:posOffset>
            </wp:positionV>
            <wp:extent cx="4090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192"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90"/>
              <w:spacing w:after="0"/>
              <w:rPr>
                <w:sz w:val="20"/>
                <w:szCs w:val="20"/>
                <w:color w:val="auto"/>
              </w:rPr>
            </w:pPr>
            <w:r>
              <w:rPr>
                <w:rFonts w:ascii="Arial" w:cs="Arial" w:eastAsia="Arial" w:hAnsi="Arial"/>
                <w:sz w:val="18"/>
                <w:szCs w:val="18"/>
                <w:b w:val="1"/>
                <w:bCs w:val="1"/>
                <w:color w:val="auto"/>
              </w:rPr>
              <w:t>77-0260692</w:t>
            </w:r>
          </w:p>
        </w:tc>
      </w:tr>
      <w:tr>
        <w:trPr>
          <w:trHeight w:val="252"/>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Incorporation or Organization)</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Identification No.)</w:t>
            </w:r>
          </w:p>
        </w:tc>
      </w:tr>
      <w:tr>
        <w:trPr>
          <w:trHeight w:val="405"/>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1141 Cummings Road, Santa Paula, CA</w:t>
            </w:r>
          </w:p>
        </w:tc>
        <w:tc>
          <w:tcPr>
            <w:tcW w:w="3140" w:type="dxa"/>
            <w:vAlign w:val="bottom"/>
          </w:tcPr>
          <w:p>
            <w:pPr>
              <w:jc w:val="right"/>
              <w:ind w:right="390"/>
              <w:spacing w:after="0"/>
              <w:rPr>
                <w:sz w:val="20"/>
                <w:szCs w:val="20"/>
                <w:color w:val="auto"/>
              </w:rPr>
            </w:pPr>
            <w:r>
              <w:rPr>
                <w:rFonts w:ascii="Arial" w:cs="Arial" w:eastAsia="Arial" w:hAnsi="Arial"/>
                <w:sz w:val="18"/>
                <w:szCs w:val="18"/>
                <w:b w:val="1"/>
                <w:bCs w:val="1"/>
                <w:color w:val="auto"/>
              </w:rPr>
              <w:t>93060</w:t>
            </w:r>
          </w:p>
        </w:tc>
      </w:tr>
      <w:tr>
        <w:trPr>
          <w:trHeight w:val="270"/>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(Zip Code)</w:t>
            </w:r>
          </w:p>
        </w:tc>
      </w:tr>
    </w:tbl>
    <w:p>
      <w:pPr>
        <w:spacing w:after="0" w:line="11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134620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p>
      <w:pPr>
        <w:ind w:left="1440"/>
        <w:spacing w:after="0"/>
        <w:tabs>
          <w:tab w:leader="none" w:pos="5000" w:val="left"/>
          <w:tab w:leader="none" w:pos="76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 (s)</w:t>
      </w:r>
      <w:r>
        <w:rPr>
          <w:sz w:val="20"/>
          <w:szCs w:val="20"/>
          <w:color w:val="auto"/>
        </w:rPr>
        <w:tab/>
      </w:r>
      <w:r>
        <w:rPr>
          <w:rFonts w:ascii="Arial" w:cs="Arial" w:eastAsia="Arial" w:hAnsi="Arial"/>
          <w:sz w:val="16"/>
          <w:szCs w:val="16"/>
          <w:color w:val="auto"/>
        </w:rPr>
        <w:t>Name of Each Exchange of Which Registered</w:t>
      </w:r>
    </w:p>
    <w:p>
      <w:pPr>
        <w:spacing w:after="0" w:line="63" w:lineRule="exact"/>
        <w:rPr>
          <w:sz w:val="24"/>
          <w:szCs w:val="24"/>
          <w:color w:val="auto"/>
        </w:rPr>
      </w:pPr>
    </w:p>
    <w:p>
      <w:pPr>
        <w:ind w:left="7380"/>
        <w:spacing w:after="0"/>
        <w:rPr>
          <w:sz w:val="20"/>
          <w:szCs w:val="20"/>
          <w:color w:val="auto"/>
        </w:rPr>
      </w:pPr>
      <w:r>
        <w:rPr>
          <w:rFonts w:ascii="Arial" w:cs="Arial" w:eastAsia="Arial" w:hAnsi="Arial"/>
          <w:sz w:val="17"/>
          <w:szCs w:val="17"/>
          <w:color w:val="auto"/>
        </w:rPr>
        <w:t>The NASDAQ Stock Market LLC (NASDAQ Global</w:t>
      </w:r>
    </w:p>
    <w:p>
      <w:pPr>
        <w:spacing w:after="0" w:line="35" w:lineRule="exact"/>
        <w:rPr>
          <w:sz w:val="24"/>
          <w:szCs w:val="24"/>
          <w:color w:val="auto"/>
        </w:rPr>
      </w:pPr>
    </w:p>
    <w:p>
      <w:pPr>
        <w:ind w:left="960"/>
        <w:spacing w:after="0"/>
        <w:tabs>
          <w:tab w:leader="none" w:pos="5440" w:val="left"/>
          <w:tab w:leader="none" w:pos="8760" w:val="left"/>
        </w:tabs>
        <w:rPr>
          <w:sz w:val="20"/>
          <w:szCs w:val="20"/>
          <w:color w:val="auto"/>
        </w:rPr>
      </w:pPr>
      <w:r>
        <w:rPr>
          <w:rFonts w:ascii="Arial" w:cs="Arial" w:eastAsia="Arial" w:hAnsi="Arial"/>
          <w:sz w:val="18"/>
          <w:szCs w:val="18"/>
          <w:color w:val="auto"/>
        </w:rPr>
        <w:t>Common Stock, $0.01 par value</w:t>
      </w:r>
      <w:r>
        <w:rPr>
          <w:sz w:val="20"/>
          <w:szCs w:val="20"/>
          <w:color w:val="auto"/>
        </w:rPr>
        <w:tab/>
      </w:r>
      <w:r>
        <w:rPr>
          <w:rFonts w:ascii="Arial" w:cs="Arial" w:eastAsia="Arial" w:hAnsi="Arial"/>
          <w:sz w:val="18"/>
          <w:szCs w:val="18"/>
          <w:color w:val="auto"/>
        </w:rPr>
        <w:t>LMNR</w:t>
      </w:r>
      <w:r>
        <w:rPr>
          <w:sz w:val="20"/>
          <w:szCs w:val="20"/>
          <w:color w:val="auto"/>
        </w:rPr>
        <w:tab/>
      </w:r>
      <w:r>
        <w:rPr>
          <w:rFonts w:ascii="Arial" w:cs="Arial" w:eastAsia="Arial" w:hAnsi="Arial"/>
          <w:sz w:val="16"/>
          <w:szCs w:val="16"/>
          <w:color w:val="auto"/>
        </w:rPr>
        <w:t>Select Market)</w:t>
      </w:r>
    </w:p>
    <w:p>
      <w:pPr>
        <w:spacing w:after="0" w:line="76" w:lineRule="exact"/>
        <w:rPr>
          <w:sz w:val="24"/>
          <w:szCs w:val="24"/>
          <w:color w:val="auto"/>
        </w:rPr>
      </w:pPr>
    </w:p>
    <w:p>
      <w:pPr>
        <w:jc w:val="both"/>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80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51" w:lineRule="exact"/>
        <w:rPr>
          <w:sz w:val="24"/>
          <w:szCs w:val="24"/>
          <w:color w:val="auto"/>
        </w:rPr>
      </w:pPr>
    </w:p>
    <w:p>
      <w:pPr>
        <w:ind w:left="40"/>
        <w:spacing w:after="0" w:line="207" w:lineRule="exact"/>
        <w:tabs>
          <w:tab w:leader="none" w:pos="360" w:val="left"/>
          <w:tab w:leader="none" w:pos="4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p>
    <w:p>
      <w:pPr>
        <w:spacing w:after="0" w:line="34" w:lineRule="exact"/>
        <w:rPr>
          <w:sz w:val="24"/>
          <w:szCs w:val="24"/>
          <w:color w:val="auto"/>
        </w:rPr>
      </w:pPr>
    </w:p>
    <w:p>
      <w:pPr>
        <w:ind w:left="40"/>
        <w:spacing w:after="0" w:line="207" w:lineRule="exact"/>
        <w:tabs>
          <w:tab w:leader="none" w:pos="360" w:val="left"/>
          <w:tab w:leader="none" w:pos="4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p>
    <w:p>
      <w:pPr>
        <w:spacing w:after="0" w:line="63" w:lineRule="exact"/>
        <w:rPr>
          <w:sz w:val="24"/>
          <w:szCs w:val="24"/>
          <w:color w:val="auto"/>
        </w:rPr>
      </w:pPr>
    </w:p>
    <w:p>
      <w:pPr>
        <w:jc w:val="both"/>
        <w:ind w:firstLine="446"/>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August 31, 2019, there were 17,772,753 shares outstanding of the registrant’s common stock.</w:t>
      </w:r>
    </w:p>
    <w:p>
      <w:pPr>
        <w:sectPr>
          <w:pgSz w:w="11900" w:h="16838" w:orient="portrait"/>
          <w:cols w:equalWidth="0" w:num="1">
            <w:col w:w="11420"/>
          </w:cols>
          <w:pgMar w:left="240" w:top="450" w:right="239" w:bottom="1002" w:gutter="0" w:footer="0" w:header="0"/>
        </w:sect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0" w:right="239" w:bottom="100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PART I. FINANCIAL INFORMATION</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Financial Statements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 – July 31, 2019 and October 31,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 – three and nine months ended July 31, 2019 and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Income – three and nine months ended July 31, 2019 and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and Temporary Equity–three and nine months ended July 31, 2019 and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176"/>
        </w:trPr>
        <w:tc>
          <w:tcPr>
            <w:tcW w:w="1122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 nine months ended July 31, 2019 and 2018</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Controls and Procedures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112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PART II. OTHER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Legal Proceedings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Risk Factors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Defaults Upon Senior Securities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Mine Safety Disclosures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00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Exhibits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270"/>
        </w:trPr>
        <w:tc>
          <w:tcPr>
            <w:tcW w:w="1220" w:type="dxa"/>
            <w:vAlign w:val="bottom"/>
            <w:tcBorders>
              <w:top w:val="single" w:sz="8" w:color="CCEEFF"/>
            </w:tcBorders>
          </w:tcPr>
          <w:p>
            <w:pPr>
              <w:spacing w:after="0"/>
              <w:rPr>
                <w:sz w:val="23"/>
                <w:szCs w:val="23"/>
                <w:color w:val="auto"/>
              </w:rPr>
            </w:pPr>
          </w:p>
        </w:tc>
        <w:tc>
          <w:tcPr>
            <w:tcW w:w="100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SIGNATURES</w:t>
            </w:r>
          </w:p>
        </w:tc>
        <w:tc>
          <w:tcPr>
            <w:tcW w:w="100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675"/>
        </w:trPr>
        <w:tc>
          <w:tcPr>
            <w:tcW w:w="1220" w:type="dxa"/>
            <w:vAlign w:val="bottom"/>
            <w:tcBorders>
              <w:top w:val="single" w:sz="8" w:color="CCEEFF"/>
            </w:tcBorders>
          </w:tcPr>
          <w:p>
            <w:pPr>
              <w:spacing w:after="0"/>
              <w:rPr>
                <w:sz w:val="24"/>
                <w:szCs w:val="24"/>
                <w:color w:val="auto"/>
              </w:rPr>
            </w:pPr>
          </w:p>
        </w:tc>
        <w:tc>
          <w:tcPr>
            <w:tcW w:w="10000" w:type="dxa"/>
            <w:vAlign w:val="bottom"/>
            <w:tcBorders>
              <w:top w:val="single" w:sz="8" w:color="CCEEFF"/>
            </w:tcBorders>
          </w:tcPr>
          <w:p>
            <w:pPr>
              <w:ind w:left="444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 and import laws;</w:t>
      </w:r>
    </w:p>
    <w:p>
      <w:pPr>
        <w:spacing w:after="0" w:line="11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and currency exchange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crisis;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 (the "SEC").</w:t>
      </w:r>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2018.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July 31,</w:t>
            </w:r>
          </w:p>
        </w:tc>
        <w:tc>
          <w:tcPr>
            <w:tcW w:w="220" w:type="dxa"/>
            <w:vAlign w:val="bottom"/>
          </w:tcPr>
          <w:p>
            <w:pPr>
              <w:spacing w:after="0"/>
              <w:rPr>
                <w:sz w:val="17"/>
                <w:szCs w:val="17"/>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w:t>
            </w:r>
          </w:p>
        </w:tc>
      </w:tr>
      <w:tr>
        <w:trPr>
          <w:trHeight w:val="210"/>
        </w:trPr>
        <w:tc>
          <w:tcPr>
            <w:tcW w:w="8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24,127</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14,116</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Cultural costs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7,034</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5,413</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18,483</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10,528</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50,587</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31,044</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247,619</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225,681</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16,378</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107,162</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Equity in investments</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57,775</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18,698</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Calavo Growers, Inc.</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21,226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24,250</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22,104</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14,504</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415,689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421,339</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8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16,174</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Growers payable</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15,752</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10,089</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4,273</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3,024</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3,127</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39,223</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27,074</w:t>
            </w: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109,253</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76,966</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25,090</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25,372</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3,647</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Sale-leaseback deferral</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58,330</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176,762</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191,389</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Commitments and contingencies (See Note 16)</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0"/>
        </w:trPr>
        <w:tc>
          <w:tcPr>
            <w:tcW w:w="8460" w:type="dxa"/>
            <w:vAlign w:val="bottom"/>
          </w:tcPr>
          <w:p>
            <w:pPr>
              <w:ind w:left="40"/>
              <w:spacing w:after="0"/>
              <w:rPr>
                <w:sz w:val="20"/>
                <w:szCs w:val="20"/>
                <w:color w:val="auto"/>
              </w:rPr>
            </w:pPr>
            <w:r>
              <w:rPr>
                <w:rFonts w:ascii="Arial" w:cs="Arial" w:eastAsia="Arial" w:hAnsi="Arial"/>
                <w:sz w:val="16"/>
                <w:szCs w:val="16"/>
                <w:color w:val="auto"/>
                <w:w w:val="93"/>
              </w:rPr>
              <w:t>Series B Convertible Preferred Stock – $100.00 par value (50,000 shares authorized: 14,790 shares issued and outstanding at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460" w:type="dxa"/>
            <w:vAlign w:val="bottom"/>
          </w:tcPr>
          <w:p>
            <w:pPr>
              <w:ind w:left="40"/>
              <w:spacing w:after="0"/>
              <w:rPr>
                <w:sz w:val="20"/>
                <w:szCs w:val="20"/>
                <w:color w:val="auto"/>
              </w:rPr>
            </w:pPr>
            <w:r>
              <w:rPr>
                <w:rFonts w:ascii="Arial" w:cs="Arial" w:eastAsia="Arial" w:hAnsi="Arial"/>
                <w:sz w:val="16"/>
                <w:szCs w:val="16"/>
                <w:color w:val="auto"/>
              </w:rPr>
              <w:t>July 31, 2019 and October 31, 2018) (8.75% coupon rate)</w:t>
            </w: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1,479</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1,479</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Series B-2 Convertible Preferred Stock – $100.00 par value (10,000 shares authorized: 9,300 shares issued and outstanding at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31, 2019 and October 31, 2018) (4% dividend rate on liquidation value of $1,000 per share)</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9,331</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9,331</w:t>
            </w:r>
          </w:p>
        </w:tc>
      </w:tr>
      <w:tr>
        <w:trPr>
          <w:trHeight w:val="122"/>
        </w:trPr>
        <w:tc>
          <w:tcPr>
            <w:tcW w:w="8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0"/>
        </w:trPr>
        <w:tc>
          <w:tcPr>
            <w:tcW w:w="8460" w:type="dxa"/>
            <w:vAlign w:val="bottom"/>
          </w:tcPr>
          <w:p>
            <w:pPr>
              <w:ind w:left="280"/>
              <w:spacing w:after="0"/>
              <w:rPr>
                <w:sz w:val="20"/>
                <w:szCs w:val="20"/>
                <w:color w:val="auto"/>
              </w:rPr>
            </w:pPr>
            <w:r>
              <w:rPr>
                <w:rFonts w:ascii="Arial" w:cs="Arial" w:eastAsia="Arial" w:hAnsi="Arial"/>
                <w:sz w:val="16"/>
                <w:szCs w:val="16"/>
                <w:color w:val="auto"/>
                <w:w w:val="92"/>
              </w:rPr>
              <w:t>Series A Junior Participating Preferred Stock – $0.01 par value (20,000 shares authorized: zero issued or outstanding at July</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8460" w:type="dxa"/>
            <w:vAlign w:val="bottom"/>
          </w:tcPr>
          <w:p>
            <w:pPr>
              <w:ind w:left="280"/>
              <w:spacing w:after="0"/>
              <w:rPr>
                <w:sz w:val="20"/>
                <w:szCs w:val="20"/>
                <w:color w:val="auto"/>
              </w:rPr>
            </w:pPr>
            <w:r>
              <w:rPr>
                <w:rFonts w:ascii="Arial" w:cs="Arial" w:eastAsia="Arial" w:hAnsi="Arial"/>
                <w:sz w:val="16"/>
                <w:szCs w:val="16"/>
                <w:color w:val="auto"/>
              </w:rPr>
              <w:t>31, 2019 and October 31, 2018)</w:t>
            </w: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Common Stock – $0.01 par value (39,000,000 shares authorized: 17,772,753 and 17,647,135 shares issued and outstanding at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July 31, 2019 and October 31, 2018,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160,200</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159,071</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57,309</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50,354</w:t>
            </w:r>
          </w:p>
        </w:tc>
      </w:tr>
      <w:tr>
        <w:trPr>
          <w:trHeight w:val="224"/>
        </w:trPr>
        <w:tc>
          <w:tcPr>
            <w:tcW w:w="8460" w:type="dxa"/>
            <w:vAlign w:val="bottom"/>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(5,130)</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8,965</w:t>
            </w: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15,560</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228,117</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219,140</w:t>
            </w:r>
          </w:p>
        </w:tc>
      </w:tr>
      <w:tr>
        <w:trPr>
          <w:trHeight w:val="33"/>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415,689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421,339</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July 31,</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July 31,</w:t>
            </w:r>
          </w:p>
        </w:tc>
        <w:tc>
          <w:tcPr>
            <w:tcW w:w="106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1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Agribusiness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49,631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38,677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131,254</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110,875</w:t>
            </w: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Rental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1,238</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3,668</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3,803</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Real estate development</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50,869</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134,922</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114,678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Agribusiness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42,747</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118,741</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80,943</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Rental operations</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993</w:t>
            </w:r>
          </w:p>
        </w:tc>
        <w:tc>
          <w:tcPr>
            <w:tcW w:w="4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3,167</w:t>
            </w:r>
          </w:p>
        </w:tc>
        <w:tc>
          <w:tcPr>
            <w:tcW w:w="4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3,045</w:t>
            </w: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 estate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4,961</w:t>
            </w:r>
          </w:p>
        </w:tc>
        <w:tc>
          <w:tcPr>
            <w:tcW w:w="4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14,819</w:t>
            </w:r>
          </w:p>
        </w:tc>
        <w:tc>
          <w:tcPr>
            <w:tcW w:w="4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11,529</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48,751</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136,829</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95,611</w:t>
            </w:r>
          </w:p>
        </w:tc>
      </w:tr>
      <w:tr>
        <w:trPr>
          <w:trHeight w:val="231"/>
        </w:trPr>
        <w:tc>
          <w:tcPr>
            <w:tcW w:w="51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2,118</w:t>
            </w: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(1,907)</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19,067</w:t>
            </w: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(774)</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(1,313)</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(1,054)</w:t>
            </w: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480</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2,449</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Loss on sale of stock in Calavo Growers, Inc.</w:t>
            </w:r>
          </w:p>
        </w:tc>
        <w:tc>
          <w:tcPr>
            <w:tcW w:w="3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4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4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loss on stock in Calavo Growers, Inc.</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(1,769)</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4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375</w:t>
            </w:r>
          </w:p>
        </w:tc>
        <w:tc>
          <w:tcPr>
            <w:tcW w:w="4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(expense) income</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(2,054)</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23"/>
        </w:trPr>
        <w:tc>
          <w:tcPr>
            <w:tcW w:w="5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 (provision) benefit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Income tax (provision) benefit</w:t>
            </w:r>
          </w:p>
        </w:tc>
        <w:tc>
          <w:tcPr>
            <w:tcW w:w="3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(461)</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216</w:t>
            </w:r>
          </w:p>
        </w:tc>
        <w:tc>
          <w:tcPr>
            <w:tcW w:w="4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5,093</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w:t>
            </w:r>
          </w:p>
        </w:tc>
        <w:tc>
          <w:tcPr>
            <w:tcW w:w="3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4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Limoneira Company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(2,868)</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Preferred dividends</w:t>
            </w:r>
          </w:p>
        </w:tc>
        <w:tc>
          <w:tcPr>
            <w:tcW w:w="3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common stock</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(1,115)</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(3,244)</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23,049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(loss) income per common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income per common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outstanding-basic</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17,554,000</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15,947,000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17,527,000</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14,979,000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17,554,000</w:t>
            </w:r>
          </w:p>
        </w:tc>
        <w:tc>
          <w:tcPr>
            <w:tcW w:w="4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16,551,000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17,527,000</w:t>
            </w:r>
          </w:p>
        </w:tc>
        <w:tc>
          <w:tcPr>
            <w:tcW w:w="4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15,578,000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COMPREHENSIVE (LOSS) INCOME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940" w:type="dxa"/>
            <w:vAlign w:val="bottom"/>
          </w:tcPr>
          <w:p>
            <w:pPr>
              <w:spacing w:after="0"/>
              <w:rPr>
                <w:sz w:val="18"/>
                <w:szCs w:val="18"/>
                <w:color w:val="auto"/>
              </w:rPr>
            </w:pPr>
          </w:p>
        </w:tc>
        <w:tc>
          <w:tcPr>
            <w:tcW w:w="230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Three Months Ended July 31,</w:t>
            </w: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July 31,</w:t>
            </w:r>
          </w:p>
        </w:tc>
        <w:tc>
          <w:tcPr>
            <w:tcW w:w="720" w:type="dxa"/>
            <w:vAlign w:val="bottom"/>
          </w:tcPr>
          <w:p>
            <w:pPr>
              <w:spacing w:after="0"/>
              <w:rPr>
                <w:sz w:val="18"/>
                <w:szCs w:val="18"/>
                <w:color w:val="auto"/>
              </w:rPr>
            </w:pPr>
          </w:p>
        </w:tc>
      </w:tr>
      <w:tr>
        <w:trPr>
          <w:trHeight w:val="33"/>
        </w:trPr>
        <w:tc>
          <w:tcPr>
            <w:tcW w:w="6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23,429</w:t>
            </w:r>
          </w:p>
        </w:tc>
      </w:tr>
      <w:tr>
        <w:trPr>
          <w:trHeight w:val="237"/>
        </w:trPr>
        <w:tc>
          <w:tcPr>
            <w:tcW w:w="694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r>
      <w:tr>
        <w:trPr>
          <w:trHeight w:val="220"/>
        </w:trPr>
        <w:tc>
          <w:tcPr>
            <w:tcW w:w="6940" w:type="dxa"/>
            <w:vAlign w:val="bottom"/>
          </w:tcPr>
          <w:p>
            <w:pPr>
              <w:ind w:left="20"/>
              <w:spacing w:after="0"/>
              <w:rPr>
                <w:sz w:val="20"/>
                <w:szCs w:val="20"/>
                <w:color w:val="auto"/>
              </w:rPr>
            </w:pPr>
            <w:r>
              <w:rPr>
                <w:rFonts w:ascii="Arial" w:cs="Arial" w:eastAsia="Arial" w:hAnsi="Arial"/>
                <w:sz w:val="16"/>
                <w:szCs w:val="16"/>
                <w:color w:val="auto"/>
                <w:w w:val="93"/>
              </w:rPr>
              <w:t>Minimum pension liability adjustment, net of tax of $28, $51, $83 and $154 for the three and nine months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6940" w:type="dxa"/>
            <w:vAlign w:val="bottom"/>
          </w:tcPr>
          <w:p>
            <w:pPr>
              <w:ind w:left="20"/>
              <w:spacing w:after="0"/>
              <w:rPr>
                <w:sz w:val="20"/>
                <w:szCs w:val="20"/>
                <w:color w:val="auto"/>
              </w:rPr>
            </w:pPr>
            <w:r>
              <w:rPr>
                <w:rFonts w:ascii="Arial" w:cs="Arial" w:eastAsia="Arial" w:hAnsi="Arial"/>
                <w:sz w:val="16"/>
                <w:szCs w:val="16"/>
                <w:color w:val="auto"/>
              </w:rPr>
              <w:t>ended July 31, 2019 and 2018, respectively.</w:t>
            </w:r>
          </w:p>
        </w:tc>
        <w:tc>
          <w:tcPr>
            <w:tcW w:w="22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3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218</w:t>
            </w:r>
          </w:p>
        </w:tc>
        <w:tc>
          <w:tcPr>
            <w:tcW w:w="3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372</w:t>
            </w:r>
          </w:p>
        </w:tc>
      </w:tr>
      <w:tr>
        <w:trPr>
          <w:trHeight w:val="33"/>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Unrealized holding gains on available-for-sale securities, net of tax of $0, $105, $0 and $1,653 for the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three and nine months ended July 31, 2019 and 2018,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3,987</w:t>
            </w:r>
          </w:p>
        </w:tc>
      </w:tr>
      <w:tr>
        <w:trPr>
          <w:trHeight w:val="220"/>
        </w:trPr>
        <w:tc>
          <w:tcPr>
            <w:tcW w:w="6940" w:type="dxa"/>
            <w:vAlign w:val="bottom"/>
          </w:tcPr>
          <w:p>
            <w:pPr>
              <w:ind w:left="20"/>
              <w:spacing w:after="0"/>
              <w:rPr>
                <w:sz w:val="20"/>
                <w:szCs w:val="20"/>
                <w:color w:val="auto"/>
              </w:rPr>
            </w:pPr>
            <w:r>
              <w:rPr>
                <w:rFonts w:ascii="Arial" w:cs="Arial" w:eastAsia="Arial" w:hAnsi="Arial"/>
                <w:sz w:val="16"/>
                <w:szCs w:val="16"/>
                <w:color w:val="auto"/>
                <w:w w:val="98"/>
              </w:rPr>
              <w:t>Unrealized gains from derivative instrument, net of tax of $0, $12, $0 and $79 for the three and nine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6940" w:type="dxa"/>
            <w:vAlign w:val="bottom"/>
          </w:tcPr>
          <w:p>
            <w:pPr>
              <w:ind w:left="20"/>
              <w:spacing w:after="0"/>
              <w:rPr>
                <w:sz w:val="20"/>
                <w:szCs w:val="20"/>
                <w:color w:val="auto"/>
              </w:rPr>
            </w:pPr>
            <w:r>
              <w:rPr>
                <w:rFonts w:ascii="Arial" w:cs="Arial" w:eastAsia="Arial" w:hAnsi="Arial"/>
                <w:sz w:val="16"/>
                <w:szCs w:val="16"/>
                <w:color w:val="auto"/>
              </w:rPr>
              <w:t>months ended July 31, 2019 and 2018, respectively.</w:t>
            </w:r>
          </w:p>
        </w:tc>
        <w:tc>
          <w:tcPr>
            <w:tcW w:w="22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163</w:t>
            </w:r>
          </w:p>
        </w:tc>
      </w:tr>
      <w:tr>
        <w:trPr>
          <w:trHeight w:val="33"/>
        </w:trPr>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c>
          <w:tcPr>
            <w:tcW w:w="3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4,740</w:t>
            </w:r>
          </w:p>
        </w:tc>
      </w:tr>
      <w:tr>
        <w:trPr>
          <w:trHeight w:val="231"/>
        </w:trPr>
        <w:tc>
          <w:tcPr>
            <w:tcW w:w="694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(884)</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(2,151)</w:t>
            </w: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28,169</w:t>
            </w:r>
          </w:p>
        </w:tc>
      </w:tr>
      <w:tr>
        <w:trPr>
          <w:trHeight w:val="33"/>
        </w:trPr>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575</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576</w:t>
            </w:r>
          </w:p>
        </w:tc>
        <w:tc>
          <w:tcPr>
            <w:tcW w:w="3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r>
      <w:tr>
        <w:trPr>
          <w:trHeight w:val="257"/>
        </w:trPr>
        <w:tc>
          <w:tcPr>
            <w:tcW w:w="6940" w:type="dxa"/>
            <w:vAlign w:val="bottom"/>
          </w:tcPr>
          <w:p>
            <w:pPr>
              <w:ind w:left="20"/>
              <w:spacing w:after="0"/>
              <w:rPr>
                <w:sz w:val="20"/>
                <w:szCs w:val="20"/>
                <w:color w:val="auto"/>
              </w:rPr>
            </w:pPr>
            <w:r>
              <w:rPr>
                <w:rFonts w:ascii="Arial" w:cs="Arial" w:eastAsia="Arial" w:hAnsi="Arial"/>
                <w:sz w:val="16"/>
                <w:szCs w:val="16"/>
                <w:color w:val="auto"/>
              </w:rPr>
              <w:t>Comprehensive (loss) income attributable to Limoneira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(309)</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7,967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(1,575)</w:t>
            </w:r>
          </w:p>
        </w:tc>
        <w:tc>
          <w:tcPr>
            <w:tcW w:w="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28,175</w:t>
            </w: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42"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ind w:left="1400" w:right="880"/>
        <w:spacing w:after="0" w:line="277" w:lineRule="auto"/>
        <w:rPr>
          <w:sz w:val="20"/>
          <w:szCs w:val="20"/>
          <w:color w:val="auto"/>
        </w:rPr>
      </w:pPr>
      <w:r>
        <w:rPr>
          <w:rFonts w:ascii="Arial" w:cs="Arial" w:eastAsia="Arial" w:hAnsi="Arial"/>
          <w:sz w:val="18"/>
          <w:szCs w:val="18"/>
          <w:color w:val="auto"/>
        </w:rPr>
        <w:t>CONSOLIDATED STATEMENTS OF STOCKHOLDERS’ EQUITY AND TEMPORARY EQUITY ($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4"/>
                <w:szCs w:val="14"/>
                <w:b w:val="1"/>
                <w:bCs w:val="1"/>
                <w:color w:val="auto"/>
                <w:w w:val="99"/>
              </w:rPr>
              <w:t>Temporary Equity</w:t>
            </w:r>
          </w:p>
        </w:tc>
      </w:tr>
      <w:tr>
        <w:trPr>
          <w:trHeight w:val="163"/>
        </w:trPr>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Series B-2</w:t>
            </w:r>
          </w:p>
        </w:tc>
      </w:tr>
      <w:tr>
        <w:trPr>
          <w:trHeight w:val="182"/>
        </w:trPr>
        <w:tc>
          <w:tcPr>
            <w:tcW w:w="1320" w:type="dxa"/>
            <w:vAlign w:val="bottom"/>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Comprehensive</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Noncontrolling</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Preferred</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Preferred</w:t>
            </w:r>
          </w:p>
        </w:tc>
      </w:tr>
      <w:tr>
        <w:trPr>
          <w:trHeight w:val="264"/>
        </w:trPr>
        <w:tc>
          <w:tcPr>
            <w:tcW w:w="1320" w:type="dxa"/>
            <w:vAlign w:val="bottom"/>
          </w:tcPr>
          <w:p>
            <w:pPr>
              <w:spacing w:after="0"/>
              <w:rPr>
                <w:sz w:val="22"/>
                <w:szCs w:val="22"/>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2"/>
                <w:szCs w:val="2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Income (Loss)</w:t>
            </w:r>
          </w:p>
        </w:tc>
        <w:tc>
          <w:tcPr>
            <w:tcW w:w="200" w:type="dxa"/>
            <w:vAlign w:val="bottom"/>
          </w:tcPr>
          <w:p>
            <w:pPr>
              <w:spacing w:after="0"/>
              <w:rPr>
                <w:sz w:val="22"/>
                <w:szCs w:val="2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Interest</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22"/>
                <w:szCs w:val="22"/>
                <w:color w:val="auto"/>
              </w:rPr>
            </w:pPr>
          </w:p>
        </w:tc>
        <w:tc>
          <w:tcPr>
            <w:tcW w:w="56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Stock</w:t>
            </w:r>
          </w:p>
        </w:tc>
      </w:tr>
      <w:tr>
        <w:trPr>
          <w:trHeight w:val="134"/>
        </w:trPr>
        <w:tc>
          <w:tcPr>
            <w:tcW w:w="13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3"/>
                <w:szCs w:val="13"/>
                <w:color w:val="auto"/>
                <w:w w:val="96"/>
              </w:rPr>
              <w:t>Balance at October 31,</w:t>
            </w: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2018</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2"/>
              </w:rPr>
              <w:t>17,647,135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176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159,071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50,354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8,965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574</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6"/>
              </w:rPr>
              <w:t>$ 219,140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r>
      <w:tr>
        <w:trPr>
          <w:trHeight w:val="148"/>
        </w:trPr>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Dividends 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320" w:type="dxa"/>
            <w:vAlign w:val="bottom"/>
          </w:tcPr>
          <w:p>
            <w:pPr>
              <w:ind w:left="20"/>
              <w:spacing w:after="0"/>
              <w:rPr>
                <w:sz w:val="20"/>
                <w:szCs w:val="20"/>
                <w:color w:val="auto"/>
              </w:rPr>
            </w:pPr>
            <w:r>
              <w:rPr>
                <w:rFonts w:ascii="Arial" w:cs="Arial" w:eastAsia="Arial" w:hAnsi="Arial"/>
                <w:sz w:val="13"/>
                <w:szCs w:val="13"/>
                <w:color w:val="auto"/>
              </w:rPr>
              <w:t>($0.075 per share)</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Series B</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($2.19 per share)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Dividends Series B-2</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320" w:type="dxa"/>
            <w:vAlign w:val="bottom"/>
          </w:tcPr>
          <w:p>
            <w:pPr>
              <w:ind w:left="20"/>
              <w:spacing w:after="0"/>
              <w:rPr>
                <w:sz w:val="20"/>
                <w:szCs w:val="20"/>
                <w:color w:val="auto"/>
              </w:rPr>
            </w:pPr>
            <w:r>
              <w:rPr>
                <w:rFonts w:ascii="Arial" w:cs="Arial" w:eastAsia="Arial" w:hAnsi="Arial"/>
                <w:sz w:val="13"/>
                <w:szCs w:val="13"/>
                <w:color w:val="auto"/>
              </w:rPr>
              <w:t>($10 per share)</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8"/>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145,737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789</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Exchange of 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320" w:type="dxa"/>
            <w:vAlign w:val="bottom"/>
          </w:tcPr>
          <w:p>
            <w:pPr>
              <w:ind w:left="20"/>
              <w:spacing w:after="0"/>
              <w:rPr>
                <w:sz w:val="20"/>
                <w:szCs w:val="20"/>
                <w:color w:val="auto"/>
              </w:rPr>
            </w:pPr>
            <w:r>
              <w:rPr>
                <w:rFonts w:ascii="Arial" w:cs="Arial" w:eastAsia="Arial" w:hAnsi="Arial"/>
                <w:sz w:val="13"/>
                <w:szCs w:val="13"/>
                <w:color w:val="auto"/>
              </w:rPr>
              <w:t>stock</w:t>
            </w:r>
          </w:p>
        </w:tc>
        <w:tc>
          <w:tcPr>
            <w:tcW w:w="700" w:type="dxa"/>
            <w:vAlign w:val="bottom"/>
          </w:tcPr>
          <w:p>
            <w:pPr>
              <w:jc w:val="right"/>
              <w:spacing w:after="0"/>
              <w:rPr>
                <w:sz w:val="20"/>
                <w:szCs w:val="20"/>
                <w:color w:val="auto"/>
              </w:rPr>
            </w:pPr>
            <w:r>
              <w:rPr>
                <w:rFonts w:ascii="Arial" w:cs="Arial" w:eastAsia="Arial" w:hAnsi="Arial"/>
                <w:sz w:val="13"/>
                <w:szCs w:val="13"/>
                <w:color w:val="auto"/>
              </w:rPr>
              <w:t>(20,119)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8"/>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Other comprehensive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320" w:type="dxa"/>
            <w:vAlign w:val="bottom"/>
          </w:tcPr>
          <w:p>
            <w:pPr>
              <w:ind w:left="20"/>
              <w:spacing w:after="0"/>
              <w:rPr>
                <w:sz w:val="20"/>
                <w:szCs w:val="20"/>
                <w:color w:val="auto"/>
              </w:rPr>
            </w:pPr>
            <w:r>
              <w:rPr>
                <w:rFonts w:ascii="Arial" w:cs="Arial" w:eastAsia="Arial" w:hAnsi="Arial"/>
                <w:sz w:val="13"/>
                <w:szCs w:val="13"/>
                <w:color w:val="auto"/>
              </w:rPr>
              <w:t>income, net of tax</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969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Reclassification of</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35"/>
        </w:trPr>
        <w:tc>
          <w:tcPr>
            <w:tcW w:w="13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unrealized gain on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13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marketable securities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13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upon adoption of ASU</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2016-01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15,921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Reclassification upon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3"/>
                <w:szCs w:val="13"/>
                <w:color w:val="auto"/>
                <w:w w:val="97"/>
              </w:rPr>
              <w:t>adoption of ASU 2018-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70"/>
        </w:trPr>
        <w:tc>
          <w:tcPr>
            <w:tcW w:w="1320" w:type="dxa"/>
            <w:vAlign w:val="bottom"/>
          </w:tcPr>
          <w:p>
            <w:pPr>
              <w:ind w:left="20"/>
              <w:spacing w:after="0"/>
              <w:rPr>
                <w:sz w:val="20"/>
                <w:szCs w:val="20"/>
                <w:color w:val="auto"/>
              </w:rPr>
            </w:pPr>
            <w:r>
              <w:rPr>
                <w:rFonts w:ascii="Arial" w:cs="Arial" w:eastAsia="Arial" w:hAnsi="Arial"/>
                <w:sz w:val="13"/>
                <w:szCs w:val="13"/>
                <w:color w:val="auto"/>
              </w:rPr>
              <w:t>02</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1,724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4"/>
        </w:trPr>
        <w:tc>
          <w:tcPr>
            <w:tcW w:w="13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3"/>
                <w:szCs w:val="13"/>
                <w:color w:val="auto"/>
                <w:w w:val="96"/>
              </w:rPr>
              <w:t>Balance at January 31,</w:t>
            </w: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2019</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17,772,753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178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159,555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58,401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579</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214,450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r>
      <w:tr>
        <w:trPr>
          <w:trHeight w:val="148"/>
        </w:trPr>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Dividends Common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320" w:type="dxa"/>
            <w:vAlign w:val="bottom"/>
          </w:tcPr>
          <w:p>
            <w:pPr>
              <w:ind w:left="20"/>
              <w:spacing w:after="0"/>
              <w:rPr>
                <w:sz w:val="20"/>
                <w:szCs w:val="20"/>
                <w:color w:val="auto"/>
              </w:rPr>
            </w:pPr>
            <w:r>
              <w:rPr>
                <w:rFonts w:ascii="Arial" w:cs="Arial" w:eastAsia="Arial" w:hAnsi="Arial"/>
                <w:sz w:val="13"/>
                <w:szCs w:val="13"/>
                <w:color w:val="auto"/>
              </w:rPr>
              <w:t>($0.075 per share)</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Series B</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($2.19 per share)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Dividends Series B-2</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320" w:type="dxa"/>
            <w:vAlign w:val="bottom"/>
          </w:tcPr>
          <w:p>
            <w:pPr>
              <w:ind w:left="20"/>
              <w:spacing w:after="0"/>
              <w:rPr>
                <w:sz w:val="20"/>
                <w:szCs w:val="20"/>
                <w:color w:val="auto"/>
              </w:rPr>
            </w:pPr>
            <w:r>
              <w:rPr>
                <w:rFonts w:ascii="Arial" w:cs="Arial" w:eastAsia="Arial" w:hAnsi="Arial"/>
                <w:sz w:val="13"/>
                <w:szCs w:val="13"/>
                <w:color w:val="auto"/>
              </w:rPr>
              <w:t>($10 per share)</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8"/>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62"/>
        </w:trPr>
        <w:tc>
          <w:tcPr>
            <w:tcW w:w="1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2,820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net of tax</w:t>
            </w: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1320" w:type="dxa"/>
            <w:vAlign w:val="bottom"/>
          </w:tcPr>
          <w:p>
            <w:pPr>
              <w:ind w:left="20"/>
              <w:spacing w:after="0" w:line="128" w:lineRule="exact"/>
              <w:rPr>
                <w:sz w:val="20"/>
                <w:szCs w:val="20"/>
                <w:color w:val="auto"/>
              </w:rPr>
            </w:pPr>
            <w:r>
              <w:rPr>
                <w:rFonts w:ascii="Arial" w:cs="Arial" w:eastAsia="Arial" w:hAnsi="Arial"/>
                <w:sz w:val="13"/>
                <w:szCs w:val="13"/>
                <w:color w:val="auto"/>
              </w:rPr>
              <w:t>Balance at April 30,</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8"/>
        </w:trPr>
        <w:tc>
          <w:tcPr>
            <w:tcW w:w="1320" w:type="dxa"/>
            <w:vAlign w:val="bottom"/>
          </w:tcPr>
          <w:p>
            <w:pPr>
              <w:ind w:left="20"/>
              <w:spacing w:after="0"/>
              <w:rPr>
                <w:sz w:val="20"/>
                <w:szCs w:val="20"/>
                <w:color w:val="auto"/>
              </w:rPr>
            </w:pPr>
            <w:r>
              <w:rPr>
                <w:rFonts w:ascii="Arial" w:cs="Arial" w:eastAsia="Arial" w:hAnsi="Arial"/>
                <w:sz w:val="13"/>
                <w:szCs w:val="13"/>
                <w:color w:val="auto"/>
              </w:rPr>
              <w:t>2019</w:t>
            </w:r>
          </w:p>
        </w:tc>
        <w:tc>
          <w:tcPr>
            <w:tcW w:w="700" w:type="dxa"/>
            <w:vAlign w:val="bottom"/>
          </w:tcPr>
          <w:p>
            <w:pPr>
              <w:jc w:val="right"/>
              <w:spacing w:after="0"/>
              <w:rPr>
                <w:sz w:val="20"/>
                <w:szCs w:val="20"/>
                <w:color w:val="auto"/>
              </w:rPr>
            </w:pPr>
            <w:r>
              <w:rPr>
                <w:rFonts w:ascii="Arial" w:cs="Arial" w:eastAsia="Arial" w:hAnsi="Arial"/>
                <w:sz w:val="13"/>
                <w:szCs w:val="13"/>
                <w:color w:val="auto"/>
              </w:rPr>
              <w:t>17,772,753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2"/>
              </w:rPr>
              <w:t>178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159,992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59,757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575</w:t>
            </w:r>
          </w:p>
        </w:tc>
        <w:tc>
          <w:tcPr>
            <w:tcW w:w="12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215,859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9,331</w:t>
            </w: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Common</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($0.075 per share)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Dividends Series B</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320" w:type="dxa"/>
            <w:vAlign w:val="bottom"/>
          </w:tcPr>
          <w:p>
            <w:pPr>
              <w:ind w:left="20"/>
              <w:spacing w:after="0"/>
              <w:rPr>
                <w:sz w:val="20"/>
                <w:szCs w:val="20"/>
                <w:color w:val="auto"/>
              </w:rPr>
            </w:pPr>
            <w:r>
              <w:rPr>
                <w:rFonts w:ascii="Arial" w:cs="Arial" w:eastAsia="Arial" w:hAnsi="Arial"/>
                <w:sz w:val="13"/>
                <w:szCs w:val="13"/>
                <w:color w:val="auto"/>
              </w:rPr>
              <w:t>($2.19 per share)</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Series B-2</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 per share)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62"/>
        </w:trPr>
        <w:tc>
          <w:tcPr>
            <w:tcW w:w="1320" w:type="dxa"/>
            <w:vAlign w:val="bottom"/>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Acquired noncontrolling</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14,410</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62"/>
        </w:trPr>
        <w:tc>
          <w:tcPr>
            <w:tcW w:w="132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593</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0"/>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net of tax</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82"/>
        </w:trPr>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89"/>
              </w:rPr>
              <w:t>Balance at July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17,772,753</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178</w:t>
            </w:r>
          </w:p>
        </w:tc>
        <w:tc>
          <w:tcPr>
            <w:tcW w:w="1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160,200</w:t>
            </w:r>
          </w:p>
        </w:tc>
        <w:tc>
          <w:tcPr>
            <w:tcW w:w="1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57,309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(5,130)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15,560</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$ 228,117</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9,331</w:t>
            </w:r>
          </w:p>
        </w:tc>
      </w:tr>
      <w:tr>
        <w:trPr>
          <w:trHeight w:val="306"/>
        </w:trPr>
        <w:tc>
          <w:tcPr>
            <w:tcW w:w="1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140"/>
          </w:cols>
          <w:pgMar w:left="1380" w:top="342" w:right="1379" w:bottom="1440" w:gutter="0" w:footer="0" w:header="0"/>
        </w:sectPr>
      </w:pPr>
    </w:p>
    <w:bookmarkStart w:id="7" w:name="page8"/>
    <w:bookmarkEnd w:id="7"/>
    <w:p>
      <w:pPr>
        <w:ind w:left="4480"/>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CONSOLIDATED STATEMENTS OF STOCKHOLDERS’ EQUITY AND TEMPORARY EQUITY (Continued)</w:t>
      </w:r>
    </w:p>
    <w:p>
      <w:pPr>
        <w:spacing w:after="0" w:line="23"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 in thousands)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Temporary Equity</w:t>
            </w:r>
          </w:p>
        </w:tc>
        <w:tc>
          <w:tcPr>
            <w:tcW w:w="0" w:type="dxa"/>
            <w:vAlign w:val="bottom"/>
          </w:tcPr>
          <w:p>
            <w:pPr>
              <w:spacing w:after="0"/>
              <w:rPr>
                <w:sz w:val="1"/>
                <w:szCs w:val="1"/>
                <w:color w:val="auto"/>
              </w:rPr>
            </w:pPr>
          </w:p>
        </w:tc>
      </w:tr>
      <w:tr>
        <w:trPr>
          <w:trHeight w:val="163"/>
        </w:trPr>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2"/>
              </w:rPr>
              <w:t>Series B</w:t>
            </w:r>
          </w:p>
        </w:tc>
        <w:tc>
          <w:tcPr>
            <w:tcW w:w="20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Series B-2</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Comprehensive</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Noncontrolling</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Preferred</w:t>
            </w:r>
          </w:p>
        </w:tc>
        <w:tc>
          <w:tcPr>
            <w:tcW w:w="20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22"/>
                <w:szCs w:val="22"/>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22"/>
                <w:szCs w:val="2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60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34"/>
        </w:trPr>
        <w:tc>
          <w:tcPr>
            <w:tcW w:w="130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3"/>
                <w:szCs w:val="13"/>
                <w:color w:val="auto"/>
                <w:w w:val="94"/>
              </w:rPr>
              <w:t>Balance at October 31,</w:t>
            </w: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2017</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5"/>
              </w:rPr>
              <w:t>14,405,031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94,294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34,692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7,076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587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6"/>
              </w:rPr>
              <w:t>$ 136,793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Dividends 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Stock ($0.0625 per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Series B</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($2.19 per share)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Dividends Series B-2</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00" w:type="dxa"/>
            <w:vAlign w:val="bottom"/>
          </w:tcPr>
          <w:p>
            <w:pPr>
              <w:ind w:left="20"/>
              <w:spacing w:after="0"/>
              <w:rPr>
                <w:sz w:val="20"/>
                <w:szCs w:val="20"/>
                <w:color w:val="auto"/>
              </w:rPr>
            </w:pPr>
            <w:r>
              <w:rPr>
                <w:rFonts w:ascii="Arial" w:cs="Arial" w:eastAsia="Arial" w:hAnsi="Arial"/>
                <w:sz w:val="13"/>
                <w:szCs w:val="13"/>
                <w:color w:val="auto"/>
              </w:rPr>
              <w:t>($10 per share)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145,441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709</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Exchange of 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00" w:type="dxa"/>
            <w:vAlign w:val="bottom"/>
          </w:tcPr>
          <w:p>
            <w:pPr>
              <w:ind w:left="20"/>
              <w:spacing w:after="0"/>
              <w:rPr>
                <w:sz w:val="20"/>
                <w:szCs w:val="20"/>
                <w:color w:val="auto"/>
              </w:rPr>
            </w:pPr>
            <w:r>
              <w:rPr>
                <w:rFonts w:ascii="Arial" w:cs="Arial" w:eastAsia="Arial" w:hAnsi="Arial"/>
                <w:sz w:val="13"/>
                <w:szCs w:val="13"/>
                <w:color w:val="auto"/>
              </w:rPr>
              <w:t>stock</w:t>
            </w:r>
          </w:p>
        </w:tc>
        <w:tc>
          <w:tcPr>
            <w:tcW w:w="720" w:type="dxa"/>
            <w:vAlign w:val="bottom"/>
          </w:tcPr>
          <w:p>
            <w:pPr>
              <w:jc w:val="right"/>
              <w:spacing w:after="0"/>
              <w:rPr>
                <w:sz w:val="20"/>
                <w:szCs w:val="20"/>
                <w:color w:val="auto"/>
              </w:rPr>
            </w:pPr>
            <w:r>
              <w:rPr>
                <w:rFonts w:ascii="Arial" w:cs="Arial" w:eastAsia="Arial" w:hAnsi="Arial"/>
                <w:sz w:val="13"/>
                <w:szCs w:val="13"/>
                <w:color w:val="auto"/>
              </w:rPr>
              <w:t>(17,520)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8,625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8,623</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Other comprehensive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net of tax</w:t>
            </w: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3,291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3,316</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w w:val="94"/>
              </w:rPr>
              <w:t>Balance at January 31,</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5"/>
              </w:rPr>
              <w:t>14,532,952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94,601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42,284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10,367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148,007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Dividends 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Stock ($0.0625 per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Series B</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($2.19 per share)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Dividends Series B-2</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($10 per share)</w:t>
            </w:r>
          </w:p>
        </w:tc>
        <w:tc>
          <w:tcPr>
            <w:tcW w:w="8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3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6,599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6,606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net of tax</w:t>
            </w: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1,652</w:t>
            </w: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1,658</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300" w:type="dxa"/>
            <w:vAlign w:val="bottom"/>
          </w:tcPr>
          <w:p>
            <w:pPr>
              <w:ind w:left="20"/>
              <w:spacing w:after="0" w:line="128" w:lineRule="exact"/>
              <w:rPr>
                <w:sz w:val="20"/>
                <w:szCs w:val="20"/>
                <w:color w:val="auto"/>
              </w:rPr>
            </w:pPr>
            <w:r>
              <w:rPr>
                <w:rFonts w:ascii="Arial" w:cs="Arial" w:eastAsia="Arial" w:hAnsi="Arial"/>
                <w:sz w:val="13"/>
                <w:szCs w:val="13"/>
                <w:color w:val="auto"/>
              </w:rPr>
              <w:t>Balance at April 30,</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00" w:type="dxa"/>
            <w:vAlign w:val="bottom"/>
          </w:tcPr>
          <w:p>
            <w:pPr>
              <w:ind w:left="20"/>
              <w:spacing w:after="0"/>
              <w:rPr>
                <w:sz w:val="20"/>
                <w:szCs w:val="20"/>
                <w:color w:val="auto"/>
              </w:rPr>
            </w:pPr>
            <w:r>
              <w:rPr>
                <w:rFonts w:ascii="Arial" w:cs="Arial" w:eastAsia="Arial" w:hAnsi="Arial"/>
                <w:sz w:val="13"/>
                <w:szCs w:val="13"/>
                <w:color w:val="auto"/>
              </w:rPr>
              <w:t>2018</w:t>
            </w:r>
          </w:p>
        </w:tc>
        <w:tc>
          <w:tcPr>
            <w:tcW w:w="720" w:type="dxa"/>
            <w:vAlign w:val="bottom"/>
          </w:tcPr>
          <w:p>
            <w:pPr>
              <w:jc w:val="right"/>
              <w:spacing w:after="0"/>
              <w:rPr>
                <w:sz w:val="20"/>
                <w:szCs w:val="20"/>
                <w:color w:val="auto"/>
              </w:rPr>
            </w:pPr>
            <w:r>
              <w:rPr>
                <w:rFonts w:ascii="Arial" w:cs="Arial" w:eastAsia="Arial" w:hAnsi="Arial"/>
                <w:sz w:val="13"/>
                <w:szCs w:val="13"/>
                <w:color w:val="auto"/>
              </w:rPr>
              <w:t>14,532,952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2"/>
              </w:rPr>
              <w:t>145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94,831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47,849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12,019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155,467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5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Common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($0.0625 per</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Dividends Series B</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00" w:type="dxa"/>
            <w:vAlign w:val="bottom"/>
          </w:tcPr>
          <w:p>
            <w:pPr>
              <w:ind w:left="20"/>
              <w:spacing w:after="0"/>
              <w:rPr>
                <w:sz w:val="20"/>
                <w:szCs w:val="20"/>
                <w:color w:val="auto"/>
              </w:rPr>
            </w:pPr>
            <w:r>
              <w:rPr>
                <w:rFonts w:ascii="Arial" w:cs="Arial" w:eastAsia="Arial" w:hAnsi="Arial"/>
                <w:sz w:val="13"/>
                <w:szCs w:val="13"/>
                <w:color w:val="auto"/>
              </w:rPr>
              <w:t>($2.19 per share)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Series B-2</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 per share)</w:t>
            </w:r>
          </w:p>
        </w:tc>
        <w:tc>
          <w:tcPr>
            <w:tcW w:w="820" w:type="dxa"/>
            <w:vAlign w:val="bottom"/>
            <w:gridSpan w:val="2"/>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300" w:type="dxa"/>
            <w:vAlign w:val="bottom"/>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3,136,362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64,065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64,097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3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8,201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8,200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net of tax</w:t>
            </w: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5"/>
        </w:trPr>
        <w:tc>
          <w:tcPr>
            <w:tcW w:w="1300" w:type="dxa"/>
            <w:vAlign w:val="bottom"/>
          </w:tcPr>
          <w:p>
            <w:pPr>
              <w:ind w:left="20"/>
              <w:spacing w:after="0"/>
              <w:rPr>
                <w:sz w:val="20"/>
                <w:szCs w:val="20"/>
                <w:color w:val="auto"/>
              </w:rPr>
            </w:pPr>
            <w:r>
              <w:rPr>
                <w:rFonts w:ascii="Arial" w:cs="Arial" w:eastAsia="Arial" w:hAnsi="Arial"/>
                <w:sz w:val="13"/>
                <w:szCs w:val="13"/>
                <w:color w:val="auto"/>
                <w:w w:val="88"/>
              </w:rPr>
              <w:t>Balance at July 31, 2018</w:t>
            </w:r>
          </w:p>
        </w:tc>
        <w:tc>
          <w:tcPr>
            <w:tcW w:w="720" w:type="dxa"/>
            <w:vAlign w:val="bottom"/>
          </w:tcPr>
          <w:p>
            <w:pPr>
              <w:jc w:val="right"/>
              <w:spacing w:after="0"/>
              <w:rPr>
                <w:sz w:val="20"/>
                <w:szCs w:val="20"/>
                <w:color w:val="auto"/>
              </w:rPr>
            </w:pPr>
            <w:r>
              <w:rPr>
                <w:rFonts w:ascii="Arial" w:cs="Arial" w:eastAsia="Arial" w:hAnsi="Arial"/>
                <w:sz w:val="13"/>
                <w:szCs w:val="13"/>
                <w:color w:val="auto"/>
              </w:rPr>
              <w:t>17,669,314</w:t>
            </w:r>
          </w:p>
        </w:tc>
        <w:tc>
          <w:tcPr>
            <w:tcW w:w="100" w:type="dxa"/>
            <w:vAlign w:val="bottom"/>
          </w:tcPr>
          <w:p>
            <w:pPr>
              <w:spacing w:after="0"/>
              <w:rPr>
                <w:sz w:val="24"/>
                <w:szCs w:val="24"/>
                <w:color w:val="auto"/>
              </w:rPr>
            </w:pPr>
          </w:p>
        </w:tc>
        <w:tc>
          <w:tcPr>
            <w:tcW w:w="380" w:type="dxa"/>
            <w:vAlign w:val="bottom"/>
          </w:tcPr>
          <w:p>
            <w:pPr>
              <w:jc w:val="right"/>
              <w:ind w:right="215"/>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92"/>
              </w:rPr>
              <w:t>177</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159,173</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54,824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11,817</w:t>
            </w:r>
          </w:p>
        </w:tc>
        <w:tc>
          <w:tcPr>
            <w:tcW w:w="120" w:type="dxa"/>
            <w:vAlign w:val="bottom"/>
          </w:tcPr>
          <w:p>
            <w:pPr>
              <w:spacing w:after="0"/>
              <w:rPr>
                <w:sz w:val="24"/>
                <w:szCs w:val="2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w w:val="86"/>
              </w:rPr>
              <w:t>$ 226,584</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1,479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580" w:type="dxa"/>
            <w:vAlign w:val="bottom"/>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52"/>
        </w:trPr>
        <w:tc>
          <w:tcPr>
            <w:tcW w:w="13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20"/>
          </w:cols>
          <w:pgMar w:left="240" w:top="342" w:right="1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23,429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5,210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disposals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Gain on sales of real estate development assets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Equity in earnings of investments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distributions from equity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 on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Loss on sale of stock in Calavo Growers, Inc.</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loss on stock in Calavo Growers, Inc.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(4,031)</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Cultural costs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payable and growers payable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15,505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3,927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23,203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Purchase of real estate development parcel</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sales of real estate development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Agriculture property acquisitions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(13,111)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 combinations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proceeds from sale of stock in Calavo Growers, Inc.</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Collections of installments on note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 investment contributions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mutual water companies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(31,380)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(50,852)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Borrowings of long-term debt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95,321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135,127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(167,881)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Dividends paid – common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(2,920)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 – preferred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Exchange of common stock</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64,097</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27,479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27,646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57"/>
        </w:trPr>
        <w:tc>
          <w:tcPr>
            <w:tcW w:w="8580" w:type="dxa"/>
            <w:vAlign w:val="bottom"/>
          </w:tcPr>
          <w:p>
            <w:pPr>
              <w:ind w:left="40"/>
              <w:spacing w:after="0"/>
              <w:rPr>
                <w:sz w:val="20"/>
                <w:szCs w:val="20"/>
                <w:color w:val="auto"/>
              </w:rPr>
            </w:pPr>
            <w:r>
              <w:rPr>
                <w:rFonts w:ascii="Arial" w:cs="Arial" w:eastAsia="Arial" w:hAnsi="Arial"/>
                <w:sz w:val="16"/>
                <w:szCs w:val="16"/>
                <w:color w:val="auto"/>
              </w:rPr>
              <w:t>Cash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943</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2" w:right="239" w:bottom="88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42" w:right="239" w:bottom="881"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2,018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 income taxes, net of (refunds)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holding gain on Calavo investment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(Decrease) increase in real estate development and sale-leaseback deferral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(58,330)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 from real estate development to equity in investments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(33,353)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Increase in equity in investments and other long-term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issuance of note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Non-cash reduction of note receivable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 accrued but not paid at period-end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Accrued Series B-2 Convertible Preferred Stock dividends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Non-cash issuance of note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1,435</w:t>
            </w:r>
          </w:p>
        </w:tc>
      </w:tr>
      <w:tr>
        <w:trPr>
          <w:trHeight w:val="33"/>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December 2018, the Company terminated its lease agreement with the Joint Venture (as defined herein) that is developing the East Area I real estate development project. As a result, the Company reduced its sale lease-back deferral and corresponding real estate development by $58,330,000 and reclassified $33,353,000 of the Company’s basis in the Joint Venture from real estate development to equity in investments as further described in Note 7 - Real Estate Development and Note 8 - Equity Investments of the notes to consolidated financial statements included in this Quarterly Report on Form 10-Q.</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2013, the Company entered into an option agreement for the purchase of a 7-acre parcel adjacent to its East Area II real estate development project. In February 2018, the Company exercised its option and purchased the property for $3,145,000, by making a cash payment of $1,444,000 and issuing a note payable for $1,435,000.</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2017, the holder of the note receivable from a 2004 sale of property completed the drilling of a water well at the Company’s La Campana Ranch. The fair value of the well drilling services was $79,000 and the Company recorded a non-cash reduction of the note receivable.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sold its Centennial Square (“Centennial”) real estate development property for $3,250,000. The Company received net proceeds of $179,000 and received a $3,000,000 promissory note secured by the property for the balance of the purchase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ind w:right="822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jc w:val="both"/>
        <w:spacing w:after="0" w:line="264"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all of its avocado production to Calavo Growers, Inc. (“Calavo”), a packing and marketing company listed on the NASDAQ Global Select Market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a controlling interest is held by the Company. Intercompany accounts and transactions have been eliminated.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accounting principles generally accepted in the United States (“GAAP”) requires management to make estimates and assumptions that affect the amounts reported. Actual results could differ materially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63" w:lineRule="exact"/>
        <w:rPr>
          <w:sz w:val="20"/>
          <w:szCs w:val="20"/>
          <w:color w:val="auto"/>
        </w:rPr>
      </w:pPr>
    </w:p>
    <w:p>
      <w:pPr>
        <w:ind w:right="786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Revenue Recognition</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November 1, 2018, the Company adopted Financial Accounting Standards Board (“FASB”) </w:t>
      </w:r>
      <w:r>
        <w:rPr>
          <w:rFonts w:ascii="Arial" w:cs="Arial" w:eastAsia="Arial" w:hAnsi="Arial"/>
          <w:sz w:val="17"/>
          <w:szCs w:val="17"/>
          <w:i w:val="1"/>
          <w:iCs w:val="1"/>
          <w:color w:val="auto"/>
        </w:rPr>
        <w:t>– Accounting Standards Update (“ASU”) ASU 2014-09,</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Revenue from Contracts with Customers (Topic 606), </w:t>
      </w:r>
      <w:r>
        <w:rPr>
          <w:rFonts w:ascii="Arial" w:cs="Arial" w:eastAsia="Arial" w:hAnsi="Arial"/>
          <w:sz w:val="17"/>
          <w:szCs w:val="17"/>
          <w:color w:val="auto"/>
        </w:rPr>
        <w:t>that amends the guidance for the recognition of revenue from contracts with customers. The results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reporting period beginning after November 1, 2018 are presented in accordance with the new standard which was adopted using the modified-retrospective method and applied to those contracts that were not completed as of November 1, 2018. There was no net effect of applying the standard and therefore no cumulative adjustment to retained earnings was necessary at the date of initial application.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comparative information has not been restated and the results for the reporting periods before November 1, 2018 continue to be reported under the accounting standards and policies in effect for those periods.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determined the appropriate method by which it recognizes revenue by analyzing the nature of the products or services being provided as well as the terms and conditions of contracts or arrangements entered into with its customers. The Company accounts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03"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the majority of its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adoption, the Company changed the accounting of certain brokered fruit sales. Under previous guidance, the Company was considered an agent and recorded revenues for certain brokered fruit sales and the costs of such fruit on a net basis in its consolidated statement of operations. Under the new revenue recognition standard, the Company is considered a principal in the transaction and revenues are recorded on a gross basis in the Company’s consolidated statement of operations with the related cost of such fruit included in agribusiness costs and expenses. This change resulted in the recognition of additional agribusiness revenue and agribusiness costs and expenses of $1,781,000, respectively, during the three months ended July 31, 2019 and $2,201,000, respectively, during the nine months ended July 31, 2019. Had it used the previous revenue recognition guidance, the Company would have recorded insignificant net agribusiness revenue for the three and nine months ended July 31, 2019. No cumulative adjustment to retained earnings was necessary as there is no net effect of applying the standard.</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Agribusiness revenue - </w:t>
      </w:r>
      <w:r>
        <w:rPr>
          <w:rFonts w:ascii="Arial" w:cs="Arial" w:eastAsia="Arial" w:hAnsi="Arial"/>
          <w:sz w:val="18"/>
          <w:szCs w:val="18"/>
          <w:color w:val="auto"/>
        </w:rPr>
        <w:t>Revenue from lemon sales is generally recognized at a point in time when the customer takes control of the fruit from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The Company has elected to treat any shipping and handling costs incurred after control of the goods has been transferred to the customer as agribusiness costs.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avocados, oranges, specialty citrus and other specialty crops are packed and sold by Calavo and other third-party packinghouses. The Company delivers all of its avocado production from its orchards to Calavo. These avocados are then packed by Calavo at its packinghouse and sold and distributed under Calavo brands to its customers primarily in the United States and Canada. The Company’s arrangements with other third-party packinghouses related to its oranges, specialty citrus and other specialty crops are similar to its arrangement with Calavo. The Company’s arrangements with its third-party packinghouses are such that the Company is the producer and supplier of the product and the third-party packinghouses are the Company’s customers.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revenues the Company recognizes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The Company controls the product until it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the Company receives from the third-party packinghouses for packaging and marketing services cannot be sufficiently separated from the third-party packinghouses’ purchase of the Company’s products. In addition, the Company is not able to reasonably estimate the fair value of the benefit received from the third-party packinghouses for such services and as such, these costs are characterized as a reduction of revenue in the Company’s consolidated statements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the sales of certain of the Company’s agricultural products is recorded based on estimated proceeds provided by certain of the Company’s sales and marketing partners (Calavo and other third-party packinghouses) due to the time between when the product is delivered by the Company and the closing of the pools for such fruits at the end of each month or harvest period. Calavo and other third-party packinghouses are agricultural cooperatives or function in a similar manner as an agricultural cooperative. The Company</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estimates the variable consideration using the most likely amount method, with the most likely amount being the quantities actually shipped extended by the prices reported by Calavo and other third-party packinghouses. Revenue is recognized at time of delivery to</w:t>
      </w:r>
    </w:p>
    <w:p>
      <w:pPr>
        <w:spacing w:after="0" w:line="1" w:lineRule="exact"/>
        <w:rPr>
          <w:sz w:val="20"/>
          <w:szCs w:val="20"/>
          <w:color w:val="auto"/>
        </w:rPr>
      </w:pPr>
    </w:p>
    <w:p>
      <w:pPr>
        <w:ind w:right="1800"/>
        <w:spacing w:after="0" w:line="281" w:lineRule="auto"/>
        <w:rPr>
          <w:sz w:val="20"/>
          <w:szCs w:val="20"/>
          <w:color w:val="auto"/>
        </w:rPr>
      </w:pPr>
      <w:r>
        <w:rPr>
          <w:rFonts w:ascii="Arial" w:cs="Arial" w:eastAsia="Arial" w:hAnsi="Arial"/>
          <w:sz w:val="16"/>
          <w:szCs w:val="16"/>
          <w:color w:val="auto"/>
        </w:rPr>
        <w:t>the packinghouses relating to fruits that are in pools that have not yet closed at month end if: (a) the related fruits have been delivered to and accepted by Calavo and other third-party packinghouses (i.e., Calavo and other third-party packinghouses obtain control) and</w:t>
      </w:r>
    </w:p>
    <w:p>
      <w:pPr>
        <w:spacing w:after="0" w:line="1" w:lineRule="exact"/>
        <w:rPr>
          <w:sz w:val="20"/>
          <w:szCs w:val="20"/>
          <w:color w:val="auto"/>
        </w:rPr>
      </w:pPr>
    </w:p>
    <w:p>
      <w:pPr>
        <w:ind w:left="5620" w:right="1960" w:hanging="5612"/>
        <w:spacing w:after="0" w:line="793"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price information has been provided by Calavo and other third-party packinghouses (based on the marketplace activity for 12</w:t>
      </w:r>
    </w:p>
    <w:p>
      <w:pPr>
        <w:sectPr>
          <w:pgSz w:w="11900" w:h="16838" w:orient="portrait"/>
          <w:cols w:equalWidth="0" w:num="1">
            <w:col w:w="11420"/>
          </w:cols>
          <w:pgMar w:left="240" w:top="38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03"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related fruit) to estimate with reasonable certainty the final selling price for the fruit upon the closing of the pools. In such instances the Company has the present right to payment and Calavo and other third-party packinghouses have the present right to direct the use of, and obtain substantially all of the remaining benefits from, the delivered fruit. The Company does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 provided to the Company by Calavo and other third-party packinghouses at the time of delivery, have not materially differed from the actual amounts that are paid after the monthly or harvest period pools are closed.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entered into brokerage arrangements with third-party international packinghouses. In certain of these arrangements, the Company has the exclusive ability to direct the use of and obtains substantially all of the remaining benefits from the fruit, and therefore is acting as a principal. As such, the Company records the related revenue and costs of the fruit gross in the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Revenue - </w:t>
      </w:r>
      <w:r>
        <w:rPr>
          <w:rFonts w:ascii="Arial" w:cs="Arial" w:eastAsia="Arial" w:hAnsi="Arial"/>
          <w:sz w:val="18"/>
          <w:szCs w:val="18"/>
          <w:color w:val="auto"/>
        </w:rPr>
        <w:t>Minimum rental revenues are generally recognized on a straight-line basis over the respective initial lease term. Contingent rental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contractually defined as to the percentage of rent received by the Company and are based on fees collected by the lessee. Such revenues are recognized when actual results, based on collected fees reported by the tenant, are received. The Company's rental arrangements generally require payment on a monthly or quarterly basis.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The Company recognizes revenue on real estate development projects with customers at a point in time (i.e.,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the Company satisfies the single performance obligation and transfers control of such real estate to a buyer. The transaction price, which is the amount of consideration the Company receives upon delivery of the completed real estate to the buyer, is allocated to this single obligation and is received at closing. Real estate development projects with non-customers are accounted for in accordance with Accounting Standards Code (“ASC”) 610-20, </w:t>
      </w:r>
      <w:r>
        <w:rPr>
          <w:rFonts w:ascii="Arial" w:cs="Arial" w:eastAsia="Arial" w:hAnsi="Arial"/>
          <w:sz w:val="18"/>
          <w:szCs w:val="18"/>
          <w:i w:val="1"/>
          <w:iCs w:val="1"/>
          <w:color w:val="auto"/>
        </w:rPr>
        <w:t>Other Income -</w:t>
      </w:r>
      <w:r>
        <w:rPr>
          <w:rFonts w:ascii="Arial" w:cs="Arial" w:eastAsia="Arial" w:hAnsi="Arial"/>
          <w:sz w:val="18"/>
          <w:szCs w:val="18"/>
          <w:color w:val="auto"/>
        </w:rPr>
        <w:t xml:space="preserve"> </w:t>
      </w:r>
      <w:r>
        <w:rPr>
          <w:rFonts w:ascii="Arial" w:cs="Arial" w:eastAsia="Arial" w:hAnsi="Arial"/>
          <w:sz w:val="18"/>
          <w:szCs w:val="18"/>
          <w:i w:val="1"/>
          <w:iCs w:val="1"/>
          <w:color w:val="auto"/>
        </w:rPr>
        <w:t>Gains and Losses from the Derecognition of Nonfinancial Assets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Overall (Subtopic 825-10): Recognition and Measurement of Financial Assets and Financial Liabilities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ASU 2016-01 is effective for public companies for fiscal years beginning after December 15, 2017, including interim periods within those fiscal years. The Company’s adoption of this ASU on November 1, 2018 resulted in a cumulative-effect adjustment to the statement of financial position, with the Company reclassifying unrealized holding gains of $15,921,000, net of taxes, in Calavo common stock to retained earnings from accumulated other comprehensive income ("AOCI") at the date of adoption. In addition, the change in the fair value of Calavo common stock has been disclosed as a separate line item in the statement of operations subsequent to the adoption of ASU 2016-01.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842) and related ASUs, including ASU 2018-11, Leases (Topic 842): Targeted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66" w:lineRule="auto"/>
        <w:tabs>
          <w:tab w:leader="none" w:pos="1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right-of-use asset, which is an asset that represents the lessee’s right to use, or control the use of, a specified asset for the lease term.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 The new lease guidance simplified the accounting for sale and leaseback transactions primarily because lessees must recognize lease assets and lease liabilities. Lessees will no longer be provided with a source of off-balance sheet financing.</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ASU 2016-02 is effective for fiscal years beginning after December 15, 2018, including interim periods within those fiscal years. Early application is permitted.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2018-11 provides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The Company plans to use the optional transition method when it adopts the ASUs beginning in the first quarter of its fiscal year ending October 31, 2020. The Company is evaluating the effect these ASUs may have on its consolidated financial statements, however it expects to apply the practical expedients provided in the ASUs. Note 20 – Commitments and Contingencies of the notes to consolidated financial statements included in the Company's 2018 Annual Report on Form 10-K describes its operating lease arrangements as of October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No. 2017-04 -Intangibles -Goodwill and Other (Topic 350): Simplifying the Test for Goodwill Impairment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amendment eliminates Step 2 from the goodwill impairment test. The annual, or interim,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An entity still has the option to perform the qualitative assessment for a reporting unit to determine if the quantitative impairment test is necessary.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 2017-04 is effective for interim and annual reporting periods beginning after December 15, 2019, with early adoption permitted. The Company early adopted the standard as of May 1, 2019 and followed this guidance during its annual impairment testing performed during the third quarter. The adoption did not have an impact on its financial position, results of operations, or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amendment is effective for public business entities for annual periods beginning after December 15, 2017, including interim periods within those annual periods. The Company’s adoption of this ASU during the first quarter of fiscal year 2019 had no material impact on its consolidated financial statements.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2018-02, Income Statement—Reporting Comprehensive Income (Topic 220): Reclassification of Certain Tax Effects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8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6920" w:firstLine="8"/>
        <w:spacing w:after="0" w:line="566" w:lineRule="auto"/>
        <w:tabs>
          <w:tab w:leader="none" w:pos="1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provides financial statement preparers with an option to reclassify stranded tax effects within AOCI to retained earnings in each period in which the effect of the change in the U.S. federal corporate income tax rate in the Tax Cuts and Jobs Act of 2017 (the "2017 Act") (or portion thereof) is recorded.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 is effective for all organizations for fiscal years beginning after December 15, 2018, and interim periods within those fiscal years. Early adoption is permitted. Organizations should apply the proposed amendment either in the period of adoption or retrospectively to each period (or periods) in which the effect of the change in the U.S. federal corporate income tax rate in the 2017 Act is recognized. The Company early adopted this ASU on November 1, 2018, and as a result recorded a cumulative-effect reclassification in the statement of financial position to retained earnings from AOCI at the date of adoption of $1,724,000 related to the investment in Calavo and pension liability.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2018-14, Compensation—Retirement Benefits—Defined Benefit Plans—General (Subtopic 715-20): Disclosure Framework—Changes to the Disclosure Requirements for Defined Benefit Plans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adds, removes and clarifies the disclosure requirements for employers that sponsor defined benefit pension or other post retirement plans. For public business entities, the amendments are effective for fiscal years ending after December 15, 2020. Early adoption is permitted. The Company is evaluating the effect this ASU may have on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Amendments to Certain Disclosure Requirements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the SEC adopted amendments to certain disclosure requirements for a number of SEC rules, including Rule 3-04 of Regulation S-X. Rule 3-04 requires that a public registrant’s Form 10-Q include a reconciliation of changes in stockholders’ equity for each period for which a statement of comprehensive income is required to be filed. These amendments are effective for interim periods beginning after November 5, 2018, therefore the Company has included a separate statement of stockholders’ equity and temporary equity in this Quarterly Report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2019, the Company purchased land for use as a citrus orchard for a cash purchase price of $397,000. The acquisition was for 26 acres of agricultural property adjacent to the Company’s orchards in Lindsay, California. This agriculture property acquisition is included in property, plant and equipment on the Company’s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Pablo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18, 2018, the Company completed the acquisition of Agricola San Pablo S.A. (“San Pablo”) ranch and related assets in La Serena, Chile, for $13,000,000. The San Pablo ranch consists of 3,317 acres on two parcels, including 247 acres producing lemons, 61 acres producing oranges, the opportunity to immediately plant 120 acres for lemon production, as well as the potential for approximately 500 acres of avocado production. This acquisition was accounted for as an asset purchase and is included in property, plant and equipment in the Company’s consolidated balance sheet. In addition, transaction costs of $111,000 were capitalized as part of total acquisition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62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5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equipment</w:t>
            </w:r>
          </w:p>
        </w:tc>
        <w:tc>
          <w:tcPr>
            <w:tcW w:w="5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Orchards</w:t>
            </w:r>
          </w:p>
        </w:tc>
        <w:tc>
          <w:tcPr>
            <w:tcW w:w="5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rights</w:t>
            </w:r>
          </w:p>
        </w:tc>
        <w:tc>
          <w:tcPr>
            <w:tcW w:w="5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53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380" w:type="dxa"/>
            <w:vAlign w:val="bottom"/>
            <w:vMerge w:val="restart"/>
          </w:tcPr>
          <w:p>
            <w:pPr>
              <w:jc w:val="right"/>
              <w:ind w:right="3370"/>
              <w:spacing w:after="0"/>
              <w:rPr>
                <w:sz w:val="20"/>
                <w:szCs w:val="20"/>
                <w:color w:val="auto"/>
              </w:rPr>
            </w:pPr>
            <w:r>
              <w:rPr>
                <w:rFonts w:ascii="Arial" w:cs="Arial" w:eastAsia="Arial" w:hAnsi="Arial"/>
                <w:sz w:val="18"/>
                <w:szCs w:val="18"/>
                <w:color w:val="auto"/>
              </w:rPr>
              <w:t>15</w:t>
            </w: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consolidated statement of operations as if San Pablo had been included in the consolidated results of the Company for the year ended October 31, 2018 would have resulted in revenues of $130,262,000 and net income of $18,785,000.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Trapani Fresh</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30, 2019, the Company acquired a 51% interest in a joint venture, Trapani Fresh, formed with FGF Trapani (“FGF”), a multi-generational, family owned citrus operation in Argentina. To consummate the transaction, the Company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consideration paid for the Company’s interest in Trapani Fresh was $15,000,000 of which $7,500,000 was paid to FGF on May 30, 2019. The remaining $7,500,000 was advanced to FGF, $4,000,000 in February 2019 and $3,500,000 in May 2019, as prepayments for the 25% interest in Santa Clara retained by FGF. Transaction costs of approximately $548,000 were included in selling, general and administrative expense. The Company has consolidated Trapani Fresh and has accounted for the acquisition of Trapani Fresh as a business combination, resulting in FGF’s 49% interest in Trapani Fresh being accounted for as a non-controlling interest.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Below is a summary of the preliminary fair value of the net assets acquired on the acquisition date based on a third-party valuation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9,520</w:t>
            </w:r>
          </w:p>
        </w:tc>
      </w:tr>
      <w:tr>
        <w:trPr>
          <w:trHeight w:val="27"/>
        </w:trPr>
        <w:tc>
          <w:tcPr>
            <w:tcW w:w="9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Orchards</w:t>
            </w: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8,410</w:t>
            </w:r>
          </w:p>
        </w:tc>
      </w:tr>
      <w:tr>
        <w:trPr>
          <w:trHeight w:val="27"/>
        </w:trPr>
        <w:tc>
          <w:tcPr>
            <w:tcW w:w="9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trademarks and non-competition agreement (10 year useful life)</w:t>
            </w:r>
          </w:p>
        </w:tc>
        <w:tc>
          <w:tcPr>
            <w:tcW w:w="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7"/>
        </w:trPr>
        <w:tc>
          <w:tcPr>
            <w:tcW w:w="93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29,410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(14,410)</w:t>
            </w:r>
          </w:p>
        </w:tc>
      </w:tr>
      <w:tr>
        <w:trPr>
          <w:trHeight w:val="27"/>
        </w:trPr>
        <w:tc>
          <w:tcPr>
            <w:tcW w:w="93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0"/>
        </w:trPr>
        <w:tc>
          <w:tcPr>
            <w:tcW w:w="9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Preliminary goodwill of $960,000 relates to synergies of the operations, has been allocated to the fresh lemons segment and is currently not expected to be deductible for tax purposes. Revenue of $11,685,000 and net income of $1,203,000 of Trapani Fresh are included in the Company’s consolidated statement of operations from the acquisition date to the period ended July 31, 2019. The unaudited, pro forma consolidated statement of operations as if Trapani Fresh had been included in the consolidated results of the Company for the entire nine months ended July 31, 2019 would have resulted in revenues of $141,149,000 and net loss of $2,705,000.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Oxnard Lemon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24, 2018, the Company and Oxnard Lemon Associates, Ltd., a California limited partnership (“Seller”), entered into an Asset Purchase Agreement (the “Purchase Agreement”). Pursuant to the Purchase Agreement, on July 26, 2018 (the “Initial Closing Date”), the Company acquired certain tangible assets of Seller, including a packinghouse and related land (“Oxnard Lemon”), for a purchase price of $24,750,000 (the “Initial Acquisition”). Pursuant to the Purchase Agreement, the closing on the purchase and sale of the intangible assets of Seller, including Seller’s trade names, trademarks and copyrights, took place on October 31, 2018 (the “Final Closing Date”), at which point an additional $250,000 in purchase price was paid to Seller by the Company. The aggregate purchase price for the tangible assets and the intangible assets provided in the Purchase Agreement was $25,000,000. Additionally,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8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ind w:right="8700" w:firstLine="8"/>
        <w:spacing w:after="0" w:line="604" w:lineRule="auto"/>
        <w:tabs>
          <w:tab w:leader="none" w:pos="18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(continued) Business Combinations (continued)</w:t>
      </w:r>
    </w:p>
    <w:p>
      <w:pPr>
        <w:jc w:val="both"/>
        <w:spacing w:after="0" w:line="277" w:lineRule="auto"/>
        <w:rPr>
          <w:sz w:val="20"/>
          <w:szCs w:val="20"/>
          <w:color w:val="auto"/>
        </w:rPr>
      </w:pPr>
      <w:r>
        <w:rPr>
          <w:rFonts w:ascii="Arial" w:cs="Arial" w:eastAsia="Arial" w:hAnsi="Arial"/>
          <w:sz w:val="18"/>
          <w:szCs w:val="18"/>
          <w:color w:val="auto"/>
        </w:rPr>
        <w:t>Agreement provided that Seller lease back the tangible assets from the Company until the Final Closing Date, pursuant to a lease executed on the Initial Closing Date. Transaction costs of $142,000 were included in selling, general and administrative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fair value of the net assets acquired on the acquisition date based on a third-party valuation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7,294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equipment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Customer relationships and trade names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2,270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25,000</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consolidated statement of operations as if Oxnard Lemon had been included in the consolidated results of the Company for the year ended October 31, 2018 would have resulted in revenues of $142,253,000 and net income of $19,728,000.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July 31, 2019 and October 31, 2018, which are measured on a recurring basis during the period, segregated by level within the fair value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July 31, 2019</w:t>
            </w: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21,226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21,226</w:t>
            </w:r>
          </w:p>
        </w:tc>
      </w:tr>
      <w:tr>
        <w:trPr>
          <w:trHeight w:val="405"/>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October 31, 2018</w:t>
            </w:r>
          </w:p>
        </w:tc>
        <w:tc>
          <w:tcPr>
            <w:tcW w:w="320" w:type="dxa"/>
            <w:vAlign w:val="bottom"/>
          </w:tcPr>
          <w:p>
            <w:pPr>
              <w:spacing w:after="0"/>
              <w:rPr>
                <w:sz w:val="24"/>
                <w:szCs w:val="24"/>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24,250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24,250</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Equity securities consist of marketable securities in Calavo common stock. At July 31, 2019 and October 31, 2018, the Company owned 240,000 and 250,000 shares, respectively, representing approximately 1.4% of Calavo’s outstanding common stock. These securities are measured at fair value by quoted market prices and changes in fair value are included in the statement of operations subsequent to the adoption of ASU 2016-01.</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2019, the Company sold 10,000 shares of Calavo common stock for a total of $952,000 recognizing a loss of $6,000. This loss is included in other (expense) income in the consolidated statement of operations. With the adoption of FASB ASU 2016-01 on November 1, 2018, changes in the fair value of the marketable securities result in gains or losses recognized in net income. The Company recorded an unrealized (loss)/gain of $(1,769,000) and $(2,067,000) during the three and nine months ended July 31, 2019, respectively, which is included in other (expense) income in the consolidated statements of operations. The Company recorded unrealized holding (losses)/gains of $(360,000) (($255,000) net of tax) and $5,640,000 ($3,987,000 net of tax), during the three and nine months ended July 31, 2018, which were included in AOCI in the consolidated balance sheet.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Calavo’s stock price at July 31, 2019 and October 31, 2018 was $88.44 and $97.00 per share, respectively. Prior to the adoption of ASU 2016-01, these equity securities were classified as available-for-sale securities and changes in fair value were recorded in AOCI net of tax.</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8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Concentrations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Lemons procured from third-party growers were 59% and 35% of the Company's lemon supply in the three months ended July 31, 2019 and 2018, respectively. Lemons procured from third-party growers were 59% and 44% of the Company's lemon supply in the nine months ended July 31, 2019 and 2018, respectively. The Company sells all of its avocado production to Calavo and the majority of its oranges and specialty citrus to a third-party packinghouse.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6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2018</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supplies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1,196</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supplier advances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Note receivable, net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2,797</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Commercial property held for sale</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assessment fees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r>
      <w:tr>
        <w:trPr>
          <w:trHeight w:val="237"/>
        </w:trPr>
        <w:tc>
          <w:tcPr>
            <w:tcW w:w="8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10,528</w:t>
            </w:r>
          </w:p>
        </w:tc>
      </w:tr>
      <w:tr>
        <w:trPr>
          <w:trHeight w:val="27"/>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third quarter of fiscal year 2019, the Company entered into an agreement to sell a commercial property, located in Santa Paula, California, to one of its rental tenants for $4,000,000. The transaction closed on August 30, 2019 with the Company receiving net proceeds of $3,978,000. After transaction and other costs, the sale resulted in a gain of $586,000. At July 31, 2019, the $3,295,000 carrying value of the property was classified as held for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assets are comprised primarily of land and land development costs and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w:t>
            </w:r>
          </w:p>
        </w:tc>
        <w:tc>
          <w:tcPr>
            <w:tcW w:w="22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October 31,</w:t>
            </w:r>
          </w:p>
        </w:tc>
      </w:t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 I</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Retained Property - East Area I</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10,408</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Area II</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5,397</w:t>
            </w:r>
          </w:p>
        </w:tc>
      </w:tr>
      <w:tr>
        <w:trPr>
          <w:trHeight w:val="237"/>
        </w:trPr>
        <w:tc>
          <w:tcPr>
            <w:tcW w:w="8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107,162</w:t>
            </w:r>
          </w:p>
        </w:tc>
      </w:tr>
      <w:tr>
        <w:trPr>
          <w:trHeight w:val="27"/>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 or “Joint Venture”) as the development entity, contributed its East Area I property to the LLC and sold a 50% interest in the LLC to Lewis for $20,000,000.</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the Joint Venture also entered into a Retained Property Development Agreement on the Transaction Date (the "Retained Property Agreement"). Under the terms of the Retained Property Agreement, the Joint Venture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In August 2018, the Retained Property, was transferred back to the Company. The net carrying value of the Retained Property as of July 31, 2019 and October 31, 2018 was $10,777,000 and $10,408,000, respectively, and classified as real estate development. Further, on the Transaction Date, the Joint Venture and the Company entered into a Lease Agreement (the "Lease Agreement"), pursuant to which the Joint Venture would lease certain of the contributed East Area I property back to the Company for continuation of agricultural operations, and certain other permitted uses, on the property until the Joint Venture required the property for development. In December 2018, the Company terminated the Lease Agreement pursuant to the terms therein.</w:t>
      </w:r>
    </w:p>
    <w:p>
      <w:pPr>
        <w:sectPr>
          <w:pgSz w:w="11900" w:h="16838" w:orient="portrait"/>
          <w:cols w:equalWidth="0" w:num="1">
            <w:col w:w="11420"/>
          </w:cols>
          <w:pgMar w:left="240" w:top="34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42"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sale of an interest in the LLC in which the Company’s contributed property comprises the LLC’s primary asset, combined with the Lease Agreement was considered a sale-leaseback transaction under FASB ASC 840</w:t>
      </w:r>
      <w:r>
        <w:rPr>
          <w:rFonts w:ascii="Arial" w:cs="Arial" w:eastAsia="Arial" w:hAnsi="Arial"/>
          <w:sz w:val="17"/>
          <w:szCs w:val="17"/>
          <w:i w:val="1"/>
          <w:iCs w:val="1"/>
          <w:color w:val="auto"/>
        </w:rPr>
        <w:t>, Leases,</w:t>
      </w:r>
      <w:r>
        <w:rPr>
          <w:rFonts w:ascii="Arial" w:cs="Arial" w:eastAsia="Arial" w:hAnsi="Arial"/>
          <w:sz w:val="17"/>
          <w:szCs w:val="17"/>
          <w:color w:val="auto"/>
        </w:rPr>
        <w:t xml:space="preserve"> because of the Company’s continuing involvement in the property in the form of its agricultural operations. Accordingly, the property was carried on the consolidated balance sheet as real estate development, rather than being classified as an equity investment and a sale-leaseback deferral had been recorded for the $20,000,000 payment made by Lewis for the purchase of the LLC interest. Lease expense associated with the Lease Agreement was not required under sale-leaseback accounting since the Company was treated as though it continued to own the property. During the three and nine months ended July 31, 2018, the Company recorded $5,306,000 and $13,731,000, respectively, of real estate development costs and corresponding increases in the sale-leaseback deferral to recognize real estate development costs capitalized by the LLC. There were no repayment requirements for the sale-leaseback deferral. When the Lease Agreement was terminated in December 2018 control of the property transferred to the Joint Venture and therefore, the Company reduced the sale leaseback deferral and corresponding real estate development by $58,330,000 and reclassified $33,353,000 to equity in investments upon derecognition of the real estate development. As the fair value of the Company’s ownership interest in the Joint Venture approximated the Company’s historical basis in the real estate development at the inception of the Joint Venture, no gain or loss was recorded.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Company made contributions to the Joint Venture of $4,000,000 and $3,500,000 in the nine months ended July 31, 2019 and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 recorded equity income, net of amortization of basis differences, of $2,573,000 for the nine months ended July 31, 2019.</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In fiscal year 2019, the Company announced that its Joint Venture closed the sales of the initial residential lots representing 210 residential units.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Templeton Santa Barbara, LLC</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real estate development parcels within the Templeton Santa Barbara, LLC project are described as The Terraces at Pacific Crest (“Pacific Crest”), and Sevilla. The net carrying values of Pacific Crest and Sevilla were $2,481,000 and $2,543,000, respectively, as of July 31, 2019 and October 31, 2018. These projects were idle during the nine months ended July 31, 2019 and 2018 and, as such, no costs were capitalized and expenses were insignificant.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2018, the Company began negotiations to sell its Pacific Crest and Sevilla properties for a combined total price of $5,200,000. As a result, the Company recorded impairment charges on Pacific Crest and Sevilla of $769,000 and $789,000, respectively, in October 2018. These negotiations have not resulted in a sale and the Company is actively marketing these properties. At July 31, 2019 and October 31, 2018, the $2,481,000 carrying value of Pacific Crest and the $2,543,000 carrying value of Sevilla were classified as held for sale and included in prepaid expenses and other current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8. Equity Investments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Equity investments consist of the following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60"/>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October 31, 2018</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Limoneira Lewis Community Builders, LLC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Limco Del Mar, Ltd.</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1,935</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Rosales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Romney Property Partnership</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Rosales S.A. ("Rosales") equity investment includes the Company’s 35% interest acquired in fiscal year 2014 and an additional 12% interest acquired with the purchase of Fruticola Pan de Azucar S.A. (“PDA”) in fiscal year 2017. The Company’s investment in Rosales is accounted for using the equity method of accounting based on the sum of its direct and indirect ownership.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Limoneira Lewis Community Builders, LLC investment balance includes the value of the Company's ownership interest in the Joint Venture as described in Note 7 - Real Estate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8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Investments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LLC investment balance includes the value of the Company's ownership interest in the LLC. In accordance with Rule 10-01(b)(1) of Regulation S-X, which applies for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During the current year-to-date interim period, this threshold was met for the LLC and thus requires summarized income statement information in this Quarterly Report on Form 10-Q.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The following is unaudited summarized financial information for the LLC (in thousands):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1"/>
              </w:rPr>
              <w:t>Nine Months Ended July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land sold</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26,770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9,336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Limoneira Company</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9. Other Assets</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0"/>
                <w:szCs w:val="20"/>
                <w:color w:val="auto"/>
              </w:rPr>
            </w:pPr>
            <w:r>
              <w:rPr>
                <w:rFonts w:ascii="Arial" w:cs="Arial" w:eastAsia="Arial" w:hAnsi="Arial"/>
                <w:sz w:val="18"/>
                <w:szCs w:val="18"/>
                <w:color w:val="auto"/>
              </w:rPr>
              <w:t>Other assets consist of the following (in thousands):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October 31, 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mutual water companies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Acquired water and mineral rights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for land purchase</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lease assets and other</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Revolving funds and memberships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 of accumulated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October 31, 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taxes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rental income and deposits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Lemon supplier payables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42"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11. Long-Term Debt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800" w:type="dxa"/>
            <w:vAlign w:val="bottom"/>
            <w:shd w:val="clear" w:color="auto" w:fill="CCEEFF"/>
          </w:tcPr>
          <w:p>
            <w:pPr>
              <w:ind w:left="40"/>
              <w:spacing w:after="0" w:line="192" w:lineRule="exact"/>
              <w:rPr>
                <w:sz w:val="20"/>
                <w:szCs w:val="20"/>
                <w:color w:val="auto"/>
              </w:rPr>
            </w:pPr>
            <w:r>
              <w:rPr>
                <w:rFonts w:ascii="Arial" w:cs="Arial" w:eastAsia="Arial" w:hAnsi="Arial"/>
                <w:sz w:val="17"/>
                <w:szCs w:val="17"/>
                <w:color w:val="auto"/>
                <w:w w:val="94"/>
              </w:rPr>
              <w:t>Farm Credit West revolving and non-revolving lines of credit: the interest rate of the revolving line of credit is variable based</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on the one-month London Interbank Offered Rate (“LIBOR”), which was 2.40% at July 31, 2019, plus 1.85%. Effective July</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1, 2018, the interest rate for the $40,000,000 outstanding balance of the non-revolving line of credit was fixed at 4.77%.</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85,378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50,888</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is payable monthly and the principal is due in full on July 1, 2022.</w:t>
            </w: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6"/>
              </w:rPr>
              <w:t>Farm Credit West term loan: the interest rate is variable and was 4.95% at July 31, 2019. The loan is payable in quarterly</w:t>
            </w:r>
          </w:p>
        </w:tc>
        <w:tc>
          <w:tcPr>
            <w:tcW w:w="22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installments through November 2022.</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Farm Credit West term loan: the interest rate is variable and was 4.95% at July 31, 2019. The loan is payable in monthly</w:t>
            </w:r>
          </w:p>
        </w:tc>
        <w:tc>
          <w:tcPr>
            <w:tcW w:w="2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installments through October 2035.</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6"/>
              </w:rPr>
              <w:t>Farm Credit West term loan: the interest rate is fixed at 4.70%. The loan is payable in monthly installments though March</w:t>
            </w:r>
          </w:p>
        </w:tc>
        <w:tc>
          <w:tcPr>
            <w:tcW w:w="22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8,912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2036.</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Farm Credit West term loan: the interest rate is fixed at 3.62% until March 2021, becoming variable for the remainder of the</w:t>
            </w:r>
          </w:p>
        </w:tc>
        <w:tc>
          <w:tcPr>
            <w:tcW w:w="2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6,594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2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loan. The loan is payable in monthly installments though March 2036.</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w w:val="93"/>
              </w:rPr>
              <w:t>Wells Fargo term loan: the interest rate is fixed at 3.58%. The loan is payable in monthly installments through January 2023.</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2"/>
              </w:rPr>
              <w:t>Banco de Chile term loan: the interest rate is fixed at 6.48%. The loan is payable in annual installments through January 2025.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2"/>
        </w:trPr>
        <w:tc>
          <w:tcPr>
            <w:tcW w:w="8800" w:type="dxa"/>
            <w:vAlign w:val="bottom"/>
          </w:tcPr>
          <w:p>
            <w:pPr>
              <w:ind w:left="40"/>
              <w:spacing w:after="0"/>
              <w:rPr>
                <w:sz w:val="20"/>
                <w:szCs w:val="20"/>
                <w:color w:val="auto"/>
              </w:rPr>
            </w:pPr>
            <w:r>
              <w:rPr>
                <w:rFonts w:ascii="Arial" w:cs="Arial" w:eastAsia="Arial" w:hAnsi="Arial"/>
                <w:sz w:val="17"/>
                <w:szCs w:val="17"/>
                <w:color w:val="auto"/>
                <w:w w:val="93"/>
              </w:rPr>
              <w:t>Note Payable: the interest rate ranges from 5.00% to 7.00% and was 5.50% at July 31, 2019. The loan includes interest-only</w:t>
            </w:r>
          </w:p>
        </w:tc>
        <w:tc>
          <w:tcPr>
            <w:tcW w:w="22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0"/>
        </w:trPr>
        <w:tc>
          <w:tcPr>
            <w:tcW w:w="8800" w:type="dxa"/>
            <w:vAlign w:val="bottom"/>
          </w:tcPr>
          <w:p>
            <w:pPr>
              <w:ind w:left="40"/>
              <w:spacing w:after="0"/>
              <w:rPr>
                <w:sz w:val="20"/>
                <w:szCs w:val="20"/>
                <w:color w:val="auto"/>
              </w:rPr>
            </w:pPr>
            <w:r>
              <w:rPr>
                <w:rFonts w:ascii="Arial" w:cs="Arial" w:eastAsia="Arial" w:hAnsi="Arial"/>
                <w:sz w:val="17"/>
                <w:szCs w:val="17"/>
                <w:color w:val="auto"/>
              </w:rPr>
              <w:t>monthly payments and principal is due in February 2023.</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80,251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rPr>
              <w:t>Less deferred financing costs, net of accumulated amortization</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long-term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80,093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7"/>
                <w:szCs w:val="17"/>
                <w:color w:val="auto"/>
              </w:rPr>
              <w:t>Less current portion</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76,966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2017, the Company entered into a Master Loan Agreement (the “Loan Agreement”) with Farm Credit West, FLCA (“Farm Credit West”) that includes a Revolving Credit Supplement and a Non-Revolving Credit Supplement (the “Supplements”). Proceeds from the Supplements were used to pay down all the remaining outstanding indebtedness under the revolving credit facility the Company had with Rabobank, N.A. On January 29, 2018, the Company amended the Revolving Credit Supplement to increase the borrowing capacity from $60,000,000 to $75,000,000. The Supplements provide aggregate borrowing capacity of $115,000,000 comprised of $75,000,000 under the Revolving Credit Supplement and $40,000,000 under the Non-Revolving Credit Supplement. The borrowing capacity based on collateral value was $115,000,000 at July 31, 2019.</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Agreements, including any indebtedness under the Supplements, is secured by a first lien on certain of the Company’s agricultural properties in Tulare and Ventura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$366,000 and $688,000 during the three months ended July 31, 2019 and 2018, respectively, and $977,000 and $1,637,000 during the nine months ended July 31, 2019 and 2018, respectively. Capitalized interest is included in property, plant and equipment and real estate development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8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Net (Loss) Income per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conversion of unvested, restricted stock and preferred stock. The computations for basic and diluted net (loss) income per common share are as follows (in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 July 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Nine Months Ended July 31,</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 applicable to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8,076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23,049</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unvested, 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Numerator: Net (loss) income for basic EPS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23,020</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Basic net (loss) income per common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2"/>
        </w:trPr>
        <w:tc>
          <w:tcPr>
            <w:tcW w:w="5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(loss)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Numerator: Net (loss) income for diluted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8,201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(3,293)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23,425</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unvested, restricted stock and preferred stock</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shares–diluted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net (loss) income per common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Diluted (losses) earnings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149,000 and 76,000, unvested, restricted shares, as calculated under the treasury stock method, from its computation of diluted (losses) earnings per share for the three months ended July 31, 2019 and 2018, respectively, and 135,000 and 81,000 for the nine months ended July 31, 2019 and 2018,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rents certain of its residential housing assets to employees on a month-to-month basis. The Company recorded $550,000 and $530,000 of rental revenue from employees in the nine months ended July 31, 2019 and 2018, respectively. There were no rental payments due from employees at July 31, 2019 or October 31, 2018.</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representation on the boards of directors of the mutual water companies in which the Company has investments. The Company recorded capital contributions and purchased water and water delivery services from such mutual water companies, in aggregate, of $207,000 and $211,000 in the three months ended July 31, 2019 and 2018, respectively, and $1,065,000 and $1,097,000 in the nine months ended July 31, 2019 and 2018, respectively. Capital contributions are included in other assets in the Company’s consolidated balance sheets and purchases of water and water delivery services are included in agribusiness expense in the Company’s consolidated statements of operations. Water payments due to the mutual water companies were, in aggregate, insignificant at July 31, 2019 and October 31, 2018, respectively.</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has representation on the board of directors of a non-profit cooperative association that provides pest control services for the agricultural industry. The Company purchased services and supplies of $302,000 and $396,000 from the association in the three months ended July 31, 2019 and 2018, respectively, and $1,158,000 and $1,211,000 in the nine months ended July 31, 2019 and 2018, respectively, which are included in agribusiness expense in the Company’s consolidated statements of operations. Payments due to the cooperative were insignificant at July 31, 2019 and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8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an investment in and representation on the board of directors of Calavo and Calavo has an investment in and had representation on the board of directors of the Company through December 2018. The Company recorded dividend income of $250,000 and $285,000 in the nine months ended July 31, 2019 and 2018, respectively, on its investment in Calavo, which is included in other income (expense), net in the Company’s consolidated statements of operations. The Company paid $381,000 and $324,000 of dividends to Calavo for the nine months ended July 31, 2019 and 2018, respectively. The Company had $2,519,000 and $5,643,000 in avocado sales to Calavo for the three months ended July 31, 2019 and 2018, respectively, and $3,062,000 and $6,578,000 for the nine months ended July 31, 2019 and 2018, respectively. which are included in agribusiness revenues in the Company's consolidated statements of operations. There was $729,000 and zero receivable from Calavo at July 31, 2019 and October 31, 2018, respectively. The Company leases office space to Calavo and received rental income of $240,000 and $219,000 in the nine months ended July 31, 2019 and 2018, respectively, which is included in rental operations revenues in the Company’s consolidated statements of operations. The Company purchased $261,000 and $57,000 of storage services from Calavo in the three months ended July 31, 2019 and 2018, respectively. The Company purchased $262,000 and $61,000 of storage services from Calavo in the nine months ended July 31, 2019 and 2018, respectively. Amounts due for these services were $260,000 and $3,000 at July 31, 2019 and October 31, 2018, respectively.</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members of the Company’s board of directors market lemons through the Company. The aggregate amount of lemons procured from entities owned or controlled by members of the board of directors was insignificant and $329,000 in the three months ended July 31, 2019 and 2018, respectively, and $386,000 and $1,715,000 in the nine months ended July 31, 2019 and 2018, respectively, which are included in agribusiness expense in the Company’s consolidated statements of operations. Payments due to these board members were insignificant and $487,000 at July 31, 2019 and October 31, 2018, respectively. Additionally, the Company leases approximately 31 acres of orchards from entities affiliated with a member on the board of directors and incurred insignificant lease expense related to these leases in the nine months ended July 31, 2019 and 2018.</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 2013, the Company and Cadiz Real Estate LLC (“Cadiz”), a wholly-owned subsidiary of Cadiz Inc., entered into a long-term lease agreement (the “Lease”) for a minimum of 320 acres, with options to lease up to an additional 960 acres, located within 9,600 zoned agricultural acres owned by Cadiz in eastern San Bernardino County, California. The initial term of the Lease runs for 20 years and the annual base rental rate is equal to the sum of $200 per planted acre and 20% of gross revenues from the sale of harvested lemons (less operating expenses) not to exceed $1,200 per acre per year. A member of the Company’s board of directors serves as the CEO, President and a member of the board of directors of Cadiz Inc. Additionally, this board member is an attorney with a law firm that provided services of insignificant amounts to the Company during the nine months ended July 31, 2019 and 2018. Payments due to the law firm were insignificant at July 31, 2019 and October 31, 2018, respectively. The Company incurred insignificant lease and farming expenses in the nine months ended July 31, 2019 and 2018, which are recorded in agribusiness expense in the Company’s consolidated statements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2016, Cadiz assigned this lease to Fenner Valley Farms, LLC (“Fenner”), a subsidiary of Water Asset Management, LLC (“WAM”). An entity affiliated with WAM is the holder of 9,300 shares of Limoneira Company Series B-2 convertible preferred stock. Amounts due to Fenner were insignificant at July 31, 2019 and October 31, 2018.</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representation on the board of directors of Colorado River Growers, Inc. (“CRG”), a non-profit cooperative association of fruit growers engaged in the agricultural harvesting business in Yuma County, Arizona. The Company paid harvest costs to CRG of $3,841,000 and $2,451,000 in the nine months ended July 31, 2019 and 2018, respectively, which are included in agribusiness expense in the Company’s consolidated statements of operations. Our Associated Citrus Packers, Inc. ("Associated") provided harvest management and administrative services to CRG in the amounts of $306,000 and $218,000 during the nine months ended July 31, 2019 and 2018, respectively, which are included in agribusiness revenues in the Company’s consolidated statements of operations. There was zero and $232,000 due to Associated from CRG at July 31, 2019 and October 31, 2018, respectively, which is included in accounts receivable, net in the Company’s consolidated balance sheets.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representation on the board of directors of Yuma Mesa Irrigation and Drainage District (“YMIDD”). The Company purchased insignificant amounts of water from YMIDD during the nine months ended July 31, 2019 and 2018, respectively, which are included in agribusiness expenses in the Company’s consolidated statements of operations. There were no amounts due to YMIDD at July 31, 2019 or October 31,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1.3% interest in Limco Del Mar, Ltd. (“Del Mar”) as a general partner and a 26.8% interest as a limited partner. The Company provides Del Mar with farm management, orchard land development and accounting services and received expense reimbursements of insignificant amounts during the nine months ended July 31, 2019 and 2018. The Company procures lemons from Del Mar and fruit proceeds payable to Del Mar were $645,000 and $709,000 at July 31, 2019 and October 31,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8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 (continued)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respectively, and are included in grower’s payable in the Company’s consolidated balance sheets. The Company received insignificant cash distributions and recorded equity in earnings of this investment of $195,000 and $308,000 in the nine months ended July 31, 2019 and 2018, respectively.</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August 14, 2014, the Company’s wholly owned subsidiary, Limoneira Chile SpA, invested approximately $1,750,000 for a 35% interest in Rosales, a citrus packing, marketing and sales business located in La Serena, Chile. The Company purchased an additional 12% interest in Rosales with the February 2017 acquisition of PDA. The Company recognized $537,000 and $1,009,000 of lemon sales to Rosales in the nine months ended July 31, 2019 and 2018, respectively. Additionally, San Pablo recognized aggregate lemon and orange sales of $1,391,000 and $5,000 to Rosales for the nine months ended July 31, 2019 and 2018, respectively. PDA recognized aggregate lemon and orange sales of $442,000 and $451,000 to Rosales in the three months ended July 31, 2019 and 2018, respectively, and $1,207,000 and $1,154,000 in the nine months ended July 31, 2019 and 2018, respectively, which are recorded in agribusiness revenues in the Company’s consolidated statements of operations. The aggregate amount of lemons and oranges procured from Rosales were $1,900,000 and $1,009,000 in the three months ended July 31, 2019 and 2018, respectively and $2,259,000 and $1,009,000 in the nine months ended July 31, 2019 and 2018, respectively. Amounts payable to Rosales were zero at July 31, 2019 and insignificant at October 31, 2018. The Company recorded insignificant equity in losses and insignificant equity earnings from this equity investment in the nine months ended July 31, 2019 and 2018, respectively, and amortization of fair value basis differences of $253,000 in the nine months ended July 31, 2019 and 2018. The Company received $283,000 and zero cash distributions from this equity investment in the nine months ended July 31, 2019 and 2018, respectively.</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in Note 3, on May 30, 2019, the Company acquired a 51% interest in Trapani Fresh. The Company advanced $907,000 to FGF for fruit purchases and FGF provided farming, packing and administrative services to Trapani Fresh of approximately $4,048,000 from acquisition to July 31, 2019, which are included in agribusiness expense in the Company's consolidated statement of operations. There was $2,907,000 due to FGF from Trapani Fresh at July 31, 2019, which is included in accounts payable in the Company's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income tax benefit recorded for the nine months ended July 31, 2019 differs from the income taxes expected at the U.S. federal statutory tax rate of 21.0% due primarily to income attributable to foreign jurisdictions which is taxed at different rates, state taxes, and nondeductible tax items.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material uncertain tax positions as of July 31, 2019. The Company’s policy is to recognize interest expense and penalties related to income tax matters as a component of income tax expense. The Company has not accrued any interest and penalties associated with uncertain tax positions as of July 31, 2019.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applied the guidance in Staff Accounting Bulletin No. 118 (“SAB 118”) when accounting for the enactment-date effects of the 2017 Act throughout fiscal year 2018. At January 31, 2019, the Company completed its evaluation for all of the enactment-date income tax effects of the 2017 Act and no material adjustments noted are to be made on the provisional amounts recorded at January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8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 (continued)</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Plan is funded consistent with the funding requirements of federal law and regulations. There were funding contributions of $150,000 during both three months ended July 31, 2019 and 2018, respectively, and $450,000 during both nine months ended July 31, 2019 and 2018,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and nine months ended July 31, 2019 and 2018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July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577</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stock-based compensation plan (the “Stock Plan”) that allows for the grant of common stock of the Company to members of management based on achievement of certain annual financial performance and other criteria. The number of shares granted is based on a percentage of the employee’s base salary divided by the stock price on the grant date. Shares granted under the Stock Plan vest over two to five-year periods.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2018, 40,094 shares of common stock with a per share value of $18.74 were granted to management under the Stock Plan for fiscal year 2018 performance, resulting in total compensation expense of approximately $751,000, with $343,000 recognized in the year ended October 31, 2018 and the balance to be recognized over the next two years as the shares vest. In addition, 90,000 shares of common stock with a per share value of $19.84 were granted to key executives under the Stock Plan, resulting in a total compensation expense of approximately $1,786,000, to be recognized equally over the next three years as the shares vest.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January 2019 and 2018, 15,642 and 14,033 shares, respectively, of common stock were granted to the Company’s non-employee directors under the Company’s stock-based compensation plans. The Company recognized $339,000 and $309,000 of stock-based compensation to non-employee directors during the nine months ended July 31, 2019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six reportable operating segments: fresh lemons, lemon packing, avocados, other agribusiness, rental operations and real estate development.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harvesting of oranges, specialty citrus and other crops. The rental operations segment includes housing and commercial rental operations, leased land and organic recycling. The real estate development segment includes real estate development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8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July 31, 2019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Lemon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3"/>
        </w:trPr>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4"/>
                <w:szCs w:val="14"/>
                <w:b w:val="1"/>
                <w:bCs w:val="1"/>
                <w:color w:val="auto"/>
                <w:w w:val="80"/>
              </w:rPr>
              <w:t>Lemons</w:t>
            </w:r>
            <w:r>
              <w:rPr>
                <w:rFonts w:ascii="Arial" w:cs="Arial" w:eastAsia="Arial" w:hAnsi="Arial"/>
                <w:sz w:val="22"/>
                <w:szCs w:val="22"/>
                <w:b w:val="1"/>
                <w:bCs w:val="1"/>
                <w:color w:val="auto"/>
                <w:w w:val="80"/>
                <w:vertAlign w:val="superscript"/>
              </w:rPr>
              <w:t>(1)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Packing</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8"/>
              </w:rPr>
              <w:t>Eliminations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41,169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5,232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49,631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50,869</w:t>
            </w:r>
          </w:p>
        </w:tc>
      </w:tr>
      <w:tr>
        <w:trPr>
          <w:trHeight w:val="21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10,263</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(10,263)</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41,169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15,495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2,519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49,631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50,869</w:t>
            </w:r>
          </w:p>
        </w:tc>
      </w:tr>
      <w:tr>
        <w:trPr>
          <w:trHeight w:val="210"/>
        </w:trPr>
        <w:tc>
          <w:tcPr>
            <w:tcW w:w="23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35,653</w:t>
            </w:r>
          </w:p>
        </w:tc>
        <w:tc>
          <w:tcPr>
            <w:tcW w:w="16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13,524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(10,263)</w:t>
            </w:r>
          </w:p>
        </w:tc>
        <w:tc>
          <w:tcPr>
            <w:tcW w:w="14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1,185</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825</w:t>
            </w:r>
          </w:p>
        </w:tc>
        <w:tc>
          <w:tcPr>
            <w:tcW w:w="1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40,924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798</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4,899</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46,671</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1,823</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2,080</w:t>
            </w: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5,516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6,884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2,118</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July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Lemon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2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Lemons</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8"/>
              </w:rPr>
              <w:t>Eliminations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28,457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2,279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5,643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38,677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39,950</w:t>
            </w:r>
          </w:p>
        </w:tc>
      </w:tr>
      <w:tr>
        <w:trPr>
          <w:trHeight w:val="21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6,340</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(6,340)</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28,457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8,619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5,643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38,677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39,950</w:t>
            </w:r>
          </w:p>
        </w:tc>
      </w:tr>
      <w:tr>
        <w:trPr>
          <w:trHeight w:val="210"/>
        </w:trPr>
        <w:tc>
          <w:tcPr>
            <w:tcW w:w="23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18,872</w:t>
            </w:r>
          </w:p>
        </w:tc>
        <w:tc>
          <w:tcPr>
            <w:tcW w:w="16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6,033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(6,340)</w:t>
            </w:r>
          </w:p>
        </w:tc>
        <w:tc>
          <w:tcPr>
            <w:tcW w:w="14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1,829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2,066</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22,460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810</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3,454</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26,749</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1,523</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1,776</w:t>
            </w: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9,585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14,694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11,425</w:t>
            </w: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nine months ended July 31, 2019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Lemon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3"/>
        </w:trPr>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4"/>
                <w:szCs w:val="14"/>
                <w:b w:val="1"/>
                <w:bCs w:val="1"/>
                <w:color w:val="auto"/>
                <w:w w:val="80"/>
              </w:rPr>
              <w:t>Lemons</w:t>
            </w:r>
            <w:r>
              <w:rPr>
                <w:rFonts w:ascii="Arial" w:cs="Arial" w:eastAsia="Arial" w:hAnsi="Arial"/>
                <w:sz w:val="22"/>
                <w:szCs w:val="22"/>
                <w:b w:val="1"/>
                <w:bCs w:val="1"/>
                <w:color w:val="auto"/>
                <w:w w:val="80"/>
                <w:vertAlign w:val="superscript"/>
              </w:rPr>
              <w:t>(1)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Packing</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8"/>
              </w:rPr>
              <w:t>Eliminations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108,090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13,289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131,254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134,922</w:t>
            </w:r>
          </w:p>
        </w:tc>
      </w:tr>
      <w:tr>
        <w:trPr>
          <w:trHeight w:val="21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25,464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(25,464)</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108,090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38,753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6,813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131,254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134,922</w:t>
            </w:r>
          </w:p>
        </w:tc>
      </w:tr>
      <w:tr>
        <w:trPr>
          <w:trHeight w:val="210"/>
        </w:trPr>
        <w:tc>
          <w:tcPr>
            <w:tcW w:w="23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95,650</w:t>
            </w:r>
          </w:p>
        </w:tc>
        <w:tc>
          <w:tcPr>
            <w:tcW w:w="16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32,972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(25,464)</w:t>
            </w:r>
          </w:p>
        </w:tc>
        <w:tc>
          <w:tcPr>
            <w:tcW w:w="14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2,822</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7,210</w:t>
            </w:r>
          </w:p>
        </w:tc>
        <w:tc>
          <w:tcPr>
            <w:tcW w:w="1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113,190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2,583</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14,627</w:t>
            </w:r>
          </w:p>
        </w:tc>
        <w:tc>
          <w:tcPr>
            <w:tcW w:w="16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130,502</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5,551</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6,327</w:t>
            </w: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12,440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5,781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12,513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82"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nine months ended July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16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Lemon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2"/>
        </w:trPr>
        <w:tc>
          <w:tcPr>
            <w:tcW w:w="2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Lemons</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8"/>
              </w:rPr>
              <w:t>Eliminations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83,994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8"/>
              </w:rPr>
              <w:t>114,678</w:t>
            </w:r>
          </w:p>
        </w:tc>
      </w:tr>
      <w:tr>
        <w:trPr>
          <w:trHeight w:val="21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18,416</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83,994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26,536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6,578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110,875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8"/>
              </w:rPr>
              <w:t>114,678</w:t>
            </w:r>
          </w:p>
        </w:tc>
      </w:tr>
      <w:tr>
        <w:trPr>
          <w:trHeight w:val="210"/>
        </w:trPr>
        <w:tc>
          <w:tcPr>
            <w:tcW w:w="230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64,363</w:t>
            </w:r>
          </w:p>
        </w:tc>
        <w:tc>
          <w:tcPr>
            <w:tcW w:w="160" w:type="dxa"/>
            <w:vAlign w:val="bottom"/>
          </w:tcPr>
          <w:p>
            <w:pPr>
              <w:spacing w:after="0"/>
              <w:rPr>
                <w:sz w:val="18"/>
                <w:szCs w:val="18"/>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18,927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tcPr>
          <w:p>
            <w:pPr>
              <w:spacing w:after="0"/>
              <w:rPr>
                <w:sz w:val="18"/>
                <w:szCs w:val="18"/>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3,408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8,195</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76,477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2,461</w:t>
            </w:r>
          </w:p>
        </w:tc>
        <w:tc>
          <w:tcPr>
            <w:tcW w:w="18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11,369</w:t>
            </w:r>
          </w:p>
        </w:tc>
        <w:tc>
          <w:tcPr>
            <w:tcW w:w="180" w:type="dxa"/>
            <w:vAlign w:val="bottom"/>
          </w:tcPr>
          <w:p>
            <w:pPr>
              <w:spacing w:after="0"/>
              <w:rPr>
                <w:sz w:val="18"/>
                <w:szCs w:val="18"/>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90,401</w:t>
            </w: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4,466</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160</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5,210</w:t>
            </w: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19,631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29,932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19,067</w:t>
            </w: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category, by segment for the three and nine months ended July 31, 2019 and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July 31,</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Fresh lemons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41,169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108,090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Lemon packing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38,753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26,536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Lemon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46,401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121,379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92,114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Avocados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6,578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Navel and Valencia oranges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8,552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citrus and other crops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agribusiness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12,183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110,875</w:t>
            </w:r>
          </w:p>
        </w:tc>
      </w:tr>
      <w:tr>
        <w:trPr>
          <w:trHeight w:val="297"/>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commercial rentals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Leased land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recycling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Rental operations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Real estate development revenues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50,869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134,922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114,678</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0" w:lineRule="auto"/>
        <w:tabs>
          <w:tab w:leader="none" w:pos="206"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During the first quarter of fiscal 2019, the Company adopted a comprehensive new revenue recognition standard using a modified retrospective method that does not restate prior periods to be comparable to the current period presentation. The adoption of this guidance primarily impacted the presentation of certain brokered fruit sales revenue received and the related cost of fruit incurred by the Company. The adoption of this guidance resulted in revenue within the Company’s fresh lemon segment of $1,781,000 and $2,201,000, during the three and nine months ended July 31, 2019, respectively. See Note 2 - Summary of Significant Accounting Policies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evaluated events subsequent to July 31, 2019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8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15,700 acres of land, water resources and other assets to maximize long-term stockholder value. Our current operations consist of fruit production, sales and marketing, real estate development and capital investment activities.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other specialty citrus and other crops. We have agricultural plantings throughout Ventura, Tulare, San Bernardino and San Luis Obispo Counties in California, Yuma County in Arizona, La Serena, Chile and Argentina, which collectively consist of approximately 6,200 acres of lemons, 900 acres of avocados, 1,600 acres of oranges and 1,000 acres of specialty citrus and other crops. We also operate our own packinghouses in Santa Paula, California and Yuma, Arizona, where we process and pack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growing, packing, marketing and selling operation in Argentina.</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and we use ground water from the Cadiz Valley Basin in San Bernardino County.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agribusiness and real estate development. We currently have three real estate development projects in California. These projects include multi-family housing and single-family homes comprised of approximately 260 completed rental units and another approximately 1,500 units in various stages of planning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business divisions: agribusiness, rental operations and real estate development. The agribusiness division is comprised of four reportable operating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operating segments: fresh lemons, lemon packing, avocados and other agribusiness, which represented approximately 96%, 96% and 95% of our fiscal year 2018, 2017 and 2016 consolidated revenues, respectively, of which fresh lemons and lemon packing combined represented 80%, 78% and 76% of our fiscal year 2018, 2017 and 2016 consolidated revenues, respectively.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lemon farming is included in our “fresh lemons” and “lemon packing” reportable operating segments within our financial statements. We are one of the largest growers of lemons and avocados in the United States. We market and sell lemons directly to our food service, wholesale and retail customers throughout the United States, Canada, Asia, Australia and certain other international markets. During the nine months ended July 31, 2019, lemon sales were comprised of approximately 79% in domestic and Canadian sales, 17% in sales to domestic exporters and 4% in international sales. Additionally, we had approximately $2.6 million of lemon and orange sales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Chile by PDA and San Pablo and $11.7 million in Argentina by Trapani Fresh in the nine months ended July 31, 2019. We sell a portion of our oranges and specialty citrus to Sunkist-licensed and other third-party packinghouses. We sell our pistachios to a roaster, packager and marketer of nuts, and our wine grapes are sold to various wine producers.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avocado producing business is important to us yet faces constraints on growth as there is little additional land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frequently offsets occasional losses in other crops we grow and helps to diversify our fruit production base.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consumer trends we identify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rental operations division is provided for in our financial statements as its own reportable operating segment and includes our residential and commercial rentals, leased land operations and organic recycling. Our rental operations division represented approximately 4%, 4% and 5% of our consolidated revenues in fiscal years 2018, 2017 and 2016,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our rental operations segment is generally level throughout the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real estate development division is provided for in our financial statements as its own reportable operating segment and includes our real estate development operations. The real estate development division had no significant revenue in fiscal years 2018, 2017 or 2016.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YMIDD. We use ground and surface water for our PDA and San Pablo farming operations in Chile and our Trapani Fresh farming operations in Argentina.</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California has historically experienced periods of below average precipitation. Recent precipitation has brought relief to California’s drought conditions, although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 delivery system and 100% of the contracted amount of water was provided to San Joaquin Valley farmers in 2018 and 2017 compared to 75% in 2016 and zero for 2015 and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location of our agricultural operations, we obtain our water from aquifers, water delivered by water federal, state and local water and irrigation districts and rainfall. Our water resources include water rights, usage rights and pumping rights to the water in aquifers under, and canals that run through, the land we own.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for our farming operations located in Ventura County, California is sourced from the existing water resources associated with our land, which includes approximately 8,600 acre feet of adjudicated water rights in Santa Paula Basin (aquifer) and the un-adjudicated Fillmore Basin.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a combination of ground water provided by wells and water from various local water and irrigation districts in Tulare County, California that is in the agriculturally productive San Joaquin Valley.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that derive water from the Cadiz Valley Basin at the Cadiz Ranch in San Bernardino, California.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Windfall Investors, LLC (“Windfall”) property located in San Luis Obispo County, California, obtains water from wells deriving water from the Paso Robles Basin.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Associated Citrus Packers, Inc. (“Associated”) farming operations in Yuma, Arizona sources water from the Colorado River through the YMIDD, where we have access to approximately 11,700 acre feet of Class 3 Colorado River water rights.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ground water provided by wells and surface water for our PDA and San Pablo farming operations in La Serena, Chile and our Trapani Fresh farming operations in Argentina.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2015, we entered into a joint venture with The Lewis Group of Companies (“Lewis”) for the residential development of our East Area I real estate development project. To consummate the transaction, we formed Limoneira Lewis Community Builders, LLC (the "LLC" or "Joint Venture") as the development entity. The first phase of the project broke ground to commence mass grading on November 8, 2017. Project plans include approximately 632 residential units in Phase 1. Grading began in November 2017 and Phase 1 site improvements have been substantially completed. The Joint Venture received lot deposits from national homebuilders in fiscal year 2018 and initial lot sales representing a total of 210 residential units closed in fiscal year 2019. For further information see Note 7 – Real Estate Development of the notes to consolidated financial statements included in this Quarterly Report on Form 10-Q</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Late in the third quarter of fiscal year 2018, Ventura County experienced record high temperatures. The effect of these high temperatures resulted in lower avocado crop volume in fiscal year 2019 compared to fiscal year 2018. Offsetting this temporary event will be the benefit of crop insurance for approximately $2.4 million calculated on actual avocado harvest in fiscal year 2019.</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October 2018, we began negotiations to sell both our The Terraces at Pacific Crest ("Pacific Crest") property and the remaining residential portion of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Sevilla property for $5.2 million. As a result, based on the estimated selling prices, we recorded an impairment charge of $1.6 million in fiscal year 2018.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These negotiations have not resulted in a sale and we are actively marketing the properties.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For fiscal year 2018, we declared cash dividends to our stockholders totaling $0.25 per common share in the aggregate amount of $4.0 million compared to a total of $0.22 per common share in the aggregate amount of $3.2 million for fiscal year 2017. On July 12, 2019, we declared a cash dividend $0.075 per common share which was paid on July 18, 2019, in the aggregate amount of $1.3 million to common stockholders of record as of July 8, 2019. This represented a 20% increase in our dividend compared to dividends paid in 2018.</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30, 2019, we acquired a 51% interest in a joint venture, Trapani Fresh, formed with FGF Trapani (“FGF”), a multi-generational, family owned citrus operation in Argentina. To consummate the transaction, we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consideration paid for our interest in Trapani Fresh was $15,000,000 of which $7,500,000 was paid to FGF on May 30, 2019. The remaining $7,500,000 was advanced to FGF, $4,000,000 in February 2019 and $3,500,000 in May 2019, as prepayments for the 25% interest in Santa Clara retained by FGF. We have consolidated Trapani Fresh and have accounted for the acquisition of Trapani Fresh as a business combination, resulting in FGF’s 49% interest in Trapani Fresh being accounted for as a non-controlling interest.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2019, we sold 10,000 shares of Calavo Growers, Inc. (“Calavo”) common stock at an average price of $95.21 per share. Net proceeds from the sale were $1.0 million and we recognized a loss of $6 thousand. In October 2018, we sold 50,000 shares of Calavo common stock at an average price of $94.47 per share. Net proceeds from the sale were $4.7 million and we recognized a gain of $4.2 million. We continue to own 240,000 shares of Calavo common stock. With the adoption of Financial Accounting Standards Board (“FASB”) Accounting Standards Update (“ASU”) 2016-01 on November 1, 2018, changes in the fair value of the equity securities result in gains or losses recognized in net income. The Company recorded unrealized losses of $1.8 million and $2.1 million during the three and nine months ended July 31, 2019, which is included in other income (expense) in the consolidated statements of operations.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fiscal year 2019, we entered into an agreement to sell a commercial property, located in Santa Paula, California, to one of our rental tenants for $4.0 million. The transaction closed on August 30, 2019 with us receiving net proceeds of $4.0 million. After transaction and other costs, the sale resulted in a gain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w w:val="97"/>
              </w:rPr>
              <w:t>The following table shows the results of operations (in thousands):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 July 31,</w:t>
            </w:r>
          </w:p>
        </w:tc>
        <w:tc>
          <w:tcPr>
            <w:tcW w:w="280" w:type="dxa"/>
            <w:vAlign w:val="bottom"/>
          </w:tcPr>
          <w:p>
            <w:pPr>
              <w:spacing w:after="0"/>
              <w:rPr>
                <w:sz w:val="24"/>
                <w:szCs w:val="24"/>
                <w:color w:val="auto"/>
              </w:rPr>
            </w:pPr>
          </w:p>
        </w:tc>
        <w:tc>
          <w:tcPr>
            <w:tcW w:w="27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7"/>
              </w:rPr>
              <w:t>Nine Months Ended July 31,</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49,631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131,254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110,875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Real estate development</w:t>
            </w: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50,869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134,922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42,747</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118,741</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993</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3,167</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3,045</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4,961</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14,819</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11,529</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48,751</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136,829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6,884</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12,513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245</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(4,961)</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(14,819)</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(11,529)</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earnings of investments</w:t>
            </w: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2,449</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stock in Calavo Growers, Inc.</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loss on stock in Calavo Growers, Inc.</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4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(2,067)</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375</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other (expense) income</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(2,054)</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5,093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23,425</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unrealized gain or loss on stock in Calavo, LLC earnings in equity investment and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EBITDA and adjusted EBITDA are summarized and reconciled to net (loss) income attributable to Limoneira Company which management considers to be the most directly comparable financial measure calculated and presented in accordance with GAAP as follows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2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 July 31,</w:t>
            </w:r>
          </w:p>
        </w:tc>
        <w:tc>
          <w:tcPr>
            <w:tcW w:w="340" w:type="dxa"/>
            <w:vAlign w:val="bottom"/>
          </w:tcPr>
          <w:p>
            <w:pPr>
              <w:spacing w:after="0"/>
              <w:rPr>
                <w:sz w:val="20"/>
                <w:szCs w:val="20"/>
                <w:color w:val="auto"/>
              </w:rPr>
            </w:pPr>
          </w:p>
        </w:tc>
        <w:tc>
          <w:tcPr>
            <w:tcW w:w="29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 July 31,</w:t>
            </w: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5,210</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Unrealized loss on stock in Calavo Growers, Inc.</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1,769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LLC earnings in equity investment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3,791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24,596</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2019 Compared to the Three Months Ended July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net revenues for the third quarter of fiscal year 2019 was $50.9 million compared to $40.0 million for the third quarter of fiscal year 2018. The 27% increase of $10.9 million was primarily the result of increased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6500" w:type="dxa"/>
            <w:vAlign w:val="bottom"/>
            <w:gridSpan w:val="8"/>
          </w:tcPr>
          <w:p>
            <w:pPr>
              <w:ind w:left="940"/>
              <w:spacing w:after="0"/>
              <w:rPr>
                <w:sz w:val="20"/>
                <w:szCs w:val="20"/>
                <w:color w:val="auto"/>
              </w:rPr>
            </w:pPr>
            <w:r>
              <w:rPr>
                <w:rFonts w:ascii="Arial" w:cs="Arial" w:eastAsia="Arial" w:hAnsi="Arial"/>
                <w:sz w:val="18"/>
                <w:szCs w:val="18"/>
                <w:b w:val="1"/>
                <w:bCs w:val="1"/>
                <w:color w:val="auto"/>
              </w:rPr>
              <w:t>Agribusiness Revenues for the Three Months Ended July 31,</w:t>
            </w:r>
          </w:p>
        </w:tc>
      </w:tr>
      <w:tr>
        <w:trPr>
          <w:trHeight w:val="27"/>
        </w:trPr>
        <w:tc>
          <w:tcPr>
            <w:tcW w:w="49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118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46,401</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15,665</w:t>
            </w:r>
          </w:p>
        </w:tc>
        <w:tc>
          <w:tcPr>
            <w:tcW w:w="118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51%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Avocados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2,519</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5,643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(3,124)</w:t>
            </w:r>
          </w:p>
        </w:tc>
        <w:tc>
          <w:tcPr>
            <w:tcW w:w="1180" w:type="dxa"/>
            <w:vAlign w:val="bottom"/>
          </w:tcPr>
          <w:p>
            <w:pPr>
              <w:jc w:val="center"/>
              <w:ind w:right="330"/>
              <w:spacing w:after="0"/>
              <w:rPr>
                <w:sz w:val="20"/>
                <w:szCs w:val="20"/>
                <w:color w:val="auto"/>
              </w:rPr>
            </w:pPr>
            <w:r>
              <w:rPr>
                <w:rFonts w:ascii="Arial" w:cs="Arial" w:eastAsia="Arial" w:hAnsi="Arial"/>
                <w:sz w:val="18"/>
                <w:szCs w:val="18"/>
                <w:color w:val="auto"/>
                <w:w w:val="91"/>
              </w:rPr>
              <w:t>(55)%</w:t>
            </w:r>
          </w:p>
        </w:tc>
      </w:tr>
      <w:tr>
        <w:trPr>
          <w:trHeight w:val="27"/>
        </w:trPr>
        <w:tc>
          <w:tcPr>
            <w:tcW w:w="4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(1,275)</w:t>
            </w:r>
          </w:p>
        </w:tc>
        <w:tc>
          <w:tcPr>
            <w:tcW w:w="118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91"/>
              </w:rPr>
              <w:t>(64)%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1180" w:type="dxa"/>
            <w:vAlign w:val="bottom"/>
          </w:tcPr>
          <w:p>
            <w:pPr>
              <w:jc w:val="center"/>
              <w:ind w:right="310"/>
              <w:spacing w:after="0"/>
              <w:rPr>
                <w:sz w:val="20"/>
                <w:szCs w:val="20"/>
                <w:color w:val="auto"/>
              </w:rPr>
            </w:pPr>
            <w:r>
              <w:rPr>
                <w:rFonts w:ascii="Arial" w:cs="Arial" w:eastAsia="Arial" w:hAnsi="Arial"/>
                <w:sz w:val="18"/>
                <w:szCs w:val="18"/>
                <w:color w:val="auto"/>
                <w:w w:val="92"/>
              </w:rPr>
              <w:t>(100)%</w:t>
            </w:r>
          </w:p>
        </w:tc>
      </w:tr>
      <w:tr>
        <w:trPr>
          <w:trHeight w:val="27"/>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49,631</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38,677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10,954</w:t>
            </w:r>
          </w:p>
        </w:tc>
        <w:tc>
          <w:tcPr>
            <w:tcW w:w="1180" w:type="dxa"/>
            <w:vAlign w:val="bottom"/>
            <w:tcBorders>
              <w:bottom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88"/>
              </w:rPr>
              <w:t>28%</w:t>
            </w:r>
          </w:p>
        </w:tc>
      </w:tr>
      <w:tr>
        <w:trPr>
          <w:trHeight w:val="20"/>
        </w:trPr>
        <w:tc>
          <w:tcPr>
            <w:tcW w:w="4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1"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Lemons: The increase in the third quarter of fiscal year 2019 was primarily the result of higher volume offset by lower prices of fresh lemons sold compared to the same period in fiscal year 2018. A portion of the increased revenue was the result of fresh lemon sales of $11.7 million by Trapani Fresh on 609,000 cartons of fresh lemons sold. During the third quarter of fiscal years 2019 and 2018, fresh lemon sales were $35.8 million and $25.7 million, respectively, on 1,876,000 and 992,000 cartons of lemons sold at average per carton prices of $19.09 and $25.91, respectively. Lemon revenues included $5.2 million shipping and handling, $3.6 million lemon by-products and $1.8 million other lemon sales in the third quarter of fiscal year 2019 compared to $2.3 million shipping and handling, $1.4 million lemon by-products and $1.3 million other lemon sales during the same period in fiscal year 2018. Other lemon sales in the third quarter of fiscal year 2019 included $1.0 million in Chile by PDA and San Pablo compared to $0.4 million in Chile by PDA and San Pablo in the third quarter of fiscal year 2018.</w:t>
      </w:r>
    </w:p>
    <w:p>
      <w:pPr>
        <w:spacing w:after="0" w:line="178" w:lineRule="exact"/>
        <w:rPr>
          <w:rFonts w:ascii="Arial" w:cs="Arial" w:eastAsia="Arial" w:hAnsi="Arial"/>
          <w:sz w:val="17"/>
          <w:szCs w:val="17"/>
          <w:color w:val="auto"/>
        </w:rPr>
      </w:pPr>
    </w:p>
    <w:p>
      <w:pPr>
        <w:jc w:val="both"/>
        <w:ind w:left="500" w:hanging="330"/>
        <w:spacing w:after="0" w:line="279"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Avocados: The decrease in the third quarter of fiscal year 2019 was primarily the result of lower volume partially offset by higher prices of avocados sold compared to the same period in fiscal year 2018. During the third quarter of fiscal year 2019, 1.4 million pounds of avocados were sold at an average per pound price of $1.80 compared to 5.3 million pounds of avocados sold at an average per pound price of $1.06 during the same period in fiscal year 2018. The higher prices in fiscal year 2019 are the result of lower supply in the marketplace.</w:t>
      </w:r>
    </w:p>
    <w:p>
      <w:pPr>
        <w:spacing w:after="0" w:line="171" w:lineRule="exact"/>
        <w:rPr>
          <w:rFonts w:ascii="Arial" w:cs="Arial" w:eastAsia="Arial" w:hAnsi="Arial"/>
          <w:sz w:val="17"/>
          <w:szCs w:val="17"/>
          <w:color w:val="auto"/>
        </w:rPr>
      </w:pPr>
    </w:p>
    <w:p>
      <w:pPr>
        <w:jc w:val="both"/>
        <w:ind w:left="500" w:hanging="330"/>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Navel and Valencia oranges: The decrease in the third quarter of fiscal year 2019 was primarily result of lower prices partially offset by higher volume of oranges sold compared to the same period in fiscal year 2018. In the third quarter of fiscal year 2019, 382,000 40-pound carton equivalents of oranges were sold at average per carton prices of $1.86 compared to 125,000 40-pound carton equivalents sold at average per carton prices of $15.89 in the third quarter of fiscal year 2018.</w:t>
      </w:r>
    </w:p>
    <w:p>
      <w:pPr>
        <w:spacing w:after="0" w:line="186"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Specialty citrus and other crops: There were no sales in third quarter of fiscal year 2019. During the third quarter of fiscal year 2018, 5,000 40-pound carton equivalents of specialty citrus were sold at an average per carton price of $62.40.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costs and expenses in the third quarter of fiscal year 2019 were $48.8 million compared to $28.5 million in the third quarter of fiscal year 2018. The 71% increase of $20.2 million was primarily attributable to increases in our agribusiness and selling, general and administrative costs and expenses. Costs and expenses associated with our agribusiness include packing costs, harvest costs, growing costs, costs related to the fruit we procure and sell for third-party growers and depreciation and amortization expense, as detailed below ($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60" w:type="dxa"/>
            <w:vAlign w:val="bottom"/>
            <w:gridSpan w:val="8"/>
          </w:tcPr>
          <w:p>
            <w:pPr>
              <w:ind w:left="780"/>
              <w:spacing w:after="0"/>
              <w:rPr>
                <w:sz w:val="20"/>
                <w:szCs w:val="20"/>
                <w:color w:val="auto"/>
              </w:rPr>
            </w:pPr>
            <w:r>
              <w:rPr>
                <w:rFonts w:ascii="Arial" w:cs="Arial" w:eastAsia="Arial" w:hAnsi="Arial"/>
                <w:sz w:val="18"/>
                <w:szCs w:val="18"/>
                <w:b w:val="1"/>
                <w:bCs w:val="1"/>
                <w:color w:val="auto"/>
              </w:rPr>
              <w:t>Agribusiness Costs and Expenses for the Three Months Ended July 31,</w:t>
            </w:r>
          </w:p>
        </w:tc>
      </w:tr>
      <w:tr>
        <w:trPr>
          <w:trHeight w:val="27"/>
        </w:trPr>
        <w:tc>
          <w:tcPr>
            <w:tcW w:w="44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spacing w:after="0"/>
              <w:rPr>
                <w:sz w:val="20"/>
                <w:szCs w:val="20"/>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13,524</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7,491</w:t>
            </w:r>
          </w:p>
        </w:tc>
        <w:tc>
          <w:tcPr>
            <w:tcW w:w="12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1"/>
              </w:rPr>
              <w:t>124%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6,296</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2,687</w:t>
            </w: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74%</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1,612</w:t>
            </w:r>
          </w:p>
        </w:tc>
        <w:tc>
          <w:tcPr>
            <w:tcW w:w="12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4"/>
              </w:rPr>
              <w:t>34%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14,715</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8,041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6,674</w:t>
            </w: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83%</w:t>
            </w:r>
          </w:p>
        </w:tc>
      </w:tr>
      <w:tr>
        <w:trPr>
          <w:trHeight w:val="27"/>
        </w:trPr>
        <w:tc>
          <w:tcPr>
            <w:tcW w:w="4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300</w:t>
            </w:r>
          </w:p>
        </w:tc>
        <w:tc>
          <w:tcPr>
            <w:tcW w:w="122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4"/>
              </w:rPr>
              <w:t>20%</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42,747</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23,983</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18,764</w:t>
            </w:r>
          </w:p>
        </w:tc>
        <w:tc>
          <w:tcPr>
            <w:tcW w:w="1220" w:type="dxa"/>
            <w:vAlign w:val="bottom"/>
            <w:tcBorders>
              <w:top w:val="single" w:sz="8" w:color="auto"/>
              <w:bottom w:val="single" w:sz="8" w:color="auto"/>
            </w:tcBorders>
          </w:tcPr>
          <w:p>
            <w:pPr>
              <w:jc w:val="center"/>
              <w:ind w:right="390"/>
              <w:spacing w:after="0"/>
              <w:rPr>
                <w:sz w:val="20"/>
                <w:szCs w:val="20"/>
                <w:color w:val="auto"/>
              </w:rPr>
            </w:pPr>
            <w:r>
              <w:rPr>
                <w:rFonts w:ascii="Arial" w:cs="Arial" w:eastAsia="Arial" w:hAnsi="Arial"/>
                <w:sz w:val="18"/>
                <w:szCs w:val="18"/>
                <w:color w:val="auto"/>
                <w:w w:val="94"/>
              </w:rPr>
              <w:t>78%</w:t>
            </w: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Lemon packing costs were $12.0 million and $5.5 million in the third quarter of fiscal years 2019 and 2018, respectively. Trapani Fresh lemon packing costs were $3.6 million in the third quarter of fiscal year 2019. During the third quarter of fiscal year 2019, we packed and sold 1,876,000 cartons of lemons at average per carton costs of $6.41 compared to 992,000 cartons of lemons packed and sold at average per carton costs of $5.58 during the same period in fiscal year 2018. The increase in average per carton costs in fiscal year 2019 compared to fiscal year 2018 is primarily due to increased volume of lemon by-products and $1.5 million of operating costs incurred at the Oxnard Lemon facility. Additionally, packing costs included $1.5 million of shipping costs in the third quarter of fiscal year 2019 compared to $0.5 million in the third quarter of fiscal year 2018.</w:t>
      </w:r>
    </w:p>
    <w:p>
      <w:pPr>
        <w:spacing w:after="0" w:line="192"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Harvest costs: The increase in the third quarter of fiscal year 2019 is primarily attributable to increased volume of lemons and oranges harvested partially offset by decreased volume of avocados harvested.</w:t>
      </w:r>
    </w:p>
    <w:p>
      <w:pPr>
        <w:spacing w:after="0" w:line="170" w:lineRule="exact"/>
        <w:rPr>
          <w:rFonts w:ascii="Arial" w:cs="Arial" w:eastAsia="Arial" w:hAnsi="Arial"/>
          <w:sz w:val="18"/>
          <w:szCs w:val="18"/>
          <w:color w:val="auto"/>
        </w:rPr>
      </w:pPr>
    </w:p>
    <w:p>
      <w:pPr>
        <w:jc w:val="both"/>
        <w:ind w:left="500" w:hanging="330"/>
        <w:spacing w:after="0" w:line="279"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Growing costs: Growing costs, also referred to as cultural costs, consist of orchard maintenance costs such as cultivation, fertilization and soil amendments, pest control, pruning and irrigation. The increase in the third quarter of fiscal year 2019 was primarily due to net increased cost of $1.6 million for pruning, fertilization and soil amendments, and San Pablo and Trapani Fresh cultural costs compared to the same period in fiscal year 2018. Growing costs reflect farm management decisions based on weather, harvest timing and crop conditions.</w:t>
      </w:r>
    </w:p>
    <w:p>
      <w:pPr>
        <w:spacing w:after="0" w:line="171" w:lineRule="exact"/>
        <w:rPr>
          <w:rFonts w:ascii="Arial" w:cs="Arial" w:eastAsia="Arial" w:hAnsi="Arial"/>
          <w:sz w:val="17"/>
          <w:szCs w:val="17"/>
          <w:color w:val="auto"/>
        </w:rPr>
      </w:pPr>
    </w:p>
    <w:p>
      <w:pPr>
        <w:jc w:val="both"/>
        <w:ind w:left="500" w:hanging="330"/>
        <w:spacing w:after="0" w:line="25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increase in the third quarter of fiscal year 2019 is primarily attributable to higher volume partially offset by lower price of third-party grower fruit sold. Of the 1,876,000 and 992,000 cartons of lemons packed and sold during the third quarter of fiscal years 2019 and 2018, respectively, 1,101,000 (59%) and 374,000 (38%) cartons were procured from third-party growers at average per carton prices of $11.65 and $21.33, respectively.</w:t>
      </w:r>
    </w:p>
    <w:p>
      <w:pPr>
        <w:spacing w:after="0" w:line="188"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third quarter of fiscal year 2019 was approximately $0.3 million higher than the third quarter of fiscal year 2018 primarily due to the acquisitions of Oxnard Lemon, San Pablo and Trapani Fresh and an increase in assets placed into service.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and expenses were $5.0 million in the three months ended July 31, 2019 compared to $3.5 million in the three months ended July 31, 2018. The $1.4 million increase is primarily the result of an increase in administration personnel, salaries and benefits, and increased professional fees associated with our acquisition as of July 31, 2019 compared to July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for the three months ended July 31, 2019 is comprised primarily of $1.8 million unrealized loss on equity securities and $0.8 million of interest expense partially offset by $0.5 million of equity in earnings of investments. Other expense, net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t>three months ended July 31, 2018 is comprised primarily of $0.3 million of interest expense partially offset by $0.1 million of equity in earnings of investments.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$0.4 million and $0.7 million of interest in the third quarter of fiscal years 2019 and 2018, respectively. Interest capitalization is discontinued when a project is substantially complete. Under the equity method of accounting used for our Limoneira/Lewis Joint Venture, interest capitalization ceased upon the commencement of lot sales in February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an estimated income tax provision of $0.5 million in the third quarter of fiscal year 2019 on pre-tax income of $0.1 million compared to an estimated income tax provision of $3.1 million in the third quarter of fiscal year 2018 on pre-tax income of $11.3 million. The tax benefit recorded for the third quarter of fiscal year 2019 differs from the US federal statutory tax rate of 21.0% due primarily to income attributable to foreign jurisdictions which is taxed at different rates, state taxes, and nondeductible tax items. The discrete driver of the estimated income tax benefit of fiscal year 2018 was the approximately $10.0 million decrease in deferred tax liabilities related to the change in the federal tax rate from the Tax Cuts and Jobs Act of 2017 (the "2017 Act") from 34% to 21%. Our projected annual effective blended tax rate for fiscal year 2019 is approximately 10.3%.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attributable to noncontrolling interest represents 10% and 49% of the net (income) loss of PDA and Trapani Fresh,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 2019 Compared to the Nine Months Ended July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net revenues for the nine months ended July 31, 2019 was $134.9 million compared to $114.7 million for the nine months ended July 31, 2018. The 18% increase of $20.2 million was primarily the result of increased agribusiness revenues, as detailed below ($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20" w:type="dxa"/>
            <w:vAlign w:val="bottom"/>
            <w:gridSpan w:val="7"/>
          </w:tcPr>
          <w:p>
            <w:pPr>
              <w:jc w:val="right"/>
              <w:ind w:right="870"/>
              <w:spacing w:after="0"/>
              <w:rPr>
                <w:sz w:val="20"/>
                <w:szCs w:val="20"/>
                <w:color w:val="auto"/>
              </w:rPr>
            </w:pPr>
            <w:r>
              <w:rPr>
                <w:rFonts w:ascii="Arial" w:cs="Arial" w:eastAsia="Arial" w:hAnsi="Arial"/>
                <w:sz w:val="18"/>
                <w:szCs w:val="18"/>
                <w:b w:val="1"/>
                <w:bCs w:val="1"/>
                <w:color w:val="auto"/>
              </w:rPr>
              <w:t>Agribusiness Revenues for the Nine Months Ended July 31,</w:t>
            </w:r>
          </w:p>
        </w:tc>
      </w:tr>
      <w:tr>
        <w:trPr>
          <w:trHeight w:val="27"/>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121,379</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29,265</w:t>
            </w:r>
          </w:p>
        </w:tc>
        <w:tc>
          <w:tcPr>
            <w:tcW w:w="11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Avocados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3,062</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(3,516)</w:t>
            </w: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(53)%</w:t>
            </w: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Navel and Valencia oranges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(4,758)</w:t>
            </w:r>
          </w:p>
        </w:tc>
        <w:tc>
          <w:tcPr>
            <w:tcW w:w="11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3,019</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(612)</w:t>
            </w: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(17)%</w:t>
            </w:r>
          </w:p>
        </w:tc>
      </w:tr>
      <w:tr>
        <w:trPr>
          <w:trHeight w:val="27"/>
        </w:trPr>
        <w:tc>
          <w:tcPr>
            <w:tcW w:w="4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131,254</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110,875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20,379</w:t>
            </w:r>
          </w:p>
        </w:tc>
        <w:tc>
          <w:tcPr>
            <w:tcW w:w="11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18%</w:t>
            </w:r>
          </w:p>
        </w:tc>
      </w:tr>
      <w:tr>
        <w:trPr>
          <w:trHeight w:val="20"/>
        </w:trPr>
        <w:tc>
          <w:tcPr>
            <w:tcW w:w="4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1"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Lemons: The increase in the nine months of fiscal year 2019 was primarily the result of higher volume partially offset by lower prices of fresh lemons sold compared to the same period in fiscal year 2018. A portion of the increased revenue was the result of fresh lemons sales of $11.7 million by Trapani Fresh on 609,000 cartons of fresh lemons sold. During the nine months of fiscal years 2019 and 2018, fresh lemon sales were $93.1 million and $76.8 million, respectively, on 4,448,000 and 3,061,000 cartons of lemons sold at average per carton prices of $20.92 and $25.09, respectively. Lemon revenues included $13.3 million shipping and handling, $9.9 million lemon by-products and $5.1 million other lemon sales in the nine months of fiscal year 2019 compared to $8.1 million shipping and handling, $4.1 million lemon by-product and $3.1 million other lemon sales during the same period in fiscal year 2018. Other lemon sales in the nine months of fiscal year 2019 include $2.4 million in Chile by PDA and San Pablo compared to $0.8 million in Chile by PDA and San Pablo in the nine months of fiscal year 2018.</w:t>
      </w:r>
    </w:p>
    <w:p>
      <w:pPr>
        <w:spacing w:after="0" w:line="178" w:lineRule="exact"/>
        <w:rPr>
          <w:rFonts w:ascii="Arial" w:cs="Arial" w:eastAsia="Arial" w:hAnsi="Arial"/>
          <w:sz w:val="17"/>
          <w:szCs w:val="17"/>
          <w:color w:val="auto"/>
        </w:rPr>
      </w:pPr>
    </w:p>
    <w:p>
      <w:pPr>
        <w:jc w:val="both"/>
        <w:ind w:left="500" w:hanging="330"/>
        <w:spacing w:after="0" w:line="279"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Avocados: The decrease in the nine months of fiscal year 2019 was primarily the result of lower volume offset partially by higher prices of avocados sold compared to the same period in fiscal year 2018. During the nine months of fiscal year 2019 1.8 million pounds of avocados were sold at an average per pound price of $1.71 compared to 6.3 million pounds of avocados sold at an average per pound price of $1.04 during the same period in fiscal year 2018. The higher prices in fiscal year 2019 are the result of lower supply in the marketplace.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jc w:val="both"/>
        <w:ind w:left="500" w:hanging="330"/>
        <w:spacing w:after="0" w:line="276"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Navel and Valencia oranges: The decrease in the nine months of fiscal year 2019 was primarily the result of lower prices partially offset by higher volume of oranges sold compared to the same period in fiscal year 2018. In the nine months of fiscal year 2019, 863,000 40-pound carton equivalents of oranges were sold at average per carton prices of $4.40 compared to 700,000 40-pound carton equivalents sold at average per carton prices of $12.22 in the same period of fiscal year 2018. Orange sales in the nine months of fiscal year 2019 included $0.2 million in Chile by PDA and San Pablo compared to $0.4 million in Chile by PDA and San Pablo in the nine months of fiscal year 2018.</w:t>
      </w:r>
    </w:p>
    <w:p>
      <w:pPr>
        <w:spacing w:after="0" w:line="172" w:lineRule="exact"/>
        <w:rPr>
          <w:rFonts w:ascii="Arial" w:cs="Arial" w:eastAsia="Arial" w:hAnsi="Arial"/>
          <w:sz w:val="17"/>
          <w:szCs w:val="17"/>
          <w:color w:val="auto"/>
        </w:rPr>
      </w:pPr>
    </w:p>
    <w:p>
      <w:pPr>
        <w:jc w:val="both"/>
        <w:ind w:left="500" w:hanging="330"/>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Specialty citrus and other crops: The decrease in the nine months of fiscal year 2019 was primarily the result of lower prices partially offset by higher volume of specialty citrus sold compared to the same period in fiscal year 2018. During the nine months of fiscal year 2019, 358,000 40-pound carton equivalents of specialty citrus were sold at an average per carton price of $8.43 compared to 281,000 40-pound carton equivalents sold at an average per carton price of $12.92 during the same period in fiscal year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costs and expenses in the nine months of fiscal year 2019 were $136.8 million compared to $95.6 million in the nine months of fiscal year 2018. The 43% increase of $41.2 million was primarily attributable to increases in our agribusiness and selling, general and administrative costs and expenses. Costs and expenses associated with our agribusiness include packing costs, harvest costs, growing costs, costs related to the fruit we procure and sell for third-party growers and depreciation and amortization expense, as detailed below ($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40" w:type="dxa"/>
            <w:vAlign w:val="bottom"/>
            <w:gridSpan w:val="7"/>
          </w:tcPr>
          <w:p>
            <w:pPr>
              <w:jc w:val="right"/>
              <w:ind w:right="470"/>
              <w:spacing w:after="0"/>
              <w:rPr>
                <w:sz w:val="20"/>
                <w:szCs w:val="20"/>
                <w:color w:val="auto"/>
              </w:rPr>
            </w:pPr>
            <w:r>
              <w:rPr>
                <w:rFonts w:ascii="Arial" w:cs="Arial" w:eastAsia="Arial" w:hAnsi="Arial"/>
                <w:sz w:val="18"/>
                <w:szCs w:val="18"/>
                <w:b w:val="1"/>
                <w:bCs w:val="1"/>
                <w:color w:val="auto"/>
                <w:w w:val="92"/>
              </w:rPr>
              <w:t>Agribusiness Costs and Expenses for the Nine Months Ended July 31,</w:t>
            </w:r>
          </w:p>
        </w:tc>
      </w:tr>
      <w:tr>
        <w:trPr>
          <w:trHeight w:val="27"/>
        </w:trPr>
        <w:tc>
          <w:tcPr>
            <w:tcW w:w="4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32,972</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14,045</w:t>
            </w:r>
          </w:p>
        </w:tc>
        <w:tc>
          <w:tcPr>
            <w:tcW w:w="11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15,533</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11,710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3,823</w:t>
            </w:r>
          </w:p>
        </w:tc>
        <w:tc>
          <w:tcPr>
            <w:tcW w:w="1120" w:type="dxa"/>
            <w:vAlign w:val="bottom"/>
          </w:tcPr>
          <w:p>
            <w:pPr>
              <w:jc w:val="right"/>
              <w:ind w:right="550"/>
              <w:spacing w:after="0"/>
              <w:rPr>
                <w:sz w:val="20"/>
                <w:szCs w:val="20"/>
                <w:color w:val="auto"/>
              </w:rPr>
            </w:pPr>
            <w:r>
              <w:rPr>
                <w:rFonts w:ascii="Arial" w:cs="Arial" w:eastAsia="Arial" w:hAnsi="Arial"/>
                <w:sz w:val="18"/>
                <w:szCs w:val="18"/>
                <w:color w:val="auto"/>
              </w:rPr>
              <w:t>33%</w:t>
            </w: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20,667</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3,195</w:t>
            </w:r>
          </w:p>
        </w:tc>
        <w:tc>
          <w:tcPr>
            <w:tcW w:w="11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44,018</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28,368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15,650</w:t>
            </w:r>
          </w:p>
        </w:tc>
        <w:tc>
          <w:tcPr>
            <w:tcW w:w="1120" w:type="dxa"/>
            <w:vAlign w:val="bottom"/>
          </w:tcPr>
          <w:p>
            <w:pPr>
              <w:jc w:val="right"/>
              <w:ind w:right="550"/>
              <w:spacing w:after="0"/>
              <w:rPr>
                <w:sz w:val="20"/>
                <w:szCs w:val="20"/>
                <w:color w:val="auto"/>
              </w:rPr>
            </w:pPr>
            <w:r>
              <w:rPr>
                <w:rFonts w:ascii="Arial" w:cs="Arial" w:eastAsia="Arial" w:hAnsi="Arial"/>
                <w:sz w:val="18"/>
                <w:szCs w:val="18"/>
                <w:color w:val="auto"/>
              </w:rPr>
              <w:t>55%</w:t>
            </w:r>
          </w:p>
        </w:tc>
      </w:tr>
      <w:tr>
        <w:trPr>
          <w:trHeight w:val="27"/>
        </w:trPr>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1,085</w:t>
            </w:r>
          </w:p>
        </w:tc>
        <w:tc>
          <w:tcPr>
            <w:tcW w:w="11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24%</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118,741</w:t>
            </w: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80,943</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37,798</w:t>
            </w: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47%</w:t>
            </w:r>
          </w:p>
        </w:tc>
      </w:tr>
      <w:tr>
        <w:trPr>
          <w:trHeight w:val="20"/>
        </w:trPr>
        <w:tc>
          <w:tcPr>
            <w:tcW w:w="4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1"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Packing costs: Packing costs primarily consist of the costs to pack lemons for sale such as labor and benefits, cardboard cartons, fruit treatments, packing and shipping supplies and facility operating costs. Lemon packing costs were $30.2 million and $17.5 million in the nine months of fiscal years 2019 and 2018, respectively. Trapani Fresh lemon packing costs were $3.6 million in the nine months of fiscal year 2019. During the nine months of fiscal year 2019, we packed and sold 4,448,000 cartons of lemons at average per carton costs of $6.78 compared to 3,061,000 cartons of lemons packed and sold at average per carton costs of $5.73 during the same period in fiscal year 2018. The increase in average per carton costs in fiscal year 2019 compared to fiscal year 2018 is primarily due to increased volume of lemon by-products and $4.9 million of operating costs incurred at the Oxnard Lemon facility. Additionally, packing costs included $2.8 million of shipping costs in the nine months of fiscal year 2019 compared to $1.4 million in the nine months of fiscal year 2018.</w:t>
      </w:r>
    </w:p>
    <w:p>
      <w:pPr>
        <w:spacing w:after="0" w:line="178" w:lineRule="exact"/>
        <w:rPr>
          <w:rFonts w:ascii="Arial" w:cs="Arial" w:eastAsia="Arial" w:hAnsi="Arial"/>
          <w:sz w:val="17"/>
          <w:szCs w:val="17"/>
          <w:color w:val="auto"/>
        </w:rPr>
      </w:pPr>
    </w:p>
    <w:p>
      <w:pPr>
        <w:ind w:left="50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Harvest costs: The increase in the nine months of fiscal year 2019 is primarily attributable to increased volume of lemons and oranges and specialty citrus harvested partially offset by decreased volume of avocados harvested.</w:t>
      </w:r>
    </w:p>
    <w:p>
      <w:pPr>
        <w:spacing w:after="0" w:line="170" w:lineRule="exact"/>
        <w:rPr>
          <w:rFonts w:ascii="Arial" w:cs="Arial" w:eastAsia="Arial" w:hAnsi="Arial"/>
          <w:sz w:val="18"/>
          <w:szCs w:val="18"/>
          <w:color w:val="auto"/>
        </w:rPr>
      </w:pPr>
    </w:p>
    <w:p>
      <w:pPr>
        <w:jc w:val="both"/>
        <w:ind w:left="500" w:hanging="330"/>
        <w:spacing w:after="0" w:line="30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Growing costs: Growing costs, also referred to as cultural costs, consist of orchard maintenance costs such as cultivation, fertilization and soil amendments, pest control, pruning and irrigation. The increase in the nine months of fiscal year 2019 was primarily due to net increased costs of $3.2 million primarily for cultivation, fertilization and soil amendments, pest control, pruning, and San Pablo and Trapani Fresh cultural costs compared to the same period of fiscal year 2018. Growing costs reflect farm management decisions based on weather, harvest timing and crop conditions.</w:t>
      </w:r>
    </w:p>
    <w:p>
      <w:pPr>
        <w:spacing w:after="0" w:line="154" w:lineRule="exact"/>
        <w:rPr>
          <w:rFonts w:ascii="Arial" w:cs="Arial" w:eastAsia="Arial" w:hAnsi="Arial"/>
          <w:sz w:val="16"/>
          <w:szCs w:val="16"/>
          <w:color w:val="auto"/>
        </w:rPr>
      </w:pPr>
    </w:p>
    <w:p>
      <w:pPr>
        <w:jc w:val="both"/>
        <w:ind w:left="500" w:hanging="330"/>
        <w:spacing w:after="0" w:line="25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increase in the nine months of fiscal year 2019 is primarily attributable to higher volume partially offset by lower price of third-party grower fruit sold. Of the 4,448,000 and 3,061,000 cartons of lemons packed and sold during the nine months of fiscal years 2019 and 2018, respectively, 2,628,000 (59%) and 1,350,000 (44%) cartons were procured from third-party growers at average per carton prices of $15.87 and $20.96,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p>
      <w:pPr>
        <w:jc w:val="both"/>
        <w:ind w:left="500" w:hanging="330"/>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nine months of fiscal year 2019 was approximately $1.1 million higher than the nine months of fiscal year 2018 primarily due to the acquisitions of Oxnard Lemon, San Pablo and Trapani Fresh and an increase in assets placed into service.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and expenses were $14.8 million in the nine months ended July 31, 2019 compared to $11.5 million in the nine months ended July 31, 2018. The $3.3 million increase is primarily the result of an increase in administration personnel, salaries and benefits, and increased professional fees associated with our acquisition as of July 31, 2019 compared to July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for the nine months ended July 31, 2019 is comprised primarily of $2.1 million unrealized loss on equity securities and $1.3 million of interest expense partially offset by $2.4 million of equity in earnings of investments. Other expense, net for the nine months ended July 31, 2018 is comprised primarily of $1.1 million of interest expense partially offset by $0.3 million of dividend income received from Calavo.</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$1.0 million and $1.6 million of interest in the nine months of fiscal years 2019 and 2018, respectively. Interest capitalization is discontinued when a project is substantially complete. Under the equity method of accounting used for our Limoneira/Lewis Joint Venture, interest capitalization ceased upon the commencement of lot sales in February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recorded an estimated income tax benefit of $0.2 million in the nine months ended July 31, 2019 on pre-tax loss of $2.5 million compared to an estimated income tax benefit of $5.1 million in the nine months ended July 31, 2018 on pre-tax income of $18.3 million. The tax benefit recorded for nine months ended July 31, 2019 differs from the US federal statutory tax rate of 21.0% due primarily to income attributable to foreign jurisdictions which is taxed at different rates, state taxes, and nondeductible tax items. The discrete driver of the estimated income tax benefit of fiscal year 2018 was the approximately $10.0 million decrease in deferred tax liabilities related to the change in the federal tax rate from the Tax Cuts and Jobs Act of 2017 (the "2017 Act") from 34% to 21%. Our projected annual effective blended tax rate for fiscal year 2019 is approximately 10.3%.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noncontrolling interest represents 10% and 49% of the net income of PDA and Trapani Fresh,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six reportable operating segments: fresh lemons, lemon packing, avocados, other agribusiness, rental operations and real estate development.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18 - Segment Information of the Notes to Consolidated Financial Statements included in this Quarterly Report on Form 10-Q for additional information regarding our operating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2019 Compared to the Three Months Ended July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July 31, 2019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49"/>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3"/>
        </w:trPr>
        <w:tc>
          <w:tcPr>
            <w:tcW w:w="2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line="193" w:lineRule="exact"/>
              <w:rPr>
                <w:sz w:val="20"/>
                <w:szCs w:val="20"/>
                <w:color w:val="auto"/>
              </w:rPr>
            </w:pPr>
            <w:r>
              <w:rPr>
                <w:rFonts w:ascii="Arial" w:cs="Arial" w:eastAsia="Arial" w:hAnsi="Arial"/>
                <w:sz w:val="14"/>
                <w:szCs w:val="14"/>
                <w:b w:val="1"/>
                <w:bCs w:val="1"/>
                <w:color w:val="auto"/>
                <w:w w:val="80"/>
              </w:rPr>
              <w:t>Lemons</w:t>
            </w:r>
            <w:r>
              <w:rPr>
                <w:rFonts w:ascii="Arial" w:cs="Arial" w:eastAsia="Arial" w:hAnsi="Arial"/>
                <w:sz w:val="22"/>
                <w:szCs w:val="22"/>
                <w:b w:val="1"/>
                <w:bCs w:val="1"/>
                <w:color w:val="auto"/>
                <w:w w:val="80"/>
                <w:vertAlign w:val="superscript"/>
              </w:rPr>
              <w:t>(1)</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41,169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5,232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49,631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50,869</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10,263</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(10,263)</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41,169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15,495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49,631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1,238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50,869</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8"/>
                <w:szCs w:val="18"/>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35,653</w:t>
            </w:r>
          </w:p>
        </w:tc>
        <w:tc>
          <w:tcPr>
            <w:tcW w:w="18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13,524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(10,263)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1,185</w:t>
            </w:r>
          </w:p>
        </w:tc>
        <w:tc>
          <w:tcPr>
            <w:tcW w:w="18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825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40,924</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798</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4,899</w:t>
            </w:r>
          </w:p>
        </w:tc>
        <w:tc>
          <w:tcPr>
            <w:tcW w:w="140" w:type="dxa"/>
            <w:vAlign w:val="bottom"/>
          </w:tcPr>
          <w:p>
            <w:pPr>
              <w:spacing w:after="0"/>
              <w:rPr>
                <w:sz w:val="18"/>
                <w:szCs w:val="18"/>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46,671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195</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62</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2,080</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5,516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2,118</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July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49"/>
              <w:spacing w:after="0"/>
              <w:rPr>
                <w:sz w:val="20"/>
                <w:szCs w:val="20"/>
                <w:color w:val="auto"/>
              </w:rPr>
            </w:pPr>
            <w:r>
              <w:rPr>
                <w:rFonts w:ascii="Arial" w:cs="Arial" w:eastAsia="Arial" w:hAnsi="Arial"/>
                <w:sz w:val="14"/>
                <w:szCs w:val="14"/>
                <w:b w:val="1"/>
                <w:bCs w:val="1"/>
                <w:color w:val="auto"/>
              </w:rPr>
              <w:t>Rental</w:t>
            </w:r>
          </w:p>
        </w:tc>
        <w:tc>
          <w:tcPr>
            <w:tcW w:w="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Corporate</w:t>
            </w:r>
          </w:p>
        </w:tc>
        <w:tc>
          <w:tcPr>
            <w:tcW w:w="68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6"/>
              </w:rPr>
              <w:t>Development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and Other</w:t>
            </w: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$ 39,950</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6,340</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(6,340)</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8,619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38,677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39,950</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18,872</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6,033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(6,340)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1,829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2,066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22,460</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810</w:t>
            </w:r>
          </w:p>
        </w:tc>
        <w:tc>
          <w:tcPr>
            <w:tcW w:w="14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3,454</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26,749</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194</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59</w:t>
            </w: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1,776</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$ 11,425</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3" w:lineRule="auto"/>
        <w:tabs>
          <w:tab w:leader="none" w:pos="195"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During the first quarter of fiscal 2019, we adopted a comprehensive new revenue recognition standard using a modified retrospective method that does not restate prior periods to be comparable to the current period presentation. The adoption of this guidance primarily impacted the presentation of certain brokered fruit sales revenue received and the related cost of fruit incurred by us. The adoption of this guidance resulted in revenue and costs and expenses within our fresh lemon segment of $1.8 million, respectively, during the three months ended July 31, 2019. Refer to Note 2 - Summary of Significant Accounting Policies for more information regarding the impact from the adoption of this new standard.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third quarter of fiscal year 2019, our fresh lemons segment total net revenues were $41.2 million compared to $28.5 million for the third quarter of fiscal year 2018; a 45% increase of $12.7 million, primarily due to fresh lemon sales of $11.7 million in Argentina by Trapani Fresh.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third quarter of fiscal year 2019, our fresh lemons costs and expenses were $35.7 million compared to $18.9 million for the third quarter of fiscal year 2018. The 89% increase of $16.8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Harvest costs for the third quarter of fiscal year 2019 were $3.0 million higher than the third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Growing costs for the third quarter of fiscal year 2019 were $3.1 million higher than the third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grower costs for the third quarter of fiscal year 2019 were $6.7 million higher than the third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Intersegment costs and expenses for the third quarter of fiscal year 2019 were $3.9 million higher than the third quarter of fiscal year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third quarter of fiscal years 2019 and 2018, our lemon packing segment revenues were $15.5 million and $8.6 million,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third quarter of fiscal years 2019 and 2018, our lemon packing costs and expenses were $13.5 million and $6.0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third quarter of fiscal years 2019 and 2018, lemon packing segment operating income per carton sold was $1.05 and $2.61, respectively.</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third quarter of fiscal years 2019 and 2018, the lemon packing segment included $10.3 million and $6.3 million, respectively, of intersegment revenues that were charged to the fresh lemons segment to pack lemons for sale. Such intersegment revenues and expenses are eliminated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third quarter of fiscal year 2019, our avocados segment revenue was $2.5 million compared to $5.6 million for the third quarter of fiscal year 2018.</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avocados segment include harvest and growing costs. For the third quarter of fiscal years 2019, our avocados segment costs $1.2 million compared to $1.8 million for the third quarter of fiscal year 2018. The 35% decrease of $0.6 million and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Harvest costs for the third quarter of fiscal year 2019 were $0.4 million lower than the third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Growing costs for the third quarter of fiscal year 2019 were $0.2 million lower than the third quarter of 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third quarter of fiscal year 2019, our other agribusiness segment total net revenues were $0.7 million compared to $2.3 million for the third quarter of fiscal year 2018. The 69% decrease of $1.6 million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Navel and Valencia orange revenues for the third quarter of fiscal year 2019 were $1.3 million lower than the third quarter of fiscal year 2018.</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Specialty citrus and other crop revenues for the third quarter of fiscal year 2019 were $0.3 million lower than the third quarter of fiscal year 2018.</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other agribusiness segment include harvest costs and growing costs. For the third quarter of fiscal year 2019, our other agribusiness costs and expenses were $0.8 million compared to $2.1 million for the third quarter of fiscal year 2018. The 60% decrease of $1.2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Harvest costs for the third quarter of fiscal year 2019 were higher than the third quarter of fiscal year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Growing costs for the third quarter of fiscal year 2019 were $1.3 million lower than the third quarter of fiscal year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third quarter of fiscal year 2019 were $0.3 million higher than the third quarter of fiscal year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rental operations segment had total net revenues of $1.2 million and $1.3 million for the third quarter of fiscal years 2019 and 2018, respectively.</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and expenses in our rental operations segment for the third quarter of fiscal year 2019 were similar to the third quarter of fiscal year 2018. Depreciation and amortization expenses for the third quarter of fiscal year 2019 were similar to the third quarter of fiscal year 2018 at approximately $0.2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fiscal years 2019 and 2018, our real estate development segment total net revenues were zero.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Costs and expenses in our real estate development segment for the third quarter of fiscal year 2019 were similar to the third quarter of fiscal year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and expenses include selling, general and administrative costs and other costs not allocated to the operating segments. Selling, general and administrative costs and expenses for the third quarter of fiscal year 2019 were $1.4 million higher than the third quarter of fiscal year 2018. Depreciation and amortization expense for the third quarter of fiscal year 2019 was similar to the third quarter of fiscal year 2018 at approximately $0.1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Nine Months Ended July 31, 2019 Compared to the Nine Months Ended July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nine months ended July 31, 2019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49"/>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6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3"/>
        </w:trPr>
        <w:tc>
          <w:tcPr>
            <w:tcW w:w="2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line="193" w:lineRule="exact"/>
              <w:rPr>
                <w:sz w:val="20"/>
                <w:szCs w:val="20"/>
                <w:color w:val="auto"/>
              </w:rPr>
            </w:pPr>
            <w:r>
              <w:rPr>
                <w:rFonts w:ascii="Arial" w:cs="Arial" w:eastAsia="Arial" w:hAnsi="Arial"/>
                <w:sz w:val="14"/>
                <w:szCs w:val="14"/>
                <w:b w:val="1"/>
                <w:bCs w:val="1"/>
                <w:color w:val="auto"/>
                <w:w w:val="80"/>
              </w:rPr>
              <w:t>Lemons</w:t>
            </w:r>
            <w:r>
              <w:rPr>
                <w:rFonts w:ascii="Arial" w:cs="Arial" w:eastAsia="Arial" w:hAnsi="Arial"/>
                <w:sz w:val="22"/>
                <w:szCs w:val="22"/>
                <w:b w:val="1"/>
                <w:bCs w:val="1"/>
                <w:color w:val="auto"/>
                <w:w w:val="80"/>
                <w:vertAlign w:val="superscript"/>
              </w:rPr>
              <w:t>(1)</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6"/>
              </w:rPr>
              <w:t>Development</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1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108,090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13,289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131,254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134,922</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25,464</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(25,464)</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108,090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38,753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6,813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131,254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134,922</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8"/>
                <w:szCs w:val="18"/>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95,650</w:t>
            </w:r>
          </w:p>
        </w:tc>
        <w:tc>
          <w:tcPr>
            <w:tcW w:w="18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32,972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(25,464)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2,822</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7,210</w:t>
            </w:r>
          </w:p>
        </w:tc>
        <w:tc>
          <w:tcPr>
            <w:tcW w:w="14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113,190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2,583</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14,627</w:t>
            </w:r>
          </w:p>
        </w:tc>
        <w:tc>
          <w:tcPr>
            <w:tcW w:w="120" w:type="dxa"/>
            <w:vAlign w:val="bottom"/>
          </w:tcPr>
          <w:p>
            <w:pPr>
              <w:spacing w:after="0"/>
              <w:rPr>
                <w:sz w:val="18"/>
                <w:szCs w:val="18"/>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w w:val="90"/>
              </w:rPr>
              <w:t>130,502</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5,551</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6,327</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12,440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5,781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12,513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nine months ended July 31, 2018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rPr>
              <w:t>Rental</w:t>
            </w:r>
          </w:p>
        </w:tc>
        <w:tc>
          <w:tcPr>
            <w:tcW w:w="16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2"/>
        </w:trPr>
        <w:tc>
          <w:tcPr>
            <w:tcW w:w="2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9"/>
              </w:rPr>
              <w:t>Lemons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9"/>
              </w:rPr>
              <w:t>Packing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0"/>
              </w:rPr>
              <w:t>Avocados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3"/>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6"/>
              </w:rPr>
              <w:t>Operations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6"/>
              </w:rPr>
              <w:t>Development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83,994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114,678</w:t>
            </w:r>
          </w:p>
        </w:tc>
      </w:tr>
      <w:tr>
        <w:trPr>
          <w:trHeight w:val="21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18,416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83,994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26,536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110,875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0"/>
              </w:rPr>
              <w:t>114,678</w:t>
            </w: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64,363</w:t>
            </w:r>
          </w:p>
        </w:tc>
        <w:tc>
          <w:tcPr>
            <w:tcW w:w="2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18,927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(18,416)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3,408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8,195</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76,477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2,461</w:t>
            </w:r>
          </w:p>
        </w:tc>
        <w:tc>
          <w:tcPr>
            <w:tcW w:w="16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11,369</w:t>
            </w:r>
          </w:p>
        </w:tc>
        <w:tc>
          <w:tcPr>
            <w:tcW w:w="120" w:type="dxa"/>
            <w:vAlign w:val="bottom"/>
          </w:tcPr>
          <w:p>
            <w:pPr>
              <w:spacing w:after="0"/>
              <w:rPr>
                <w:sz w:val="18"/>
                <w:szCs w:val="18"/>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90,401</w:t>
            </w: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4,466</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5,210</w:t>
            </w:r>
          </w:p>
        </w:tc>
      </w:tr>
      <w:tr>
        <w:trPr>
          <w:trHeight w:val="216"/>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29,932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19,067</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3" w:lineRule="auto"/>
        <w:tabs>
          <w:tab w:leader="none" w:pos="195"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During the first quarter of fiscal 2019, we adopted a comprehensive new revenue recognition standard using a modified retrospective method that does not restate prior periods to be comparable to the current period presentation. The adoption of this guidance primarily impacted the presentation of certain brokered fruit sales revenue received and the related cost of fruit incurred by us. The adoption of this guidance resulted in revenue and costs and expenses within our fresh lemon segment of $2.2 million, respectively, during the nine months ended July 31, 2019. Refer to Note 2 - Summary of Significant Accounting Policies for more information regarding the impact from the adoption of this new standard.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July 31, 2019, our fresh lemons segment total net revenues were $108.1 million compared to $84.0 million for the nine months ended July 31, 2018, a 29% increase of $24.1 million, primarily due to higher volume of fresh lemons sold, fresh lemon sales of $11.7 million in Argentina by Trapani Fresh and an increase in lemon by-products sold of $5.8 million.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nine months ended July 31, 2019, our fresh lemons costs and expenses were $95.7 million compared to $64.4 million for the nine months ended July 31, 2018. The 49% increase of $31.3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Harvest costs for the nine months ended July 31, 2019 were $4.1 million higher than the nine months ended July 31,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Growing costs for the nine months ended July 31, 2019 were $4.4 million higher than the nine months ended July 31,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grower costs for the nine months ended July 31, 2019 were $15.7 million higher than the nine months ended July 31,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Intersegment costs and expenses for the nine months ended July 31, 2019 were $7.0 million higher than the nine months ended July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nine months ended July 31, 2019 and 2018, our lemon packing segment revenues were $38.8 million and $26.5 million,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nine months ended July 31, 2019 and 2018, our lemon packing costs and expenses were $33.0 million and $18.9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July 31, 2019 and 2018, lemon packing segment operating income per carton sold was $1.30 and $2.49, respectively.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nine months ended July 31, 2019 and 2018, the lemon packing segment included $25.5 million and $18.4 million, respectively, of intersegment revenues that were charged to the fresh lemons segment to pack lemons for sale. Such intersegment revenues and expenses are eliminated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July 31, 2019 our avocados segment revenue was $3.1 million compared to $6.6 million for the nine months ended July 31, 2018.</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avocados segment include harvest and growing costs. For nine months ended July 31, 2019 our avocados segment costs and expenses were $2.8 million compared to $3.4 million for the nine months ended July 31, 2018. The 17% decrease $0.6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Harvest costs for the nine months ended July 31, 2019 were $0.5 million lower than the nine months ended July 31,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Growing costs for the nine months ended July 31, 2019 were $0.1 million lower than the nine months ended July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nine months ended July 31, 2019, our other agribusiness segment total net revenues were $6.8 million compared to $12.2 million for the nine months ended July 31, 2018. The 44% decrease of $5.4 million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Navel and Valencia orange revenues for the nine months ended July 31, 2019 were $4.8 million lower than the nine months ended July 31, 2018.</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Specialty citrus and other crop revenues for the nine months ended July 31, 2019 were $0.6 million lower than the nine months ended July 31, 2018.</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other agribusiness segment include harvest costs and growing costs. For the nine months ended July 31, 2019, our other agribusiness costs and expenses were $7.2 million compared to $8.2 million for the nine months ended July 31, 2018. The 12% decrease of $1.0 million primarily consisted of the following:</w:t>
      </w:r>
    </w:p>
    <w:p>
      <w:pPr>
        <w:spacing w:after="0" w:line="18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Harvest costs for the nine months ended July 31, 2019 were $0.2 million higher than the nine months ended July 31, 2018.</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Growing costs for the nine months ended July 31, 2019 were $1.1 million lower than the nine months ended July 31,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nine months ended July 31, 2019 were $1.1 million higher than the nine months ended July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Operations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Our rental operations segment had total net revenues of $3.7 million and $3.8 million for the nine months ended July 31, 2019 and 2018, respectively.</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in our rental operations segment for the nine months ended July 31, 2019 were $0.1 million higher than the nine months ended July 31, 2018. Depreciation and amortization expenses for the nine months ended July 31, 2019 was similar to the nine months ended July 31, 2018 at approximately $0.6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July 31, 2019 and 2018, our real estate development segment total net revenues were zero.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Costs and expenses in our real estate development segment for the nine months ended July 31, 2019 were similar to the nine months ended July 31,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and expenses include selling, general and administrative costs and other costs not allocated to the operating segments. Selling, general and administrative costs and expenses for the nine months ended July 31, 2019 were $3.3 million higher than the nine months ended July 31, 2018. Depreciation and amortization expense for the nine months ended July 31, 2019 was similar to the nine months ended July 31, 2018 at approximately $0.2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Results of Operations for the Trailing Twelve Months Ended July 31, 2019 and 2018</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color w:val="auto"/>
              </w:rPr>
              <w:t>The following table shows the unaudited results of operations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08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Trailing twelve months ended July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Agribusiness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144,723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125,508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development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Agribusiness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96,284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Impairment of real estate development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161,124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in earnings of investments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stock in Calavo Growers, Inc.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Unrealized loss on stock in Calavo Growers, Inc.</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6,951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loss attributable to noncontrolling interest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20,775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ind w:left="500" w:hanging="330"/>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revenues increased $19.0 million in the twelve months ended July 31, 2019 compared to the twelve months ended July 31, 2018 primarily due to increased agribusiness revenues, particularly increased lemon sales.</w:t>
      </w:r>
    </w:p>
    <w:p>
      <w:pPr>
        <w:spacing w:after="0" w:line="170" w:lineRule="exact"/>
        <w:rPr>
          <w:rFonts w:ascii="Arial" w:cs="Arial" w:eastAsia="Arial" w:hAnsi="Arial"/>
          <w:sz w:val="18"/>
          <w:szCs w:val="18"/>
          <w:color w:val="auto"/>
        </w:rPr>
      </w:pPr>
    </w:p>
    <w:p>
      <w:pPr>
        <w:jc w:val="both"/>
        <w:ind w:left="500" w:hanging="330"/>
        <w:spacing w:after="0" w:line="30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costs and expenses increased $45.3 million in the twelve months ended July 31, 2019 compared to the twelve months ended July 31, 2018 primarily due to increases in our agribusiness costs, real estate impairments and selling, general and administrative expenses. The increase in agribusiness costs is associated with increased agribusiness production and the increase in selling, general and administrative expenses is primarily attributable to increased administrative personnel, salaries and benefits, and increased professional fees associated with our acquisitions.</w:t>
      </w:r>
    </w:p>
    <w:p>
      <w:pPr>
        <w:spacing w:after="0" w:line="154" w:lineRule="exact"/>
        <w:rPr>
          <w:rFonts w:ascii="Arial" w:cs="Arial" w:eastAsia="Arial" w:hAnsi="Arial"/>
          <w:sz w:val="16"/>
          <w:szCs w:val="16"/>
          <w:color w:val="auto"/>
        </w:rPr>
      </w:pPr>
    </w:p>
    <w:p>
      <w:pPr>
        <w:jc w:val="both"/>
        <w:ind w:left="500" w:hanging="330"/>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other income (expense) increased $5.1 million in the twelve months ended July 31, 2019 compared to the twelve months ended July 31, 2018 primarily due to a $2.9 million increase in equity in earnings of investments and $4.2 million gain on sale of stock in Calavo offset by a $2.1 million increase in unrealized loss on stock in Calavo.</w:t>
      </w:r>
    </w:p>
    <w:p>
      <w:pPr>
        <w:spacing w:after="0" w:line="18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Income tax benefit decreased $5.1 million in the twelve months ended July 31, 2019 compared to the twelve months ended July 31, 2018 primarily due to the approximately $10.0 million decrease in deferred tax liabilities related to the change in the federal corporate tax rate from the 2017 Act offset by the effect of earnings before income taxes.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Company’s liquidity and capital position fluctuates during the year depending on seasonal production cycles, weather events and demand for our products. Typically, our second and third quarters tend to generate greater operating income than our first and fourth quarters due to the volume of fruit harvested.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working capital demand and investment requirements of our agribusiness and real estate development segments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July 31, 2019, net cash provided by operating activities was $4.3 million compared to net cash provided by operating activities of $23.2 million for the nine months ended July 31, 2018. The significant components of our Company’s cash flows provided by operating activities as included in the unaudited consolidated statements of cash flows are as follows:</w:t>
      </w:r>
    </w:p>
    <w:p>
      <w:pPr>
        <w:spacing w:after="0" w:line="181" w:lineRule="exact"/>
        <w:rPr>
          <w:sz w:val="20"/>
          <w:szCs w:val="20"/>
          <w:color w:val="auto"/>
        </w:rPr>
      </w:pPr>
    </w:p>
    <w:p>
      <w:pPr>
        <w:jc w:val="both"/>
        <w:ind w:left="500" w:hanging="330"/>
        <w:spacing w:after="0" w:line="259"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loss for the nine months ended July 31, 2019 was $2.3 million compared to net income of $23.4 million for the nine months ended July 31, 2018. The decrease in net income of $25.7 million in the nine months ended July 31, 2019 compared to the same period in fiscal year 2018 was primarily attributable to a decrease in operating income of $21.0 million and a decrease in income tax benefit of $4.9 million, offset by an decrease in other expense of $0.2 million.</w:t>
      </w:r>
    </w:p>
    <w:p>
      <w:pPr>
        <w:spacing w:after="0" w:line="18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Depreciation and amortization expenses increased $1.1 million in the nine months ended July 31, 2019 compared to the same period in fiscal year 2018 primarily due to the acquisitions of San Pablo and Oxnard Lemon in July 2018, Trapani Fresh in May 2019 and an increase in assets placed into service.</w:t>
      </w:r>
    </w:p>
    <w:p>
      <w:pPr>
        <w:spacing w:after="0" w:line="18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gain on disposals of assets was $11,000 in the nine months ended July 31, 2019 compared to a loss on disposals of assets of $0.2 million in the nine months ended July 31, 2018. Fiscal year 2018 loss was primarily the result of expenses incurred from orchard disposals related to the December 2017 Southern California wildfires and our ongoing orchard redevelopment plans.</w:t>
      </w:r>
    </w:p>
    <w:p>
      <w:pPr>
        <w:spacing w:after="0" w:line="18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compensation expense was $1.4 million and $1.2 million in the nine months ended July 31, 2019 and 2018, respectively, and was comprised primarily of vesting and expense recognition of the 2016, 2017, 2018 and 2019 grants to management under our stock-based compensation plan plus non-employee directors’ stock-based compensation.</w:t>
      </w:r>
    </w:p>
    <w:p>
      <w:pPr>
        <w:spacing w:after="0" w:line="181" w:lineRule="exact"/>
        <w:rPr>
          <w:rFonts w:ascii="Arial" w:cs="Arial" w:eastAsia="Arial" w:hAnsi="Arial"/>
          <w:sz w:val="18"/>
          <w:szCs w:val="18"/>
          <w:color w:val="auto"/>
        </w:rPr>
      </w:pPr>
    </w:p>
    <w:p>
      <w:pPr>
        <w:jc w:val="both"/>
        <w:ind w:left="500" w:hanging="330"/>
        <w:spacing w:after="0" w:line="297"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Accounts receivable, net balance at July 31, 2019 was $24.1 million compared to $14.1 million at October 31, 2018, resulting in a corresponding decrease in operating cash flows of approximately $10.0 million in the nine months ended July 31, 2019. Accounts receivable, net balance at July 31, 2018 was $15.0 million compared to $11.0 million at October 31, 2017, resulting in a corresponding decrease in operating cash flows of $4.0 million. The $10.0 million decrease in operating cash flows in the nine months ended July 31, 2019 compared to the $4.0 million decrease in operating cash flows during same period in fiscal year 2018 was primarily due to fluctuations in price and volume related to agribusiness revenues.</w:t>
      </w:r>
    </w:p>
    <w:p>
      <w:pPr>
        <w:spacing w:after="0" w:line="158" w:lineRule="exact"/>
        <w:rPr>
          <w:rFonts w:ascii="Arial" w:cs="Arial" w:eastAsia="Arial" w:hAnsi="Arial"/>
          <w:sz w:val="16"/>
          <w:szCs w:val="16"/>
          <w:color w:val="auto"/>
        </w:rPr>
      </w:pPr>
    </w:p>
    <w:p>
      <w:pPr>
        <w:jc w:val="both"/>
        <w:ind w:left="500" w:right="20" w:hanging="330"/>
        <w:spacing w:after="0" w:line="259"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Cultural costs provided $1.6 million of operating cash flows in the nine months ended July 31, 2019 compared to using $0.2 million of operating cash flows during the same period in fiscal year 2018. This increase in operating cash flows was primarily due to an initial higher amount of capitalized cultural costs carried at the beginning of fiscal year 2019 and the related amortization of such costs during the nine months ended July 31, 2019 compared to the same period in fiscal year 2018.</w:t>
      </w:r>
    </w:p>
    <w:p>
      <w:pPr>
        <w:spacing w:after="0" w:line="186"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taxes receivable balance was zero and $0.4 million at July 31, 2019 and October 31, 2018, respectively. Income taxes receivable balance was $0.3 million at July 31, 2018 compared to $0.6 million at October 31, 2017.</w:t>
      </w:r>
    </w:p>
    <w:p>
      <w:pPr>
        <w:spacing w:after="0" w:line="170" w:lineRule="exact"/>
        <w:rPr>
          <w:rFonts w:ascii="Arial" w:cs="Arial" w:eastAsia="Arial" w:hAnsi="Arial"/>
          <w:sz w:val="18"/>
          <w:szCs w:val="18"/>
          <w:color w:val="auto"/>
        </w:rPr>
      </w:pPr>
    </w:p>
    <w:p>
      <w:pPr>
        <w:jc w:val="both"/>
        <w:ind w:left="500" w:hanging="330"/>
        <w:spacing w:after="0" w:line="276"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Accounts payable and growers payable provided $15.5 million and $3.9 million of operating cash flows in the nine months ended July 31, 2019 and 2018, respectively. The $15.5 million of cash provided in the nine months ended July 31, 2019 was primarily the result of $10.0 million increase in accounts payable, $5.7 million increase in growers payable offset by $0.2 million of capital expenditures accrued but not paid at period end. The $3.9 million of cash provided by the nine months ended July 31, 2018 was primarily the result of $0.5 million increase in accounts payable, $3.8 million increase in growers payable, offset by $0.3 million of capital expenditures accrued but not paid at period end.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jc w:val="both"/>
        <w:ind w:left="500" w:hanging="330"/>
        <w:spacing w:after="0" w:line="279"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Accrued liabilities used $3.2 million of operating cash flows in the nine months ended July 31, 2019 compared to $0.3 million of operating cash flows used during the same period in fiscal year 2018. The operating cash used in the nine months ended July 31, 2019 was primarily due to payments for incentive compensation, property taxes and lemon suppliers. The operating cash flows used in the nine months ended July 31, 2018 was primarily due to payments for incentive compensation and property taxes offset by accrued lemon supplier expenses.</w:t>
      </w:r>
    </w:p>
    <w:p>
      <w:pPr>
        <w:spacing w:after="0" w:line="171" w:lineRule="exact"/>
        <w:rPr>
          <w:rFonts w:ascii="Arial" w:cs="Arial" w:eastAsia="Arial" w:hAnsi="Arial"/>
          <w:sz w:val="17"/>
          <w:szCs w:val="17"/>
          <w:color w:val="auto"/>
        </w:rPr>
      </w:pPr>
    </w:p>
    <w:p>
      <w:pPr>
        <w:jc w:val="both"/>
        <w:ind w:left="500" w:hanging="330"/>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long-term liabilities operating cash flows in the nine months ended July 31, 2019 represented $0.3 million of non-cash pension expense offset by $0.5 million of pension contributions for the period. Other long-term liabilities operating cash flows in the nine months ended July 31, 2018 represented $0.5 million of non-cash pension expense offset by $0.5 million of pension contributions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July 31, 2019, net cash used in investing activities was $31.4 million compared to net cash used in investing activities of $50.9 million during the same period in fiscal year 2018. Net cash used in investing activities was primarily comprised of capital expenditures, agriculture property acquisitions, business combinations and investments.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expenditures were $12.6 million in the nine months ended July 31, 2019, comprised of $12.0 million for property, plant and equipment primarily related to orchard and vineyard development and the purchase of a photovoltaic solar array and $0.6 million for real estate development projects. Additionally, in the nine months ended July 31, 2019, we purchased an agriculture property for $0.4 million, contributed $4.0 million to the Joint Venture for the development of our East Area I real estate development project and paid $15.0 million for the Trapani Fresh joint venture formation in Argentina. Additionally, we sold 10,000 shares of Calavo stock for net proceeds of $1.0 million.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expenditures were $9.0 million in the nine months ended July 31, 2018, comprised of $7.9 million for property, plant and equipment primarily related to orchard and vineyard development and $1.1 million for real estate development projects. Additionally, in the nine months ended July 31, 2018, we purchased San Pablo for $13.1 million, Oxnard Lemon for $25.0 million and a real estate development parcel for $1.4 million. Further we contributed $3.5 million to the Joint Venture for the development of our East Area I real estate development project and received combined net proceeds of $1.5 million from the sale of the commercial portion of Sevilla and the sale of Centennial.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July 31, 2019, net cash provided by financing activities was $27.5 million compared to net cash provided by financing activities of $27.6 million during the same period in fiscal year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$27.5 million of cash provided by financing activities during the nine months ended July 31, 2019 was primarily comprised of net borrowings of long-term debt in the amount $32.2 million partially offset by common and preferred dividends, in aggregate, of $4.4 million. The $27.6 million of net cash provided by financing activities in the nine months ended July 31, 2018 was primarily comprised of net repayments of long-term debt in the amount of $32.8 million and net proceeds from our public offering on common stock in the amount of $64.1 million partially offset by common and preferred dividends, in aggregate, of $3.3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2017, we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 In May 2018, we locked the interest rate on the Non-Revolving Credit Supplement at 4.77%, effective July 1, 2018.</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 with which we were in compliance at October 31, 2018.</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finance our working capital and other liquidity requirements primarily through cash from operations and our Farm Credit West Credit Facility. In addition, we have the Farm Credit West Term Loans, the Wells Fargo term loan, the Banco de Chile term loan and a note payable to the sellers of a land parcel. Additional information regarding the Farm Credit West Credit Facility, the Farm Credit West Term Loans, the Wells Fargo term loan, the Banco de Chile term loan and the note payable can be found in the notes to consolidated financial statements included in this Quarterly Report on Form 10-Q.</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remainder of fiscal year 2019.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Credit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July 31, 2019, our outstanding borrowings under the Farm Credit West Credit Facility were $85.4 million and we had $29.6 million of availability. The Farm Credit West revolving line of credit balance of $45.4 million currently bears interest at a variable rate equal to the one-month LIBOR plus 1.85%. The interest rate resets on the first of each month and was 4.25% at July 31, 2019. We have the ability to prepay any amounts outstanding under the Farm Credit West revolving line of credit without penalty. The line of credit provides for maximum borrowings of $115.0 million and the borrowing capacity based on collateral value was $115.0 million at July 31, 2019.</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the option of fixing the interest rate under the Farm Credit West Credit Facility on any portion of outstanding borrowings using interest rate swaps. Effective July 2013, we fixed the interest rate at 4.30% utilizing an interest rate swap on $40.0 million of the Rabobank Credit Facility. In connection with the paydown of the Rabobank debt noted above, on June 20, 2017, we entered into a novation agreement with Rabobank International, Utrecht and CoBank, ACB (“CoBank”). The agreement provided for the prior interest rate swap agreement with Rabobank to be in place with CoBank. This interest rate swap expired June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July 31, 2019, we had an aggregate of approximately $18.8 million outstanding under Farm Credit West Term Loans, which are further discussed here:</w:t>
      </w:r>
    </w:p>
    <w:p>
      <w:pPr>
        <w:spacing w:after="0" w:line="248" w:lineRule="exact"/>
        <w:rPr>
          <w:sz w:val="20"/>
          <w:szCs w:val="20"/>
          <w:color w:val="auto"/>
        </w:rPr>
      </w:pPr>
    </w:p>
    <w:p>
      <w:pPr>
        <w:jc w:val="both"/>
        <w:ind w:left="500" w:hanging="330"/>
        <w:spacing w:after="0" w:line="257" w:lineRule="auto"/>
        <w:tabs>
          <w:tab w:leader="none" w:pos="5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November 2022. </w:t>
      </w:r>
      <w:r>
        <w:rPr>
          <w:rFonts w:ascii="Arial" w:cs="Arial" w:eastAsia="Arial" w:hAnsi="Arial"/>
          <w:sz w:val="18"/>
          <w:szCs w:val="18"/>
          <w:color w:val="auto"/>
        </w:rPr>
        <w:t>As of July 31, 2019, we had $2.2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2022. This term loan bears interest at a variable rate equal to an internally calculated rate based on Farm Credit West’s internal monthly operations and their cost of funds and generally follows the changes in the 90-day treasury rates in increments divisible by 0.25% and is payable in quarterly installments through November 2022. The interest rate resets monthly and was 4.95% at July 31, 2019. This term loan is secured by certain of our agricultural properties.</w:t>
      </w:r>
    </w:p>
    <w:p>
      <w:pPr>
        <w:spacing w:after="0" w:line="188" w:lineRule="exact"/>
        <w:rPr>
          <w:rFonts w:ascii="Arial" w:cs="Arial" w:eastAsia="Arial" w:hAnsi="Arial"/>
          <w:sz w:val="18"/>
          <w:szCs w:val="18"/>
          <w:i w:val="1"/>
          <w:iCs w:val="1"/>
          <w:color w:val="auto"/>
        </w:rPr>
      </w:pPr>
    </w:p>
    <w:p>
      <w:pPr>
        <w:jc w:val="both"/>
        <w:ind w:left="500" w:hanging="330"/>
        <w:spacing w:after="0" w:line="257" w:lineRule="auto"/>
        <w:tabs>
          <w:tab w:leader="none" w:pos="5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October 2035. </w:t>
      </w:r>
      <w:r>
        <w:rPr>
          <w:rFonts w:ascii="Arial" w:cs="Arial" w:eastAsia="Arial" w:hAnsi="Arial"/>
          <w:sz w:val="18"/>
          <w:szCs w:val="18"/>
          <w:color w:val="auto"/>
        </w:rPr>
        <w:t>As of July 31, 2019, Windfall had $1.1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2035. This term loan bears interest at a variable rate equal to an internally calculated rate based on Farm Credit West’s internal monthly operations and their cost of funds and generally follows the changes in the 90-day treasury rates in increments divisible by 0.25% and is payable in monthly installments through October 2035. The interest rate resets monthly and was 4.95% at July 31, 2019. This term loan is secured by the Windfall Farms property.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jc w:val="both"/>
        <w:ind w:left="500" w:hanging="330"/>
        <w:spacing w:after="0" w:line="264" w:lineRule="auto"/>
        <w:tabs>
          <w:tab w:leader="none" w:pos="50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July 31, 2019, we had $8.9 million outstanding under the Farm Credit West Term Loan that matures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2036. This loan bears interest at a fixed rate of 4.70% and is payable in monthly installments through March 2036. This term loan is secured by certain of our agricultural properties.</w:t>
      </w:r>
    </w:p>
    <w:p>
      <w:pPr>
        <w:spacing w:after="0" w:line="181" w:lineRule="exact"/>
        <w:rPr>
          <w:rFonts w:ascii="Arial" w:cs="Arial" w:eastAsia="Arial" w:hAnsi="Arial"/>
          <w:sz w:val="18"/>
          <w:szCs w:val="18"/>
          <w:i w:val="1"/>
          <w:iCs w:val="1"/>
          <w:color w:val="auto"/>
        </w:rPr>
      </w:pPr>
    </w:p>
    <w:p>
      <w:pPr>
        <w:jc w:val="both"/>
        <w:ind w:left="500" w:hanging="330"/>
        <w:spacing w:after="0" w:line="257" w:lineRule="auto"/>
        <w:tabs>
          <w:tab w:leader="none" w:pos="50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July 31, 2019, we had $6.6 million outstanding under the Farm Credit West Term Loan that matures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Term Loan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July 31, 2019, we had $5.3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We are also subject to a covenant that our Company will maintain a debt service coverage ratio, as defined in the loan agreement, of less than 1.25 to 1.0 measured annually at October 31, with which we were in compliance at October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Banco de Chile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acquisition of PDA in February 2017, we assumed a $1.7 million term loan with Banco de Chile that matures in January 2025. This term loan bears interest at a fixed rate of 6.48% and is payable in eight annual installments which began in January 2018. This loan is unsecured and contains certain pre-payment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we exercised an option to purchase a 7-acre parcel adjacent to our East Area II real estate development project. In connection with this purchase, we issued a note payable for $1.4 million secured by first deed of trust, payable to the sellers. The note is due in February 2023, with interest-only, monthly payments at interest rates ranging from 5.0% to 7.0% and was 5.50% at July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we completed the sale of an aggregate of 3,136,362 shares of our common stock, at a price of $22.00 per share, to a limited number of institutional and other investors in a registered offering under the shelf registration statement. The offering represented 18% of our outstanding common stock on an after-issued basis as of June 25, 2018. Upon completion of the offering and issuance of common stock, we had 17,669,314 shares of common stock outstanding. The net proceeds from the sale of shares, after deducting underwriting discounts and our estimated expenses related to the offering, were approximately $64.1 million. In June and July 2018, we used the offering proceeds to pay down debt, purchase the San Pablo ranch and purchase Oxnard Lemon's packinghouse, related land and certain other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enter into interest rate swap agreements to manage the risks and costs associated with our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debt bears interest at fixed and variable rates, ranging from 3.58% to 6.48% at July 31,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 Joint Venture recorded a $31.0 million outstanding loan balance at July 31, 2019 related to this Loan.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cash flows from our agribusiness and rental operations business segments as well as available borrowing capacity from our existing credit facilities will be sufficient to satisfy our future capital expenditure, debt service, working capital and other contractual obligations for the remainder of fiscal year 2019. In addition, we have the ability to control the timing of a portion of our investing cash flows to the extent necessary based on our liquidity demands.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1997, in connection with the acquisition of Ronald Michaelis Ranches, Inc., we issued 30,000 shares of Series B Convertible Preferred Stock at $100.00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commencing July 1, 1997 and total $0.1 million annually.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and April 2014, we issued, in aggregate, 9,300 shares of Series B-2 Convertible Preferred Stock at $100.00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commencing July 1, 2014 and total $0.4 million annually.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noncontributory, defined benefit, single employer pension plan (the “Plan”), which provides retirement benefits for all eligible employees of the Company. Effective June 2004, the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$0.6 million, $0.7 million and $0.5 million in fiscal years 2018, 2017 and 2016, respectively, and we plan to contribute approximately $0.6 million to the Plan in fiscal year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numerous operating lease commitments with remaining terms ranging from less than one year to ten years. In fiscal year 2008, we installed a one mega-watt photovoltaic solar array on one of our agricultural properties located in Ventura County that produces a significant portion of the power to run our lemon packinghouse. The construction of this array was financed by Farm Credit Leasing and we have a long-term lease with Farm Credit Leasing for this array. Annual payments for this lease were $0.5 million, however the operating lease agreement terminated and the solar array was purchased in fiscal year 2018 for $1.1 million. In fiscal year 2009, we entered into a similar transaction with Farm Credit Leasing for a second photovoltaic array at one of our agricultural properties located in the San Joaquin Valley to supply a significant portion of the power to operate four deep water well pumps located on our property. Annual lease payments for this facility ranged from $0.3 million to $0.8 million, however, the operating lease agreement terminated and the solar array was purchased in the first quarter of fiscal year 2019 for $1.3 million.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approximately 80 acres of lemons in Lindsay, California at a base rent of $500 per acre plus 50% of the operating profit of the leased acreage as defined in the lease. The lease expires in December 2021 and includes four five-year renewal options. Estimated aggregate lease expense is approximately $0.1 million per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 2013, we entered into a lease agreement with Cadiz, Inc. (“Cadiz”) to develop new lemon orchards on Cadiz’s agricultural property in eastern San Bernardino County, California (the “Cadiz Ranch”). Under the terms of the lease agreement, we have the right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8" w:name="page49"/>
    <w:bookmarkEnd w:id="48"/>
    <w:p>
      <w:pPr>
        <w:jc w:val="both"/>
        <w:spacing w:after="0" w:line="276" w:lineRule="auto"/>
        <w:rPr>
          <w:sz w:val="20"/>
          <w:szCs w:val="20"/>
          <w:color w:val="auto"/>
        </w:rPr>
      </w:pPr>
      <w:r>
        <w:rPr>
          <w:rFonts w:ascii="Arial" w:cs="Arial" w:eastAsia="Arial" w:hAnsi="Arial"/>
          <w:sz w:val="17"/>
          <w:szCs w:val="17"/>
          <w:color w:val="auto"/>
        </w:rPr>
        <w:t>to lease and plant up to 1,280 acres of lemons over the next five years at the Cadiz Ranch operations in the Cadiz Valley and have leased 320 acres initially, subject to a mutually agreed upon planting schedule. The lease agreement provides options to plant up to 960 additional acres (320 acres in Option 1 and 640 acres in Option 2) by 2019. The annual rental payment includes a base rent of $200 per planted acre and a lease payment equal to 20% of net cash flow from the harvested crops grown on Cadiz Ranch. Pursuant to the terms of the lease agreement, the annual rental payment will not exceed a total of $1,200 per acre. We incurred approximately $0.1 million of lease expense in fiscal years 2018, 2017 and 2016, respectively.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we entered into a Modification of Lease Agreement (the “Amendment”) with Cadiz. The Amendment, among other things, increased by 200 acres the amount of property leased by our Company under the lease agreement dated July 1, 2013. In connection with the Amendment, we paid a total of $1.2 million to acquire existing lemon trees and irrigation systems from Cadiz and a Cadiz tenant. In February 2016, Cadiz assigned this lease to Fenner Valley Farms, LLC, a subsidiary of Water Asset Management, LLC (“WAM”).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machinery and equipment for our packing operations and other land for our agricultural operations under leases with annual lease commitments that are individually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 Activities, Capital Expenditures and Related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2015 (the “Transaction Date”), we entered into the Joint Venture with Lewis for the residential development of our East Area I real estate development project. To consummate the transaction, we formed Limoneira Lewis Community Builders, LLC (the "LLC" or “Joint Venture”) as the development entity, contributed our East Area I property to the Joint Venture and sold a 50% interest in the Joint Venture to Lewis for $20.0 million,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on the Transaction Date, the Joint Venture and Limoneira entered into a lease agreement (the "Lease Agreement"), pursuant to which the Joint Venture would lease certain of the contributed East Area I property back to Limoneira for continuation of agricultural operations, and certain other permitted uses, on the property until the Joint Venture required the property for development. Limoneira terminated this Lease Agreement pursuant to the terms therein during the first quarter of fiscal year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Limoneira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 In August 2018, the Retained Property was transferred back to Limoneira.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receive approximately $100.0 million from the Joint Venture over the estimated 7 to 10-year life of the project including $20.0 million received on the consummation of the Joint Venture. The Joint Venture partners will share in capital contributions to fund project costs until project loan proceeds and or revenues are sufficient to fund the project. These funding requirements are currently estimated to total $15.0 to $20.0 million for each Joint Venture partner in the first three to four years of the project. We funded $4.0 million in the first nine months of fiscal year 2019, $3.5 million in fiscal year 2018, $7.5 million in fiscal year 2017 and $2.3 million in fiscal year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and in Note 7 – Real Estate Development and Note 8 – Equity Investments in the Notes to Consolidated Financial Statements included in our fiscal year 2018 Annual Report on Form 10-K, we have investments in joint ventures and partnerships that are accounted for using the equity method of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PDA and San Pablo’s functional currency is the Chilean Peso. Our balance sheets are translated to U.S. dollars at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rates in effect at the balance sheet dates and their income statements are translated at average exchange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during the reporting period. The resulting foreign currency translation adjustments are recorded as a separate component of accumulated other comprehensive income.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On November 1, 2018, we adopted</w:t>
      </w:r>
      <w:r>
        <w:rPr>
          <w:rFonts w:ascii="Arial" w:cs="Arial" w:eastAsia="Arial" w:hAnsi="Arial"/>
          <w:sz w:val="17"/>
          <w:szCs w:val="17"/>
          <w:i w:val="1"/>
          <w:iCs w:val="1"/>
          <w:color w:val="auto"/>
        </w:rPr>
        <w:t xml:space="preserve"> FASB ASU 2014-09, Revenue from Contracts with Customers (Topic 606), </w:t>
      </w:r>
      <w:r>
        <w:rPr>
          <w:rFonts w:ascii="Arial" w:cs="Arial" w:eastAsia="Arial" w:hAnsi="Arial"/>
          <w:sz w:val="17"/>
          <w:szCs w:val="17"/>
          <w:color w:val="auto"/>
        </w:rPr>
        <w:t>that amends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the recognition of revenue from contracts with customers. The results for the reporting period beginning after November 1, 2018 are presented in accordance with the new standard which was adopted using the modified-retrospective method and applied to those contract that were not completed as of November 1, 2018. As a result, comparative information has not been restated and the results for the reporting periods before November 1, 2018 continue to be reported under the accounting standards and policies in effect for those periods.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 the appropriate method by which we recognize revenue by analyzing the nature of the products or services being provided as well as the terms and conditions of contracts or arrangements entered into with our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majority of our revenue at a point in time when it satisfies a performance obligation and transfers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Upon adoption, we changed the accounting of certain brokered fruit sales. Under previous guidance, we were considered an agent and recorded revenues for certain brokered fruit sales and the costs of such fruit on a net basis in its consolidated statement of operations. Under the new revenue recognition standard, we are considered a principal in the transaction and revenues are recorded on a gross basis in our consolidated statement of operations with the related cost of such fruit included in agribusiness costs and expenses. This change resulted in the recognition of additional agribusiness revenue and agribusiness costs and expenses of $1,781,000, respectively, during the three months ended July 31, 2019 and $2,201,000, respectively, during the nine months ended July 31, 2019. Had we used the previous revenue recognition guidance, we would have recorded insignificant net agribusiness revenue for the three and nine months ended July 31, 2019. No cumulative adjustment to retained earnings was necessary as there is no net effect of applying the standard.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Agribusiness revenue </w:t>
      </w:r>
      <w:r>
        <w:rPr>
          <w:rFonts w:ascii="Arial" w:cs="Arial" w:eastAsia="Arial" w:hAnsi="Arial"/>
          <w:sz w:val="18"/>
          <w:szCs w:val="18"/>
          <w:color w:val="auto"/>
        </w:rPr>
        <w:t>– Revenue from lemon sales is generally recognized at a point in time when the customer takes control of the fruit from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avocados, oranges, specialty citrus and other specialty crops are packed and sold by Calavo and other third-party packinghouses. We deliver all of our avocado production from our orchards to Calavo. These avocados are then packed by Calavo at its packinghouse and sold and distributed under Calavo brands to its customers primarily in the United States and Canada. Our Company’s arrangements with other third-party packinghouses related to its oranges, specialty citrus and other specialty crops are similar to our arrangement with Calavo. Our arrangements with our third-party packinghouses are such that we are the producer and supplier of the product and the third-party packinghouses are our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revenues we recognize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We control the product until it is delivered to the third-party packinghouses at which time control of the product is transferred to the third-party packinghouses and revenue 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p>
      <w:pPr>
        <w:jc w:val="both"/>
        <w:spacing w:after="0" w:line="279" w:lineRule="auto"/>
        <w:rPr>
          <w:sz w:val="20"/>
          <w:szCs w:val="20"/>
          <w:color w:val="auto"/>
        </w:rPr>
      </w:pPr>
      <w:r>
        <w:rPr>
          <w:rFonts w:ascii="Arial" w:cs="Arial" w:eastAsia="Arial" w:hAnsi="Arial"/>
          <w:sz w:val="17"/>
          <w:szCs w:val="17"/>
          <w:color w:val="auto"/>
        </w:rPr>
        <w:t>recognized. Such third-party packinghouse charges are recorded as a reduction of revenue as they are not for distinct services.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statements of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or harvest period. Calavo and other third-party packinghouses are agricultural cooperatives or function in a similar manner as an agricultural cooperative. We estimate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we have the present right to payment and Calavo and other third-party packinghouses have the present right to direct the use of, and obtain substantially all of the remaining benefits from, the delivered fruit. We do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 provided to the Company by Calavo and other third-party packinghouses at the time of delivery, have not materially differed from the actual amounts that are paid after the monthly or harvest period pools are closed.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entered into brokerage arrangements with third-party international packinghouses. In certain of these arrangements, we have the exclusive ability to direct the use of, and obtain substantially all of the remaining benefits from the fruit, and are therefore acting as a principal. As such, we record the related revenue and costs of the fruit gross in the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Rental Revenue </w:t>
      </w:r>
      <w:r>
        <w:rPr>
          <w:rFonts w:ascii="Arial" w:cs="Arial" w:eastAsia="Arial" w:hAnsi="Arial"/>
          <w:sz w:val="16"/>
          <w:szCs w:val="16"/>
          <w:color w:val="auto"/>
        </w:rPr>
        <w:t>– Minimum rental revenues are generally recognized on a straight-line basis over the respective initial lease term. Contingent rental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w:t>
      </w:r>
      <w:r>
        <w:rPr>
          <w:rFonts w:ascii="Arial" w:cs="Arial" w:eastAsia="Arial" w:hAnsi="Arial"/>
          <w:sz w:val="18"/>
          <w:szCs w:val="18"/>
          <w:color w:val="auto"/>
        </w:rPr>
        <w:t>– We recognize revenue on real estate development projects with customers at a point in time (i.e., the closing) when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satisfy the single performance obligation and transfers control of such real estate to a buyer. The transaction price, which is the amount of consideration we receive upon delivery of the completed real estate to the buyer, is allocated to this single obligation and is received at closing. Real estate development projects with non-customers are accounted for in accordance with ASC 610-20, </w:t>
      </w:r>
      <w:r>
        <w:rPr>
          <w:rFonts w:ascii="Arial" w:cs="Arial" w:eastAsia="Arial" w:hAnsi="Arial"/>
          <w:sz w:val="18"/>
          <w:szCs w:val="18"/>
          <w:i w:val="1"/>
          <w:iCs w:val="1"/>
          <w:color w:val="auto"/>
        </w:rPr>
        <w:t>Other Income - Gains and Losses from the Derecognition of Nonfinancial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Real Estate Development Costs </w:t>
      </w:r>
      <w:r>
        <w:rPr>
          <w:rFonts w:ascii="Arial" w:cs="Arial" w:eastAsia="Arial" w:hAnsi="Arial"/>
          <w:sz w:val="16"/>
          <w:szCs w:val="16"/>
          <w:color w:val="auto"/>
        </w:rPr>
        <w:t>– We capitalize the planning, entitlement, construction and development costs associated with our various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 For fiscal year 2018, we capitalized approximately $32.7 million of costs related to our real estate projects and expensed approximately $1.7 million of costs.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Financing and payment </w:t>
      </w:r>
      <w:r>
        <w:rPr>
          <w:rFonts w:ascii="Arial" w:cs="Arial" w:eastAsia="Arial" w:hAnsi="Arial"/>
          <w:sz w:val="16"/>
          <w:szCs w:val="16"/>
          <w:color w:val="auto"/>
        </w:rPr>
        <w:t>– Our payment terms vary by the type and location of our customer and the products or services offered. Payment terms differ by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 Taxes collected from customers and remitted to government authorities and that are related to the sales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products are excluded from revenues.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original expected lengths of one year or less or (ii) contracts for which we recognize revenue at the amount to which we have the right to invoice for the services performed.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The acquisition method requires identifiable assets acquired and liabilities assumed and any noncontrolling interest in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We use derivative financial instruments for purposes other than trading to manage our exposure to interest rates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to maintain an appropriate mix of fixed and floating-rate debt. Contract terms of our hedge instruments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we have not elected hedge accounting, are valued at fair value with unrealized gains or losses reported in earnings during the period of change.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We evaluate our long-lived assets including our real estate development projects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these assets may not be recoverable. As a result of various factors, in recent years, we recorded impairment charges of $1.6 million, $0.1 million and zero in fiscal years 2018, 2017 and 2016, respectively.</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frozen in June 2004, and no future benefits accrued to participants subsequent to that time. Ongoing accounting for this plan under FASB ASC 715 provides guidance as to, among other things, future estimated pension expense, pension liability and minimum funding requirements. This information is provided to us by third-party actuarial consultants. In developing this data, certain estimates and assumptions are used, including among other things, discount rate, long-term rate of return and mortality tables. During 2018, the Society of Actuaries (“SOA”) released a new mortality improvement scale table, referred to as MP-2018, which is believed to better reflect mortality improvements and is to be used in calculating defined benefit pension obligations. In addition, during fiscal year 2018, the assumed discount rate to measure the pension obligation increased to 4.4%. The Company used the latest mortality tables released by the SOA through October 31, 2018 to measure its pension obligation as of October 31, 2018 and combined with the assumed discount rate and other demographic assumptions, its pension liability decreased by approximately $1.5 million as of October 31, 2018. Further changes in any of these estimates could materially affect the amounts recorded that are related to our defined benefit retirement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2018 as filed with the Securities and Exchange Commission ("SEC") on January 14,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July 31, 2019, we carried out an evaluation, under the supervision and with the participation of our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covered by this Quarterly Report on Form 10-Q or, to our knowledge, in other factors that have materially affected, or are reasonably likely to materially affect, our internal control over financial reporting.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Acquisition of Trapani Fresh. </w:t>
      </w:r>
      <w:r>
        <w:rPr>
          <w:rFonts w:ascii="Arial" w:cs="Arial" w:eastAsia="Arial" w:hAnsi="Arial"/>
          <w:sz w:val="18"/>
          <w:szCs w:val="18"/>
          <w:color w:val="auto"/>
        </w:rPr>
        <w:t>We will exclude Trapani Fresh's operations from our management’s report on internal control over financial reporting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October 31, 2019 as we continue to evaluate its internal controls. This exclusion is in accordance with the general guidance issued by the Staff of the SEC that an assessment of a recent business combination may be omitted from management’s report on internal control over financial reporting in the first year of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disclosures discussed in the section entitled “Risk Factors” in Part I, Item 1A of our Annual Report on Form 10-K for the fiscal year ended October 31, 2018, as filed with the SEC on January 14,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860" w:type="dxa"/>
            <w:vAlign w:val="bottom"/>
            <w:gridSpan w:val="13"/>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7"/>
              </w:rPr>
            </w:pPr>
            <w:hyperlink r:id="rId16">
              <w:r>
                <w:rPr>
                  <w:rFonts w:ascii="Arial" w:cs="Arial" w:eastAsia="Arial" w:hAnsi="Arial"/>
                  <w:sz w:val="18"/>
                  <w:szCs w:val="18"/>
                  <w:color w:val="0000FF"/>
                  <w:w w:val="97"/>
                </w:rPr>
                <w:t>Restated Certificate of Incorporation of Limoneira Company, dated July 5, 1990 (Incorporated by reference to exhibit 3.1 to the</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93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46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Certificate of Merger of Limoneira Company and The Samuel Edwards Associates into Limoneira Company, dated October 31,</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1990 (Incorporated by reference to exhibit 3.2 to the Company’s Registration Statement on Form 10, and amendments thereto, declared</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w:t>
            </w:r>
          </w:p>
        </w:tc>
        <w:tc>
          <w:tcPr>
            <w:tcW w:w="9860" w:type="dxa"/>
            <w:vAlign w:val="bottom"/>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effective April 13, 2010 (File No. 000-53885))</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Certificate of Merger of McKevett Corporation into Limoneira Company dated December 31, 1994 (Incorporated by reference to</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exhibit 3.3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3.3</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6"/>
              </w:rPr>
            </w:pPr>
            <w:hyperlink r:id="rId19">
              <w:r>
                <w:rPr>
                  <w:rFonts w:ascii="Arial" w:cs="Arial" w:eastAsia="Arial" w:hAnsi="Arial"/>
                  <w:sz w:val="18"/>
                  <w:szCs w:val="18"/>
                  <w:color w:val="0000FF"/>
                  <w:w w:val="96"/>
                </w:rPr>
                <w:t>Agreement of Merger Between Ronald Michaelis Ranches, Inc. and Limoneira Company, dated June 24, 1997 (Incorporated by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reference to exhibit 3.6 to the Company’s Registration Statement on Form 10, and amendments thereto, declared effective April 13,</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3.4</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tcBorders>
              <w:bottom w:val="single" w:sz="8" w:color="0000FF"/>
            </w:tcBorders>
            <w:gridSpan w:val="13"/>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Certificate of Amendment of Certificate of Incorporation of Limoneira Company, dated April 22, 2003 (Incorporated by reference to</w:t>
              </w:r>
            </w:hyperlink>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exhibit 3.7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3.5</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Certificate of Amendment of Certificate of Incorporation of Limoneira Company, dated March 24, 2010 (Incorporated by reference to</w:t>
              </w:r>
            </w:hyperlink>
          </w:p>
        </w:tc>
      </w:tr>
      <w:tr>
        <w:trPr>
          <w:trHeight w:val="20"/>
        </w:trPr>
        <w:tc>
          <w:tcPr>
            <w:tcW w:w="114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exhibit 3.9 to the Company’s Registration Statement on Form 10, and amendments thereto, declared effective April 13, 2010 (File No.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3.6</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Certificate of Amendment of Certificate of Incorporation of Limoneira Company, dated March 29, 2017 (Incorporated by reference to</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3.7</w:t>
            </w:r>
          </w:p>
        </w:tc>
        <w:tc>
          <w:tcPr>
            <w:tcW w:w="7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exhibit 3.1 to the Company’s Current Report on Form 8-K, filed March 31, 2017 (File No. 001-34755))</w:t>
              </w:r>
            </w:hyperlink>
          </w:p>
        </w:tc>
        <w:tc>
          <w:tcPr>
            <w:tcW w:w="236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Amended and Restated Bylaws of Limoneira Company (Incorporated by reference to exhibit 3.10 to the Company’s Annual Report on</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w:t>
            </w:r>
          </w:p>
        </w:tc>
        <w:tc>
          <w:tcPr>
            <w:tcW w:w="9860" w:type="dxa"/>
            <w:vAlign w:val="bottom"/>
            <w:gridSpan w:val="13"/>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Form 10-K, filed January 14, 2013 (File No. 001-34755))</w:t>
              </w:r>
            </w:hyperlink>
          </w:p>
        </w:tc>
      </w:tr>
      <w:tr>
        <w:trPr>
          <w:trHeight w:val="20"/>
        </w:trPr>
        <w:tc>
          <w:tcPr>
            <w:tcW w:w="114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4">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3.8.1</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Current Report on Form 8-K, filed September 25, 2013 (File No. 001-34755))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5">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3.8.2</w:t>
            </w:r>
          </w:p>
        </w:tc>
        <w:tc>
          <w:tcPr>
            <w:tcW w:w="56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Current Report on Form 8-K, filed December 18, 2014 (File No. 001-34755))</w:t>
              </w:r>
            </w:hyperlink>
          </w:p>
        </w:tc>
        <w:tc>
          <w:tcPr>
            <w:tcW w:w="420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3.8.3</w:t>
            </w:r>
          </w:p>
        </w:tc>
        <w:tc>
          <w:tcPr>
            <w:tcW w:w="5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Current Report on Form 8-K, filed January 25, 2017 (File No. 001-34755))</w:t>
              </w:r>
            </w:hyperlink>
          </w:p>
        </w:tc>
        <w:tc>
          <w:tcPr>
            <w:tcW w:w="440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Amendment to Amended and Restated Bylaws of Limoneira Company (Incorporated by reference to exhibit 3.1 to the Company’s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3.8.4</w:t>
            </w:r>
          </w:p>
        </w:tc>
        <w:tc>
          <w:tcPr>
            <w:tcW w:w="51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Current Report on Form 8-K, filed July 26, 2017 (File No. 001-34755))</w:t>
              </w:r>
            </w:hyperlink>
          </w:p>
        </w:tc>
        <w:tc>
          <w:tcPr>
            <w:tcW w:w="466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12"/>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 xml:space="preserve">Specimen Certificate representing shares of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0.01 per share (Incorporated by reference to exhibit 4.1 to the</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4.1</w:t>
            </w:r>
          </w:p>
        </w:tc>
        <w:tc>
          <w:tcPr>
            <w:tcW w:w="93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500" w:type="dxa"/>
            <w:vAlign w:val="bottom"/>
            <w:gridSpan w:val="3"/>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Rights Agreement dated December 20, 2006 between Limoneira Company and The Bank of New York, as Rights Agent (Incorporated</w:t>
              </w:r>
            </w:hyperlink>
          </w:p>
        </w:tc>
      </w:tr>
      <w:tr>
        <w:trPr>
          <w:trHeight w:val="20"/>
        </w:trPr>
        <w:tc>
          <w:tcPr>
            <w:tcW w:w="114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by reference to exhibit 4.2 to the Company’s Registration Statement on Form 10, and amendments thereto, declared effective April 13,</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4.2</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FF"/>
                <w:w w:val="98"/>
              </w:rPr>
            </w:pPr>
            <w:hyperlink r:id="rId30">
              <w:r>
                <w:rPr>
                  <w:rFonts w:ascii="Arial" w:cs="Arial" w:eastAsia="Arial" w:hAnsi="Arial"/>
                  <w:sz w:val="18"/>
                  <w:szCs w:val="18"/>
                  <w:color w:val="0000FF"/>
                  <w:w w:val="98"/>
                </w:rPr>
                <w:t xml:space="preserve">Certificate of Designation, Preferences and Rights of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 xml:space="preserve">8.75 Voting Preferred Stock,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100.00 Par Value, Series B of Limoneira</w:t>
              </w:r>
            </w:hyperlink>
          </w:p>
        </w:tc>
      </w:tr>
      <w:tr>
        <w:trPr>
          <w:trHeight w:val="20"/>
        </w:trPr>
        <w:tc>
          <w:tcPr>
            <w:tcW w:w="114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60" w:type="dxa"/>
            <w:vAlign w:val="bottom"/>
            <w:gridSpan w:val="13"/>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Company, dated May 21, 1997 (Incorporated by reference to exhibit 3.4 to the Company’s Registration Statement on Form 10, and</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4.3</w:t>
            </w:r>
          </w:p>
        </w:tc>
        <w:tc>
          <w:tcPr>
            <w:tcW w:w="98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amendments thereto, declared effective April 13, 2010 (File No. 000-53885))</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368" w:right="6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000"/>
          </w:cols>
          <w:pgMar w:left="240" w:top="368" w:right="65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860" w:type="dxa"/>
            <w:vAlign w:val="bottom"/>
            <w:gridSpan w:val="9"/>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 xml:space="preserve">Amended Certificate of Designation, Preferences and Rights of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8.75 Voting Preferred Stock,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100.00 Par Value, Series B of Limoneira</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Company, dated May 21, 1997 (Incorporated by reference to exhibit 3.5 to the Company’s Registration Statement on Form 10, and</w:t>
              </w:r>
            </w:hyperlink>
          </w:p>
        </w:tc>
        <w:tc>
          <w:tcPr>
            <w:tcW w:w="20" w:type="dxa"/>
            <w:vAlign w:val="bottom"/>
          </w:tcPr>
          <w:p>
            <w:pPr>
              <w:spacing w:after="0"/>
              <w:rPr>
                <w:sz w:val="17"/>
                <w:szCs w:val="17"/>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4.4</w:t>
            </w:r>
          </w:p>
        </w:tc>
        <w:tc>
          <w:tcPr>
            <w:tcW w:w="9860" w:type="dxa"/>
            <w:vAlign w:val="bottom"/>
            <w:gridSpan w:val="9"/>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amendments thereto, declared effective April 13, 2010 (File No. 000-53885))</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8"/>
          </w:tcPr>
          <w:p>
            <w:pPr>
              <w:spacing w:after="0"/>
              <w:rPr>
                <w:rFonts w:ascii="Arial" w:cs="Arial" w:eastAsia="Arial" w:hAnsi="Arial"/>
                <w:sz w:val="18"/>
                <w:szCs w:val="18"/>
                <w:color w:val="0000FF"/>
                <w:w w:val="96"/>
              </w:rPr>
            </w:pPr>
            <w:hyperlink r:id="rId32">
              <w:r>
                <w:rPr>
                  <w:rFonts w:ascii="Arial" w:cs="Arial" w:eastAsia="Arial" w:hAnsi="Arial"/>
                  <w:sz w:val="18"/>
                  <w:szCs w:val="18"/>
                  <w:color w:val="0000FF"/>
                  <w:w w:val="96"/>
                </w:rPr>
                <w:t>Certificate of Designation, Preferences and Rights of Series A Junior Participating Preferred Stock, $.01 Par Value, of Limoneira</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Company, dated November 21, 2006 (Incorporated by reference to exhibit 3.8 to the Company’s Registration Statement on Form 10,</w:t>
              </w:r>
            </w:hyperlink>
          </w:p>
        </w:tc>
        <w:tc>
          <w:tcPr>
            <w:tcW w:w="20" w:type="dxa"/>
            <w:vAlign w:val="bottom"/>
          </w:tcPr>
          <w:p>
            <w:pPr>
              <w:spacing w:after="0"/>
              <w:rPr>
                <w:sz w:val="17"/>
                <w:szCs w:val="17"/>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4.5</w:t>
            </w:r>
          </w:p>
        </w:tc>
        <w:tc>
          <w:tcPr>
            <w:tcW w:w="58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and amendments thereto, declared effective April 13, 2010 (File No. 000-53885))</w:t>
              </w:r>
            </w:hyperlink>
          </w:p>
        </w:tc>
        <w:tc>
          <w:tcPr>
            <w:tcW w:w="3980" w:type="dxa"/>
            <w:vAlign w:val="bottom"/>
            <w:gridSpan w:val="5"/>
          </w:tcPr>
          <w:p>
            <w:pPr>
              <w:spacing w:after="0"/>
              <w:rPr>
                <w:sz w:val="17"/>
                <w:szCs w:val="17"/>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8"/>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 xml:space="preserve">Certificate of Designation, Preferences and Rights of 4% Voting Preferred Stock,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100.00 Par Value, Series B-2 of Limoneira Company,</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dated March 20, 2014 (Incorporated by reference to exhibit 3.1 to the Company’s Current Report on Form 8-K, filed March 24, 2014</w:t>
              </w:r>
            </w:hyperlink>
          </w:p>
        </w:tc>
        <w:tc>
          <w:tcPr>
            <w:tcW w:w="20" w:type="dxa"/>
            <w:vAlign w:val="bottom"/>
          </w:tcPr>
          <w:p>
            <w:pPr>
              <w:spacing w:after="0"/>
              <w:rPr>
                <w:sz w:val="17"/>
                <w:szCs w:val="17"/>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4.6</w:t>
            </w:r>
          </w:p>
        </w:tc>
        <w:tc>
          <w:tcPr>
            <w:tcW w:w="16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(File No. 001-34755))</w:t>
              </w:r>
            </w:hyperlink>
          </w:p>
        </w:tc>
        <w:tc>
          <w:tcPr>
            <w:tcW w:w="8260" w:type="dxa"/>
            <w:vAlign w:val="bottom"/>
            <w:gridSpan w:val="7"/>
          </w:tcPr>
          <w:p>
            <w:pPr>
              <w:spacing w:after="0"/>
              <w:rPr>
                <w:sz w:val="17"/>
                <w:szCs w:val="17"/>
                <w:color w:val="auto"/>
              </w:rPr>
            </w:pPr>
          </w:p>
        </w:tc>
      </w:tr>
      <w:tr>
        <w:trPr>
          <w:trHeight w:val="520"/>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75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Certification of the Principal Executive Officer pursuant to Exchange Act Rule 13a-14(a) and 15d-14(a)</w:t>
              </w:r>
            </w:hyperlink>
          </w:p>
        </w:tc>
        <w:tc>
          <w:tcPr>
            <w:tcW w:w="2360" w:type="dxa"/>
            <w:vAlign w:val="bottom"/>
            <w:gridSpan w:val="3"/>
          </w:tcPr>
          <w:p>
            <w:pPr>
              <w:spacing w:after="0"/>
              <w:rPr>
                <w:sz w:val="24"/>
                <w:szCs w:val="24"/>
                <w:color w:val="auto"/>
              </w:rPr>
            </w:pPr>
          </w:p>
        </w:tc>
      </w:tr>
      <w:tr>
        <w:trPr>
          <w:trHeight w:val="520"/>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9860" w:type="dxa"/>
            <w:vAlign w:val="bottom"/>
            <w:gridSpan w:val="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of the Principal Financial Officer pursuant to Exchange Act Rule 13a-14(a) and 15d-14(a)</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100" w:type="dxa"/>
            <w:vAlign w:val="bottom"/>
            <w:gridSpan w:val="4"/>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Certification of the Principal Executive Officer pursuant to 18 U.S.C. Section 1350, as adopted pursuant to Section 906 of the Sarbanes-</w:t>
              </w:r>
            </w:hyperlink>
          </w:p>
        </w:tc>
        <w:tc>
          <w:tcPr>
            <w:tcW w:w="20" w:type="dxa"/>
            <w:vAlign w:val="bottom"/>
          </w:tcPr>
          <w:p>
            <w:pPr>
              <w:spacing w:after="0"/>
              <w:rPr>
                <w:sz w:val="24"/>
                <w:szCs w:val="24"/>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9860" w:type="dxa"/>
            <w:vAlign w:val="bottom"/>
            <w:gridSpan w:val="9"/>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Oxley Act of 2002</w:t>
              </w:r>
            </w:hyperlink>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9860" w:type="dxa"/>
            <w:vAlign w:val="bottom"/>
            <w:gridSpan w:val="9"/>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the Principal Financial Officer pursuant to 18 U.S.C. Section 1350, as adopted pursuant to Section 906 of the Sarbanes-</w:t>
              </w:r>
            </w:hyperlink>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32.2*</w:t>
            </w:r>
          </w:p>
        </w:tc>
        <w:tc>
          <w:tcPr>
            <w:tcW w:w="982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Oxley Act of 2002</w:t>
              </w:r>
            </w:hyperlink>
          </w:p>
        </w:tc>
        <w:tc>
          <w:tcPr>
            <w:tcW w:w="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520" w:type="dxa"/>
            <w:vAlign w:val="bottom"/>
            <w:gridSpan w:val="8"/>
          </w:tcPr>
          <w:p>
            <w:pPr>
              <w:spacing w:after="0" w:line="20" w:lineRule="exact"/>
              <w:rPr>
                <w:sz w:val="1"/>
                <w:szCs w:val="1"/>
                <w:color w:val="auto"/>
              </w:rPr>
            </w:pPr>
          </w:p>
        </w:tc>
      </w:tr>
      <w:tr>
        <w:trPr>
          <w:trHeight w:val="561"/>
        </w:trPr>
        <w:tc>
          <w:tcPr>
            <w:tcW w:w="1140" w:type="dxa"/>
            <w:vAlign w:val="bottom"/>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140" w:type="dxa"/>
            <w:vAlign w:val="bottom"/>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1140" w:hanging="44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33" w:lineRule="exact"/>
        <w:rPr>
          <w:rFonts w:ascii="Arial" w:cs="Arial" w:eastAsia="Arial" w:hAnsi="Arial"/>
          <w:sz w:val="18"/>
          <w:szCs w:val="18"/>
          <w:color w:val="auto"/>
        </w:rPr>
      </w:pPr>
    </w:p>
    <w:p>
      <w:pPr>
        <w:jc w:val="both"/>
        <w:ind w:left="1140"/>
        <w:spacing w:after="0" w:line="255"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240" w:top="526" w:right="6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LIMONEIRA COMPANY</w:t>
      </w:r>
    </w:p>
    <w:p>
      <w:pPr>
        <w:spacing w:after="0" w:line="333" w:lineRule="exact"/>
        <w:rPr>
          <w:sz w:val="20"/>
          <w:szCs w:val="20"/>
          <w:color w:val="auto"/>
        </w:rPr>
      </w:pPr>
    </w:p>
    <w:p>
      <w:pPr>
        <w:ind w:left="40"/>
        <w:spacing w:after="0"/>
        <w:tabs>
          <w:tab w:leader="none" w:pos="5400" w:val="left"/>
          <w:tab w:leader="none" w:pos="596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5400" w:val="left"/>
          <w:tab w:leader="none" w:pos="596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Treasurer and Corporate Secretary</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2"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460" w:hanging="438"/>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 w:hanging="438"/>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92075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460" w:hanging="438"/>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 w:hanging="438"/>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92075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July 31, 2019 (the “Report”) of Limoneira Company (the “Registrant”), as filed with the Securities and Exchange Commission on the date hereof, I, Harold S. Edwards, hereby certify that:</w:t>
      </w:r>
    </w:p>
    <w:p>
      <w:pPr>
        <w:spacing w:after="0" w:line="35"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92075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July 31, 2019 (the “Report”) of Limoneira Company (the “Registrant”), as filed with the Securities and Exchange Commission on the date hereof, I, Mark Palamountain, hereby certify that:</w:t>
      </w:r>
    </w:p>
    <w:p>
      <w:pPr>
        <w:spacing w:after="0" w:line="35" w:lineRule="exact"/>
        <w:rPr>
          <w:sz w:val="20"/>
          <w:szCs w:val="20"/>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September 9, 2019</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92075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5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lowerLetter"/>
      <w:start w:val="2"/>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decimal"/>
      <w:start w:val="3"/>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16" Type="http://schemas.openxmlformats.org/officeDocument/2006/relationships/hyperlink" Target="http://www.sec.gov/Archives/edgar/data/1342423/000114420410007241/v173157_ex3-1.htm" TargetMode="External"/><Relationship Id="rId17" Type="http://schemas.openxmlformats.org/officeDocument/2006/relationships/hyperlink" Target="http://www.sec.gov/Archives/edgar/data/1342423/000114420410007241/v173157_ex3-2.htm" TargetMode="External"/><Relationship Id="rId18" Type="http://schemas.openxmlformats.org/officeDocument/2006/relationships/hyperlink" Target="http://www.sec.gov/Archives/edgar/data/1342423/000114420410007241/v173157_ex3-3.htm" TargetMode="External"/><Relationship Id="rId19" Type="http://schemas.openxmlformats.org/officeDocument/2006/relationships/hyperlink" Target="http://www.sec.gov/Archives/edgar/data/1342423/000114420410007241/v173157_ex3-6.htm" TargetMode="External"/><Relationship Id="rId20" Type="http://schemas.openxmlformats.org/officeDocument/2006/relationships/hyperlink" Target="http://www.sec.gov/Archives/edgar/data/1342423/000114420410007241/v173157_ex3-7.htm" TargetMode="External"/><Relationship Id="rId21" Type="http://schemas.openxmlformats.org/officeDocument/2006/relationships/hyperlink" Target="http://www.sec.gov/Archives/edgar/data/1342423/000114420410017415/v178900_ex3-9.htm" TargetMode="External"/><Relationship Id="rId22" Type="http://schemas.openxmlformats.org/officeDocument/2006/relationships/hyperlink" Target="http://www.sec.gov/Archives/edgar/data/1342423/000114420417018212/v463210_ex3-1.htm" TargetMode="External"/><Relationship Id="rId23" Type="http://schemas.openxmlformats.org/officeDocument/2006/relationships/hyperlink" Target="http://www.sec.gov/Archives/edgar/data/1342423/000114420413002202/v330368_ex3-10.htm" TargetMode="External"/><Relationship Id="rId24" Type="http://schemas.openxmlformats.org/officeDocument/2006/relationships/hyperlink" Target="http://www.sec.gov/Archives/edgar/data/1342423/000114420413052234/v354983_ex3-1.htm" TargetMode="External"/><Relationship Id="rId25" Type="http://schemas.openxmlformats.org/officeDocument/2006/relationships/hyperlink" Target="http://www.sec.gov/Archives/edgar/data/1342423/000114420414074732/v396904_ex3-1.htm" TargetMode="External"/><Relationship Id="rId26" Type="http://schemas.openxmlformats.org/officeDocument/2006/relationships/hyperlink" Target="http://www.sec.gov/Archives/edgar/data/1342423/000114420417003812/v457525_ex3-1.htm" TargetMode="External"/><Relationship Id="rId27" Type="http://schemas.openxmlformats.org/officeDocument/2006/relationships/hyperlink" Target="http://www.sec.gov/Archives/edgar/data/1342423/000114420417038316/v471546_ex3-1.htm" TargetMode="External"/><Relationship Id="rId28" Type="http://schemas.openxmlformats.org/officeDocument/2006/relationships/hyperlink" Target="http://www.sec.gov/Archives/edgar/data/1342423/000114420410007241/v173157_ex4-1.htm" TargetMode="External"/><Relationship Id="rId29" Type="http://schemas.openxmlformats.org/officeDocument/2006/relationships/hyperlink" Target="http://www.sec.gov/Archives/edgar/data/1342423/000114420410007241/v173157_ex4-2.htm" TargetMode="External"/><Relationship Id="rId30" Type="http://schemas.openxmlformats.org/officeDocument/2006/relationships/hyperlink" Target="http://www.sec.gov/Archives/edgar/data/1342423/000114420410007241/v173157_ex3-4.htm" TargetMode="External"/><Relationship Id="rId31" Type="http://schemas.openxmlformats.org/officeDocument/2006/relationships/hyperlink" Target="http://www.sec.gov/Archives/edgar/data/1342423/000114420410007241/v173157_ex3-5.htm" TargetMode="External"/><Relationship Id="rId32" Type="http://schemas.openxmlformats.org/officeDocument/2006/relationships/hyperlink" Target="http://www.sec.gov/Archives/edgar/data/1342423/000114420410007241/v173157_ex3-8.htm" TargetMode="External"/><Relationship Id="rId33" Type="http://schemas.openxmlformats.org/officeDocument/2006/relationships/hyperlink" Target="http://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2019-12-28T06:31:38Z</dcterms:created>
  <dcterms:modified xsi:type="dcterms:W3CDTF">2019-12-28T06:31:38Z</dcterms:modified>
</cp:coreProperties>
</file>