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33020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-172085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98" w:lineRule="exact"/>
        <w:rPr>
          <w:sz w:val="24"/>
          <w:szCs w:val="24"/>
          <w:color w:val="auto"/>
        </w:rPr>
      </w:pPr>
    </w:p>
    <w:p>
      <w:pPr>
        <w:ind w:left="3740" w:right="3020" w:hanging="3714"/>
        <w:spacing w:after="0" w:line="336" w:lineRule="auto"/>
        <w:tabs>
          <w:tab w:leader="none" w:pos="30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25"/>
          <w:szCs w:val="25"/>
          <w:b w:val="1"/>
          <w:bCs w:val="1"/>
          <w:color w:val="auto"/>
        </w:rPr>
        <w:t>October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001-34755</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-289560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5" w:lineRule="exact"/>
        <w:rPr>
          <w:sz w:val="24"/>
          <w:szCs w:val="24"/>
          <w:color w:val="auto"/>
        </w:rPr>
      </w:pPr>
    </w:p>
    <w:p>
      <w:pPr>
        <w:ind w:left="2480"/>
        <w:spacing w:after="0"/>
        <w:tabs>
          <w:tab w:leader="none" w:pos="80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77-0260692</w:t>
      </w:r>
    </w:p>
    <w:p>
      <w:pPr>
        <w:spacing w:after="0" w:line="34" w:lineRule="exact"/>
        <w:rPr>
          <w:sz w:val="24"/>
          <w:szCs w:val="24"/>
          <w:color w:val="auto"/>
        </w:rPr>
      </w:pPr>
    </w:p>
    <w:p>
      <w:pPr>
        <w:ind w:left="880"/>
        <w:spacing w:after="0"/>
        <w:tabs>
          <w:tab w:leader="none" w:pos="7080" w:val="left"/>
        </w:tabs>
        <w:rPr>
          <w:sz w:val="20"/>
          <w:szCs w:val="20"/>
          <w:color w:val="auto"/>
        </w:rPr>
      </w:pPr>
      <w:r>
        <w:rPr>
          <w:rFonts w:ascii="Times New Roman" w:cs="Times New Roman" w:eastAsia="Times New Roman" w:hAnsi="Times New Roman"/>
          <w:sz w:val="16"/>
          <w:szCs w:val="16"/>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Number)</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1141 Cummings Road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Paula, CA 93060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525-5541</w:t>
      </w:r>
    </w:p>
    <w:p>
      <w:pPr>
        <w:spacing w:after="0" w:line="11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40" w:type="dxa"/>
            <w:vAlign w:val="bottom"/>
            <w:gridSpan w:val="5"/>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Pr>
          <w:p>
            <w:pPr>
              <w:spacing w:after="0"/>
              <w:rPr>
                <w:sz w:val="18"/>
                <w:szCs w:val="18"/>
                <w:color w:val="auto"/>
              </w:rPr>
            </w:pPr>
          </w:p>
        </w:tc>
        <w:tc>
          <w:tcPr>
            <w:tcW w:w="336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w w:val="99"/>
              </w:rPr>
              <w:t>Trading symbol</w:t>
            </w:r>
          </w:p>
        </w:tc>
        <w:tc>
          <w:tcPr>
            <w:tcW w:w="368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 par value $0.01</w:t>
            </w:r>
          </w:p>
        </w:tc>
        <w:tc>
          <w:tcPr>
            <w:tcW w:w="1580" w:type="dxa"/>
            <w:vAlign w:val="bottom"/>
          </w:tcPr>
          <w:p>
            <w:pPr>
              <w:spacing w:after="0"/>
              <w:rPr>
                <w:sz w:val="15"/>
                <w:szCs w:val="15"/>
                <w:color w:val="auto"/>
              </w:rPr>
            </w:pPr>
          </w:p>
        </w:tc>
        <w:tc>
          <w:tcPr>
            <w:tcW w:w="17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LMNR</w:t>
            </w:r>
          </w:p>
        </w:tc>
        <w:tc>
          <w:tcPr>
            <w:tcW w:w="680" w:type="dxa"/>
            <w:vAlign w:val="bottom"/>
          </w:tcPr>
          <w:p>
            <w:pPr>
              <w:spacing w:after="0"/>
              <w:rPr>
                <w:sz w:val="15"/>
                <w:szCs w:val="15"/>
                <w:color w:val="auto"/>
              </w:rPr>
            </w:pPr>
          </w:p>
        </w:tc>
        <w:tc>
          <w:tcPr>
            <w:tcW w:w="3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83" w:lineRule="exact"/>
        <w:rPr>
          <w:sz w:val="24"/>
          <w:szCs w:val="24"/>
          <w:color w:val="auto"/>
        </w:rPr>
      </w:pPr>
    </w:p>
    <w:p>
      <w:pPr>
        <w:ind w:left="660" w:right="1900"/>
        <w:spacing w:after="0" w:line="28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jc w:val="both"/>
        <w:ind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2"/>
        </w:trPr>
        <w:tc>
          <w:tcPr>
            <w:tcW w:w="21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2200" w:type="dxa"/>
            <w:vAlign w:val="bottom"/>
            <w:vMerge w:val="restart"/>
          </w:tcPr>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440" w:type="dxa"/>
            <w:vAlign w:val="bottom"/>
            <w:vMerge w:val="restart"/>
          </w:tcPr>
          <w:p>
            <w:pPr>
              <w:ind w:left="4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21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Smaller reporting</w:t>
            </w:r>
          </w:p>
        </w:tc>
        <w:tc>
          <w:tcPr>
            <w:tcW w:w="170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color w:val="auto"/>
              </w:rPr>
              <w:t>Emerging growth</w:t>
            </w: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2140" w:type="dxa"/>
            <w:vAlign w:val="bottom"/>
          </w:tcPr>
          <w:p>
            <w:pPr>
              <w:jc w:val="center"/>
              <w:ind w:right="3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1700" w:type="dxa"/>
            <w:vAlign w:val="bottom"/>
          </w:tcPr>
          <w:p>
            <w:pPr>
              <w:jc w:val="center"/>
              <w:ind w:left="47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right="2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2"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s executive officers during the relevant recovery period pursuant to §240.10D-1(b). </w:t>
      </w:r>
      <w:r>
        <w:rPr>
          <w:rFonts w:ascii="MS PGothic" w:cs="MS PGothic" w:eastAsia="MS PGothic" w:hAnsi="MS PGothic"/>
          <w:sz w:val="16"/>
          <w:szCs w:val="16"/>
          <w:color w:val="auto"/>
        </w:rPr>
        <w:t>☐</w:t>
      </w:r>
    </w:p>
    <w:p>
      <w:pPr>
        <w:spacing w:after="0" w:line="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closing price as reported on the NASDAQ Global Market, the aggregate market value of the registrant’s Common Stock held by non-affiliates on April 30, 2025 (the last business day of the registrant’s most recently completed second fiscal quarter) was approximately $245.6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2025 was 18,119,117.</w:t>
      </w:r>
    </w:p>
    <w:p>
      <w:pPr>
        <w:spacing w:after="0" w:line="7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for the 2026 Annual Meeting of Stockholders, which we intend to hold on March 25, 2026, are incorporated by reference into Part III of this Annual Report on Form 10-K. The definitive Proxy Statement will be filed within 120 days after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center"/>
              <w:ind w:right="1560"/>
              <w:spacing w:after="0"/>
              <w:rPr>
                <w:sz w:val="20"/>
                <w:szCs w:val="20"/>
                <w:color w:val="auto"/>
              </w:rPr>
            </w:pPr>
            <w:r>
              <w:rPr>
                <w:rFonts w:ascii="Times New Roman" w:cs="Times New Roman" w:eastAsia="Times New Roman" w:hAnsi="Times New Roman"/>
                <w:sz w:val="22"/>
                <w:szCs w:val="22"/>
                <w:b w:val="1"/>
                <w:bCs w:val="1"/>
                <w:color w:val="auto"/>
                <w:w w:val="97"/>
              </w:rPr>
              <w:t>LIMONEIRA COMPANY</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87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020" w:type="dxa"/>
            <w:vAlign w:val="bottom"/>
            <w:gridSpan w:val="19"/>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1C. Cybersecurity</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6940" w:type="dxa"/>
            <w:vAlign w:val="bottom"/>
            <w:gridSpan w:val="18"/>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87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3620" w:type="dxa"/>
            <w:vAlign w:val="bottom"/>
            <w:gridSpan w:val="6"/>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620" w:type="dxa"/>
            <w:vAlign w:val="bottom"/>
            <w:gridSpan w:val="6"/>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1580" w:type="dxa"/>
            <w:vAlign w:val="bottom"/>
            <w:gridSpan w:val="2"/>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1580" w:type="dxa"/>
            <w:vAlign w:val="bottom"/>
            <w:gridSpan w:val="2"/>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87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2580" w:type="dxa"/>
            <w:vAlign w:val="bottom"/>
            <w:gridSpan w:val="4"/>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87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16. Form 10-K Summary</w:t>
            </w:r>
          </w:p>
        </w:tc>
        <w:tc>
          <w:tcPr>
            <w:tcW w:w="6420" w:type="dxa"/>
            <w:vAlign w:val="bottom"/>
            <w:gridSpan w:val="15"/>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7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r>
      <w:tr>
        <w:trPr>
          <w:trHeight w:val="871"/>
        </w:trPr>
        <w:tc>
          <w:tcPr>
            <w:tcW w:w="4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600" w:type="dxa"/>
            <w:vAlign w:val="bottom"/>
            <w:gridSpan w:val="18"/>
          </w:tcPr>
          <w:p>
            <w:pPr>
              <w:jc w:val="center"/>
              <w:ind w:left="4270"/>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“might,” “will,” “would,” “should,” “expect,” “plan,” “anticipate,” “could,” “intend,” “target,” “project,” “contemplate,” “believe,” “estimate,” “predict,” “likely,” “potential”, “remain” or “continue” or other words or expressions of similar meaning. We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risks and uncertainties that could cause our actual financial condition, results of operations and future performance to differ materially from those expressed or implied in this Annual Report include, but are not limited to:</w:t>
      </w:r>
    </w:p>
    <w:p>
      <w:pPr>
        <w:spacing w:after="0" w:line="9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executing the Company’s business plans and strategies, including the merger of the Company’s citrus sales and marketing operations into Sunkist Growers, Inc. and managing the risks involved in the foregoing;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crop disease, insects and other pests;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supply and pricing;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 to industry volume pressures;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pay debt obligations;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debt covenants under our loan agreements or obtain modifications, waivers or deferrals of such covenants;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impact of inflation;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land development activities;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land 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pricing risks due to concentrated ownership of stock;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We urge you to carefully review this Annual Report, particularly the section entitled “Risk Factors,” for a complete discussion of the risks of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Annual Report mean Limoneira Company, a Delaware corporation, and its consolidated subsidiaries.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at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 The contents of our website referred to above are not incorporated into this Annual Report. Further, any references to our website are intended to be interactive textual references only.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primarily an agribusiness company founded and based in Santa Paula, California, committed to responsibly using and managing our approximately 10,500 acres of land, water resources and other assets to maximize long-term stockholder value. Our operations consist of fruit production, sales and marketing, rental operations, real estate and capital investment activities.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Agribusiness activities are performed through these four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057775" cy="84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5777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California’s oldest citrus growers and according to the California Avocado Commission, we are one of the largest growers of avocados in the United States. In addition to growing lemons and avocados, we grow oranges and wine grapes. We have agricultural plantings throughout Ventura and San Luis Obispo Counties in California, Yuma County in Arizona, La Serena, Chile and Jujuy, Argentina, which collectively consist of approximately 3,100 acres of lemons, 1,500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two real estate development projects in California. These projects include multi-family housing, single-family homes and apartments of approximately 800 units in various stages of planning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Fiscal Year 2025 Highlights and 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we completed three separate sale transactions of Santa Paula Basin water pumping rights at a selling price of $30,000 per acre-foot, totaling $1.7 million and recorded a gain on sales of water rights of $1.5 million.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2025, we received a notice of termination from PGIM Real Estate Finance, LLC (“PGIM”) regarding The Farm Management Agreement (“FMA”) dated January 31, 2023. The FMA was terminated effective March 31, 2025. Under the FMA, we provided farming, management and operations related to the 3,537 acres in Tulare County, California (the “Northern Properties”), which we previously sold to PGIM.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2025, we announced that our Board of Directors approved a share repurchase program authorizing us to repurchase up to $30.0 million in shares of our outstanding common stock. The share repurchase program may be modified, suspended or discontinued at any time and does not commit us to repurchase any shares.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2025, we announced that we formally concluded our process to explore potential strategic alternatives that we previously announced on December 1, 2023. While this formal exploration process has concluded, we remain committed to executing our comprehensive strategic roadmap to create long-term stockholder value. As part of our normal course of business, we will continue to be opportunistic in evaluating potential strategic merger and acquisition opportunities, while also advancing our initiatives to monetize non-core assets.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announced that we are entering into a letter of intent to form a 50%/50% joint venture with Agromin Corporation, the largest organics waste recycler in California, to significantly expand Agromin Corporation’s successful organic waste recycling program. The joint venture plans to expand from the existing 15-acre green waste composting facility at Limoneira Ranch in Santa Paula into a 70-acre, commercial-scale composting facility capable of processing green waste and food waste. We expect to enter into the joint venture and begin construction in fiscal year 2026.</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2025, we announced that we received a cash distribution of $10.0 million representing our share of a $20.0 million cash distribution from our real estate joint venture, Harvest at Limoneira, with the Lewis Group of Companies (“Lewis”).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2025, we entered into a Commercial Packinghouse License Agreement with Sunkist Growers, Inc., a nonprofit marketing cooperative (“Sunkist”), effective as of November 1, 2025. The agreement permits us to grade, label, pack, prepare for marketing by Sunkist and ship Sunkist grower fruit, and to use Sunkist trademarks in these activities. The agreement has an initial term of three years with automatic one-year extensions. In relation to our decision to merge our sales and marketing operations into Sunkist, we incurred cash and stock compensation severance expenses of approximately $0.7 million in the fourth quarter of fiscal year 2025.</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26, 2025, we entered into a Master Loan Agreement (the “MLA”) with AgWest Farm Credit, PCA (the “Lender”), dated June 26, 2025, together with a revolving credit facility supplement (the “Revolving Credit Supplement”) and a non-revolving credit facility supplement (the “Non-Revolving Credit Supplement” and together with the Revolving Credit Supplement, the “Supplements”). The MLA amends and restates the previous Master Loan Agreement between us and the Lender and extends the principal repayment to July 1, 2030.</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the General Partner of Limco Del Mar, Ltd. (“Del Mar”), a California partnership that produces lemons and avocados and operates certain real property known as the Limco Del Mar ranch. To enable us to determine the strategy for Del Mar to enhance long term financial returns and to provide liquidity for limited partners, on March 21, 2025, we made an offer to purchase up to 224,859 limited partnership units of Del Mar from the limited partners (the “Offer”). On August 4, 2025, we closed the Offer and purchased 80,608 limited partnership units from 78 limited partners at a price of $70 per unit for approximately $5.6 million (the “Purchase”). The Purchase increased our ownership from 28.8% to 54.5% and we recognized a gain of approximately $2.9 million. As a result of obtaining a controlling interest, Del Mar transitioned from an equity method investment to a consolidated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9, 2025, we announced a plan to explore providing housing on the Limco Del Mar ranch to address Ventura County’s housing needs.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13, 2025, we terminated the Grower Packing and Marketing Agreement (“GPMA”) with PGIM dated January 31, 2023. The GPMA provided packing, marketing and selling services for lemons harvested on the Northern Properties for a minimum five-year term, subject to certain benchmarking standards.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2025, our Chilean subsidiaries, PDA and San Pablo (collectively, the “Sellers”), each entered into a Purchase and Sale Agreement and Novation Agreement (collectively, the “Purchase Agreements”) with San Pedro, SpA, a Chilean joint stock company (the “Buyer”), to sell certain real estate parcels consisting of approximately 500 acres of lemons, 100 acres of oranges and other unplanted lands including water rights associated with the parcels for an aggregate purchase price of $15.0 million. The transactions closed upon transfer of the deeds simultaneously with the execution of the Purchase Agreements.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 period of 60-90 days to record the transactions, which is customary in Chilean real estate transactions, the Buyer will make an initial payment to the Sellers in the aggregate amount of $6.8 million, of which approximately $0.7 million will be deferred until certain requirements have been fulfilled. The remainder of the Buyer’s payment obligations, in the aggregate amount of $8.2 million,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2025, we declared a cash dividend of $0.075 per common share payable on January 16, 2026, in the aggregate amount of $1.4 million to common stockholders of record as of December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wine grapes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Agribusiness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7555" cy="3291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755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808990</wp:posOffset>
            </wp:positionV>
            <wp:extent cx="5863590" cy="4183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Farming</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Lemons. </w:t>
      </w:r>
      <w:r>
        <w:rPr>
          <w:rFonts w:ascii="Times New Roman" w:cs="Times New Roman" w:eastAsia="Times New Roman" w:hAnsi="Times New Roman"/>
          <w:sz w:val="18"/>
          <w:szCs w:val="18"/>
          <w:color w:val="auto"/>
        </w:rPr>
        <w:t>We market and sell lemons directly to our food service, wholesale and retail customers throughout the United States, Canada, Asia,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international markets. We are one of the largest lemon growers in the United States with approximately 3,100 acres of lemons planted primarily in Ventura County, California and in Yuma County, Arizona. Ventura County is California’s top lemon producing county.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many varieties of lemons, with the Lisbon, Eureka and Genoa varieties being the predominant varieties marketed on a worldwide basis. Approximately 96% of our lemon plantings are of the Lisbon, Eureka and Genoa varieties and approximately 4% are of other varieties such as sweet Meyer lemons and Proprietary Seedless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Avocados. </w:t>
      </w:r>
      <w:r>
        <w:rPr>
          <w:rFonts w:ascii="Times New Roman" w:cs="Times New Roman" w:eastAsia="Times New Roman" w:hAnsi="Times New Roman"/>
          <w:sz w:val="18"/>
          <w:szCs w:val="18"/>
          <w:color w:val="auto"/>
        </w:rPr>
        <w:t>We are one of the largest avocado growers in the United States with approximately 1,500 acres of avocados planted throughout Ventura County.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California-grown avocados have peak production periods occurring between February and July.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Primarily related to differing soil conditions, the care of avocado trees is intensive.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Our avocado plantings have been profitable and historically were pursued to diversify our product line. Since fiscal year 2023, we expanded our avocado production by 600 acres, and we plan to expand an additional 400 acres through fiscal year 2027. This 1,000-acre expansion reflects our strategy to capitalize on robust consumer demand trends for avocados.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Agribusiness. </w:t>
      </w:r>
      <w:r>
        <w:rPr>
          <w:rFonts w:ascii="Times New Roman" w:cs="Times New Roman" w:eastAsia="Times New Roman" w:hAnsi="Times New Roman"/>
          <w:sz w:val="18"/>
          <w:szCs w:val="18"/>
          <w:color w:val="auto"/>
        </w:rPr>
        <w:t>We have approximately 100 acres of oranges planted near La Serena, Chile, and 400 acres of wine grapes planted in San Luis Obispo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County, California. We currently market our wine grapes utilizing processors that are not members of agricultural cooperatives. Our wine grapes are harvested and sold to various wine producers.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agricultural plantings on properties located in the United States, Chile and Argentina. The following is a description of our agriculture properties: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2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County / State or Country</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Lemons</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Avocados</w:t>
            </w: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Oranges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Wine</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43"/>
        </w:trPr>
        <w:tc>
          <w:tcPr>
            <w:tcW w:w="2660" w:type="dxa"/>
            <w:vAlign w:val="bottom"/>
            <w:gridSpan w:val="2"/>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0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Grapes</w:t>
            </w: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Farm</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La Cuesta</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Limco Del Mar</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Luis Obispo, 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Yuma, AZ</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 de Azucar &amp; San Pablo</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Serena, Chile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Jujuy, Argentina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agribusiness land</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Counties, 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Limoneira/Olivelands Ranch</w:t>
      </w:r>
      <w:r>
        <w:rPr>
          <w:rFonts w:ascii="Times New Roman" w:cs="Times New Roman" w:eastAsia="Times New Roman" w:hAnsi="Times New Roman"/>
          <w:sz w:val="18"/>
          <w:szCs w:val="18"/>
          <w:color w:val="auto"/>
        </w:rPr>
        <w:t xml:space="preserve"> is the original site of our Company. Our headquarters, lemon packing operations and storage facilities are located on this property.</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acres in the table above includes corporate and lemon packing facilities, land leased to other agricultural businesses, rental units, roads, creeks, hillsides and other open land.</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orchards can maintain production for many years. For financial reporting purposes, we depreciate our orchards from 20 to 30 years depending on the fruit variety.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to five years after the year of planting. Orchards may continue producing fruit for longer than their depreciable lives. The following table presents the number of acres planted by fruit variety and approximate age of our orchards: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Age of Orchards</w:t>
            </w:r>
          </w:p>
        </w:tc>
        <w:tc>
          <w:tcPr>
            <w:tcW w:w="1300" w:type="dxa"/>
            <w:vAlign w:val="bottom"/>
            <w:tcBorders>
              <w:bottom w:val="single" w:sz="8" w:color="auto"/>
            </w:tcBorders>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0-5 Years</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6-25 Years</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Over 25 Years</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Wine grapes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 and Sales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one of the oldest continuous lemon packing operations in North America. We pack and sell lemons grown by us as well as lemons grown by others, the operations of which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costs related to our lemon packing operation is fixed. We invest considerable time and research into refining and improving our lemon packing through innovation and are continuously searching for new techniques to refine how premium lemons are delivered to our consumers.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Operations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maintain 238 residential housing units located in Ventura County in California that we lease to employees, former employees and outside tenants. We also own several commercial office buildings. These properties generate reliable cash flows that we use to partially fund the operating costs of our business. As of October 31, 2025, we lease approximately 300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 Effective November 1, 2021, we lease our 1,200-acre Santa Clara ranch in Argentina.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Development 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than 100 years, we have been making strategic real estate investments in California agricultural and developable real estate. We currently have an interest in two real estate development projects in California. Our current real estate developments include multi-family housing and single-family homes and apartments with approximately 800 units in various stages of planning and development. The following is a summary of each of the strategic real estate investment properties in which we own an interest:</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Area I - Santa Paula, California. </w:t>
      </w:r>
      <w:r>
        <w:rPr>
          <w:rFonts w:ascii="Times New Roman" w:cs="Times New Roman" w:eastAsia="Times New Roman" w:hAnsi="Times New Roman"/>
          <w:sz w:val="18"/>
          <w:szCs w:val="18"/>
          <w:color w:val="auto"/>
        </w:rPr>
        <w:t>East Area I consists of approximately 500 acres that we historically used as agricultural land and is located in Santa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Paula approximately ten miles from the City of Ventura and the Pacific Ocean. East Area I is the location of our master planned community of commercial and residential properties, named Harvest at Limoneira, designed to satisfy expected demand in a region that we believe will have few other developments in this coming decade.</w:t>
      </w:r>
    </w:p>
    <w:p>
      <w:pPr>
        <w:spacing w:after="0" w:line="1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November 2015, we entered into a joint venture with Lewis for the residential development of our East Area I real estate development project. To consummate the transaction, we formed Limoneira Lewis Community Builders, LLC (“LLCB”) as the development entity, contributed our East Area I property to the joint venture and sold a 50% interest in the joint venture to Lewis. The first phase of the project broke ground to commence mass grading in November 2017. Approved project plans include approximately 1,750 residential units and site improvements. A total of 1,261 residential units have closed from the project’s inception to October 31, 2025.</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entered into another joint venture with Lewis for the development of our 17-acre East Area I Retained Property (“Retained Property”), which is located within the East Area I property. We formed LLCB II, LLC as the development entity, contributed our Retained Property to the joint venture and sold a 50% interest to Lewis. Approved project plans currently include approximately 300 residential units and site improvements.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The joint venture partners will share in capital contributions to fund project costs until loan proceeds and/or revenues are sufficient to fund the projects. Since inception, each partner has made funding contributions of $21.4 million to LLCB and $3.2 million to LLCB II. We received cash distributions from LLCB of $15.0 million in June 2024 and $10.0 million in April 2025 and we expect to receive approximately $155.0 million from LLCB, LLCB II and East Area II over the next five years of the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82550</wp:posOffset>
            </wp:positionV>
            <wp:extent cx="6000750" cy="3429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Area II - Santa Paula, California. </w:t>
      </w:r>
      <w:r>
        <w:rPr>
          <w:rFonts w:ascii="Times New Roman" w:cs="Times New Roman" w:eastAsia="Times New Roman" w:hAnsi="Times New Roman"/>
          <w:sz w:val="18"/>
          <w:szCs w:val="18"/>
          <w:color w:val="auto"/>
        </w:rPr>
        <w:t>Our design associates and we are in the process of formulating plans for East Area II, a parcel of approximately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acres adjacent to East Area I. 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83820</wp:posOffset>
            </wp:positionV>
            <wp:extent cx="5991860" cy="3223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9186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Competitive Strengths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and avocados. The following is a brief list of what we believe are our significant competitive strengths with respect to our agribusiness operations:</w:t>
      </w:r>
    </w:p>
    <w:p>
      <w:pPr>
        <w:spacing w:after="0" w:line="108" w:lineRule="exact"/>
        <w:rPr>
          <w:sz w:val="20"/>
          <w:szCs w:val="20"/>
          <w:color w:val="auto"/>
        </w:rPr>
      </w:pPr>
    </w:p>
    <w:p>
      <w:pPr>
        <w:ind w:left="820" w:right="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agricultural properties in Ventura County are located near the Pacific Ocean, which provides an ideal environment for growing lemons and avocados. Our agricultural properties in Yuma, Arizona, are also located in an area that is well-suited for growing citrus crops.</w:t>
      </w:r>
    </w:p>
    <w:p>
      <w:pPr>
        <w:spacing w:after="0" w:line="13"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higher percentage of our crops goes to the fresh market, which is commonly referred to as fresh utilization, than that of other growers and packers with which we compete.</w:t>
      </w:r>
    </w:p>
    <w:p>
      <w:pPr>
        <w:spacing w:after="0" w:line="2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contiguous and nearby land resources that permit us to efficiently use our agricultural land and resources.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dependent on State or Federal water projects for our agribusiness or real estate development operations in California.</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majority of our agricultural land and take a long view on our fruit production practices.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our agribusiness property was acquired many years ago, which results in a low-cost basis and associated expenses.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lemon packing operations will provide marketing opportunities for Sunkist with their other respective citrus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3" w:name="page14"/>
    <w:bookmarkEnd w:id="13"/>
    <w:p>
      <w:pPr>
        <w:jc w:val="both"/>
        <w:ind w:left="820" w:hanging="488"/>
        <w:spacing w:after="0" w:line="255"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Additionally, these investments support our sustainable agricultural practices, reduce our dependence on fossil-based electricity generation and lower our carbon footprint. Moreover, electricity that we generate and do not use is conveyed back to the utility companies. Finally, over time, we expect that the end consumers of our fruit will value the investments that we made in renewable energy as a part of our packing operations, which we believe may help us differentiate our products from similar commodities.</w:t>
      </w:r>
    </w:p>
    <w:p>
      <w:pPr>
        <w:spacing w:after="0" w:line="4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various other investments in water rights and mutual water companies. We own shares in the following mutual water companies: Farmers Irrigation Co., Canyon Irrigation Co., San Cayetano Mutual Water Co., Middle Road Mutual Water Co. and Alta Mutual Water Co. Additionally, we acquired water rights in the adjudicated Santa Paula Basin (aquifer), the YMIDD and in Chile.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real estate development operations, we believe our competitive advantages are as follows:</w:t>
      </w:r>
    </w:p>
    <w:p>
      <w:pPr>
        <w:spacing w:after="0" w:line="144"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entitlements to build approximately 2,050 residential units in our East Area I development.</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an experienced and financially strong land developer for our East Area I residential master plan development.</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agricultural and real estate investment properties are unique and carry longer-term development potential.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East Area II property has approximately 30 acres of land commercially zoned, which is adjacent to our East Area I property.</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55% interest in other Ventura County farmland and are exploring entitlement efforts.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agribusiness and real estate development company that generates revenues and annual cash flows to support investments in agricultural efficiencies and real estate development activities. As our agricultural and non-strategic real estate development investments are monetized, we intend to use the cash flow to reduce existing debt, invest in farming efficiencies and expand packing capacities through our One World of Citrus asset-lighter business model. We will also continue to use more third-party grower and supplier fruit to reduce the impact of pricing volatility and rising farming costs.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asset-lighter model will enable us to achieve revenue and cash flow growth by reducing investment risk in North and South America, generating more stable and higher growth in cash flow and earnings, and improving our annual return on invested capital.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key elements of our business strategy.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agribusiness operations, key elements of our strategy are:</w:t>
      </w:r>
    </w:p>
    <w:p>
      <w:pPr>
        <w:spacing w:after="0" w:line="14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One World of Citrus asset-lighter business model in two main channels:</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Growing and packing fruit grown on our properties; and</w:t>
      </w:r>
    </w:p>
    <w:p>
      <w:pPr>
        <w:spacing w:after="0" w:line="71" w:lineRule="exact"/>
        <w:rPr>
          <w:rFonts w:ascii="Arial" w:cs="Arial" w:eastAsia="Arial" w:hAnsi="Arial"/>
          <w:sz w:val="22"/>
          <w:szCs w:val="22"/>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Utilizing third-party grower fruit by packing their fruit and marketing and distributing through Sunkist channels.</w:t>
      </w:r>
    </w:p>
    <w:p>
      <w:pPr>
        <w:spacing w:after="0" w:line="6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intend to continue to strategically sell certain assets to reduce existing debt, increase farming efficiencies and expand packing capabilities. Increased volume of fruit sales is expected to be fueled by sourcing from third-party growers, thus mitigating the volatility that commodity pricing has on growers.</w:t>
      </w:r>
    </w:p>
    <w:p>
      <w:pPr>
        <w:spacing w:after="0" w:line="93" w:lineRule="exact"/>
        <w:rPr>
          <w:sz w:val="20"/>
          <w:szCs w:val="20"/>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Sources of Lemon Supply. </w:t>
      </w:r>
      <w:r>
        <w:rPr>
          <w:rFonts w:ascii="Times New Roman" w:cs="Times New Roman" w:eastAsia="Times New Roman" w:hAnsi="Times New Roman"/>
          <w:sz w:val="18"/>
          <w:szCs w:val="18"/>
          <w:color w:val="auto"/>
        </w:rPr>
        <w:t>Peak lemon production occurs at different times of the year depending on geographic region.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lemon production in California and Arizona, increases in lemons procured from third-party growers improve our ability to provide Sunkist customers with fresh lemons throughout the year.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the Volume of our Lemon Packing Operations</w:t>
      </w:r>
      <w:r>
        <w:rPr>
          <w:rFonts w:ascii="Times New Roman" w:cs="Times New Roman" w:eastAsia="Times New Roman" w:hAnsi="Times New Roman"/>
          <w:sz w:val="18"/>
          <w:szCs w:val="18"/>
          <w:color w:val="auto"/>
        </w:rPr>
        <w:t>. We regularly monitor our costs for redundancies and opportunities for cost reductions.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regard, cost per carton is a function of throughput. We continually seek to acquire additional lemons from third-party growers to pack through our packing facilities. Third-party growers are only added if we determine their fruit is of good quality and can be cost effective for both the grower and us. Of most importance is the overall fresh utilization rate for our fruit, which is directly related to quality.</w:t>
      </w:r>
    </w:p>
    <w:p>
      <w:pPr>
        <w:spacing w:after="0" w:line="3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our Plantings of Avocados</w:t>
      </w:r>
      <w:r>
        <w:rPr>
          <w:rFonts w:ascii="Times New Roman" w:cs="Times New Roman" w:eastAsia="Times New Roman" w:hAnsi="Times New Roman"/>
          <w:sz w:val="18"/>
          <w:szCs w:val="18"/>
          <w:color w:val="auto"/>
        </w:rPr>
        <w:t>. Our plantings of avocados have been profitable and historically have been pursued to diversify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We plan to expand our avocado production by 1,000 acres through fiscal year 2027 to capitalize on robust consumer demand trends with 600 acres planted as of October 31, 2025.</w:t>
      </w:r>
    </w:p>
    <w:p>
      <w:pPr>
        <w:spacing w:after="0" w:line="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our share of the growing quick-service restaurant fresh-squeezed lemonade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rental operations and real estate development activities, key elements of our strategy include the following:</w:t>
      </w:r>
    </w:p>
    <w:p>
      <w:pPr>
        <w:spacing w:after="0" w:line="156" w:lineRule="exact"/>
        <w:rPr>
          <w:sz w:val="20"/>
          <w:szCs w:val="20"/>
          <w:color w:val="auto"/>
        </w:rPr>
      </w:pPr>
    </w:p>
    <w:p>
      <w:pPr>
        <w:ind w:left="6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Rental and Housing Units</w:t>
      </w:r>
      <w:r>
        <w:rPr>
          <w:rFonts w:ascii="Times New Roman" w:cs="Times New Roman" w:eastAsia="Times New Roman" w:hAnsi="Times New Roman"/>
          <w:sz w:val="18"/>
          <w:szCs w:val="18"/>
          <w:color w:val="auto"/>
        </w:rPr>
        <w:t>. Our housing, commercial and land rental operations provide us with a consistent, dependable source of cash flow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helps to fund our overall activities. Additionally, we believe our housing rental operation allows us to offer a unique benefit to our employees.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Lease Land to Third-Party Crop Farmers</w:t>
      </w:r>
      <w:r>
        <w:rPr>
          <w:rFonts w:ascii="Times New Roman" w:cs="Times New Roman" w:eastAsia="Times New Roman" w:hAnsi="Times New Roman"/>
          <w:sz w:val="18"/>
          <w:szCs w:val="18"/>
          <w:color w:val="auto"/>
        </w:rPr>
        <w:t>. We regularly monitor the profitability of our fruit-producing acreage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per acre returns. When we determine that leasing the land to third-party row crop farmers would be more profitable than farming the land, we intend to seek third-party row crop tenants.</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Selectively and Responsibly Develop our Agricultural Land</w:t>
      </w:r>
      <w:r>
        <w:rPr>
          <w:rFonts w:ascii="Times New Roman" w:cs="Times New Roman" w:eastAsia="Times New Roman" w:hAnsi="Times New Roman"/>
          <w:sz w:val="18"/>
          <w:szCs w:val="18"/>
          <w:color w:val="auto"/>
        </w:rPr>
        <w:t>. We recognize that long-term strategies are required for successful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sold lemons and other citrus to 179 U.S. and international customers during fiscal year 2025. Beginning November 1, 2025, we merged our citrus sales and marketing operations into Sunkist. We sell our avocados to third-party packinghouses and our wine grapes to wine producers.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third-party packinghouses similar to that of Limoneira. Our lemons compete with other fruits and vegetables for the share of consumer expenditures devoted to fresh fruit and vegetables: apples, pears, melons, pineapples and other tropical fruit. Avocado products compete in the supermarket with hummus products and other dips and salsas. For our specific crops, the size of the 2024 U.S. market was approximately $698 million for lemons, both fresh and juice, and approximately $537 million for avocados. Competition in the various agribusiness markets is affected by reliability of supply, product quality, brand recognition and perception, price and the ability to satisfy changing customer preferences through innovative product offerings.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County comes from other residential and commercial developments in nearby areas.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and Raw Materials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fresh lemons and lemon packing segments, paper is considered a material raw product for our business because most of our products are packed in cardboard cartons for shipment. Paper is readily available and cartons will be purchased from a Sunkist affiliated entity beginning in fiscal year 2026. In our agribusiness division, petroleum-based products such as herbicides and pesticides are considered raw materials, and we have numerous suppliers for these products.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trademarks and brands under which we market and sell our fruits, particularly lemons, domestically and internationally, many of which have been owned for decades. The material brands of Limoneira lemons include, but are not limited to, One World of Citrus®, Santa®, Paula®, Bridal Veil®, Fountain®, Golden Bowl®, Level®, Compass® and Pitcher®. These trademarks are owned by us and registered with the United States Patent and Trademark Office. We also acquired certain lemon brands with acquisitions, including Kiva®, Kachina®, Oxnard Lemon and Trapani Fresh. Beginning November 1, 2025, our lemon products may be branded with a Limoneira brand and the Sunkist brand.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with any agribusiness enterprise, our agribusiness operations are predominantly seasonal in nature. The harvest and sale of our lemons and avocados occurs in all quarters, but is generally more concentrated during our third quarter. Our lemons are generally grown and marketed throughout the year, our avocados are primarily sold from January through August, and our wine grapes are primarily sold in September and October.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06" w:lineRule="exact"/>
        <w:rPr>
          <w:sz w:val="20"/>
          <w:szCs w:val="20"/>
          <w:color w:val="auto"/>
        </w:rPr>
      </w:pPr>
    </w:p>
    <w:p>
      <w:pPr>
        <w:ind w:right="1520"/>
        <w:spacing w:after="0" w:line="422" w:lineRule="auto"/>
        <w:rPr>
          <w:sz w:val="20"/>
          <w:szCs w:val="20"/>
          <w:color w:val="auto"/>
        </w:rPr>
      </w:pPr>
      <w:r>
        <w:rPr>
          <w:rFonts w:ascii="Times New Roman" w:cs="Times New Roman" w:eastAsia="Times New Roman" w:hAnsi="Times New Roman"/>
          <w:sz w:val="18"/>
          <w:szCs w:val="18"/>
          <w:color w:val="auto"/>
        </w:rPr>
        <w:t xml:space="preserve">For a discussion of the various risks we face from regulation and compliance matters, see Item 1A. Risk Factors of this Annual Report.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we had 191 employees, of which 69 were salaried and 122 were hourly. None of our employees are subject to a collective bargaining agreement. We believe that our relations with our employees are good.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an environment of inclusion and belonging fosters innovation, strengthens our global workforce, and drives our ability to serve customers. Our global presence is strengthened by having a workforce that reflects the variety of the customers we serve and by maintaining an environment in which such diversity contributes to our mission.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is committed to protecting the human rights, safety and dignity of the people who contribute to the success of our business. We are committed to improving the lives of all our stakeholders by helping to provide access to our products. We also seek to support the welfare of the people who produce, process and harvest the products we sell. We have several inclusion and belonging efforts and programs to better ensure that we are supporting our employees.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Limoneira’s overall culture emphasizes the health and safety of our employees and the customers we serve. Limoneira has an Illness and Injury Prevention Plan (IIPP), a Safety Guide and conforms to and follows regulations and guidelines set forth by OSHA in all facilities and operations. Where a particular jurisdiction’s guidelines, such as Cal/OSHA, are different from the OSHA standard, Limoneira adheres to the most extensive guidelines. We have excellent results from our safety programs compared to similar companies within our industry.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We strive to be a great place for our employees to work and live. We offer competitive pay and best-in-class benefits, including a 401k plan with matching contribution opportunities, comprehensive paid healthcare plans, wellness programs and tuition reimbursement.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and maintain 238 residential housing units located in Ventura County, California, that we lease to our employees, former employees and outside tenants. Our residential units provide affordable housing to many of our employees, including our agribusiness employees, and enable employees to live close to their work, which reduces traffic and commuting times. We also partner with some local schools to provide transportation for residents. This unique employment benefit helps us maintain a dependable, long-term employee base.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Agribusiness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merge our citrus sales and marketing operations into Sunkist Growers, Inc. beginning November 1, 2025 may not be successful.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merging of our citrus sales and marketing operations into Sunkist reduces our ability to exercise control over the sales and marketing of our lemons. Sunkist marketing may be ineffective, which could result in decreased sales of citrus and, in particular, the sales of our lemons. Insufficient resources committed by Sunkist to the sales and marketing of citrus may reduce the sales of our lemons and adversely affect our operations and financial results.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and institutional recognition of Sunkist trademarks and related brands and the association of these brands with high quality and safe citrus is an integral part of the Sunkist business. The occurrence of any events or rumors that cause consumers and/or institutions to no longer associate those brands with high quality and safe citrus may materially affect the value of their brand names and the demand for fresh citrus.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Sunkist-licensed packinghouse, we are required to purchase the majority of our packing supplies from Fruit Growers Supply Company (“FGS”), a manufacturing and supply cooperative affiliated with Sunkist. Increased costs for packing supplies from FGS or an extended interruption in the shipping of packing supplies could negatively affect our operating income.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Sunkist cybersecurity risks, data protection breaches, cyber-attacks and system integration issues could disrupt Sunkist internal operations or services provided to end customers, and such disruption could reduce our expected revenue, increase our expenses, damage our reputation and adversely affect our business.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 We purchase crop insurance for certain crops which partially mitigates our exposure.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crops are subject to damage from frosts and freezes, and this has happened periodically in the past. In some cases, the fruit is damaged or ruined; in the case of extended periods of cold, the trees can also be damaged or killed.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Fresh produce is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ACP is an aphid-like insect that is a serious pest to all citrus plants because it can transmit the disease Huanglongbing (“HLB”) when it feeds on the plants’ leaves and trees. 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Due to the discovery of ACP in our orchards, we experienced costs related to the quarantine and treatment of ACP.</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two HLB-positive citrus trees were detected on a residential property in the City of Santa Paula, California. Following this detection, the California Department of Food and Agriculture established a mandatory five-mile-radius quarantine area, encompassing approximately 1,100 acres of Limoneira-owned lemon orchards. In July 2024, additional HLB-positive trees were detected on residential properties in the City of Santa Paula. In response, the quarantine area was expanded in September 2024 to account for the new detections and is still in effect. The quarantine restricts the movement of citrus fruit, trees, and related plant materials, subject to specific protocols. The estimated additional costs to spray insecticides on our orchards within the quarantine area are $0.3 million to $0.4 million for fiscal year 2026. There is no assurance that HLB will not be detected on Limoneira orchards in the future.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are sensitive to fluctuations in market supply and prices and demand for our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supply often causes severe price competition in our industry, and the worldwide lemon market is currently in an over-supplied position. Growing conditions in various parts of the world, particularly weather conditions such as windstorms, floods, droughts and freezes, as well as diseases and pests, are primary factors affecting market prices because of their influence on the supply and quality of product.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Some items, such as avocados,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subject to seasonal variability.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144"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supplies and consumer demand;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products during critical harvest periods;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or raw product costs, such as fuel and paper, could adversely affect our operating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paper is also significant to us because many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personnel and benefits costs could adversely affect our operating results.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labor contractors and we are subject to government mandated wage and benefit laws and regulations. For example, the State of California, where a substantial number of our labor contractors are located, passed regulations that will increase minimum wage rates to $16.90 per hour effective January 1, 2026 due to a cost-of-living increase provision in the state’s minimum wage law. The State of Arizona minimum wage rates also rise each year based on the annual cost of living and will increase to $15.15 per hour effective January 1, 2026. In addition, current or future federal or state healthcare legislation and regulation, such as the Affordable Care Act, may increase our medical costs or the medical costs of our labor contractors that could be passed on to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immigration laws could impact the ability of Limoneira to harvest its crops.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and specifically within Ventura County,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and avocado operations, financial position, results of operations and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sufficient water would severely impact our ability to produce crops or develop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rainfall in Ventura and San Luis Obispo Counties in California is substantially below amounts required to grow crops and therefore we are dependent on our surface water rights and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federal project water in Arizona from the Colorado River through the YMIDD.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Southern California experienced below average precipitation for the 2024 to 2025 rainfall season. As of October 31, 2025, Ventura County was experiencing moderate drought conditions. We continue to assess the impact drought conditions may have on our California orchards.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U.S. Bureau of Reclamation announced that Lake Mead will continue to operate in a Tier 1 shortage in 2026,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We continue to assess the impact these ongoing water reductions may have on our Arizona orchards.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year 2025, irrigation costs for our agricultural operations decreased compared to fiscal year 2024. Costs may increase as we pump more water than our historical averages and federal, state and local water delivery infrastructure costs may increase to access these limited water supplies. We have an ongoing plan for irrigation improvements continuing for fiscal year 2026 that includes upgrading existing wells and irrigation systems.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economic downturn may have an adverse impact on participants in our industry, which cannot be fully predicted.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full impact of a global economic downturn on customers, vendors and other business partners, such as that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wide-ranging impacts on the future of the industry.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product contamination and product liability claims.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transportation risks.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extended interruption in the shipping of our products could have a material adverse effect on our business, financial condition and results of operations. Similarly, any extended disruption in the distribution of our products or supply chain issues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or rumors relating to LIMONEIRA or our other trademarks and related brands or Sunkist could significantly impact our business.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and institutional recognition of the LIMONEIRA, Sunkist, One World of Citrus®, Santa®, Paula®, Bridal Veil®, Fountain®, Golden Bowl®, Level®, Compass®, Pitcher®, Kiva®, Kachina®, Oxnard Lemon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could increase our production costs and increase legal and regulatory expenses.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historically operated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infrastructure to have sufficient capacity to handle our annual lemon production needs.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infrastructure has sufficient capacity for our lemon production needs, but if we lose machinery or facilities due to natural disasters, accidents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service our debt obligations.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service our debt, we require a certain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108"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increased operating costs or pricing pressures we may experience;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implementing any strategic projects.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revolving and non-revolving credit facilities contain various restrictive covenants that limit our ability to take certain actions. In particular, these agreements limit our ability to, among other things:</w:t>
      </w:r>
    </w:p>
    <w:p>
      <w:pPr>
        <w:spacing w:after="0" w:line="94" w:lineRule="exact"/>
        <w:rPr>
          <w:sz w:val="20"/>
          <w:szCs w:val="20"/>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or acquisitions;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on our assets;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types of transactions with affiliates;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substantially all our assets;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and non-revolving credit facility with the Lender contains a financial covenant that requires us to maintain compliance with a specific debt service coverage ratio on an annual basis. At October 31, 2024 we were in compliance with the debt service coverage ratio of 1.25:1.0. In September 2025, the Lender modified the annual debt service coverage ratio covenant to defer measurement as of October 31, 2025. In December 2025, the Lender modified the annual debt service coverage ratio covenant to defer measurement as of October 31, 2026 and resume a debt service coverage ratio of 1.25:1.0 measured as of October 31, 2027 and for any fiscal year ending thereafter.</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also subject to a quarterly financial covenant that required us to maintain compliance with a specific total net leverage ratio as of the end of any fiscal quarter beginning July 31, 2026. In December 2025, the Lender modified this quarterly financial covenant to defer measurement through July 31, 2027 and resume measurement as of October 31, 2027. Additionally, in December 2025, the Lender added a new quarterly financial covenant effective for the period from January 31, 2026 through July 31, 2027 which requires us to maintain a specific debt to capitalization ratio.</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overall indebtedness.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LLCB entered into a $45.0 million unsecured Line of Credit Loan Agreement and Promissory Note (the “Loan”) with Bank of America, N.A. to fund early development activities. Effective as of February 22, 2023, the maximum borrowing amount was reduced to $35.0 million. The obligations under the Loan were guaranteed by certain principals from Lewis and us. In May 2024, the Loan and corresponding guarantee were cancelled. Our real estate development activities could require future loans that may result in future guarantees.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debt is based on variable rates of interest, which could result in higher interest expenses in the event of an increase in the interest 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AgWest Farm Credit Facility is subject to variable rates, which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AgWest Farm Credit Facility, which could materially adversely affect our business, financial condition and results of operations. Our Company’s debt agreement with AgWest Farm Credit uses the Secure Overnight Financing Rate (“SOFR”).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capital and credit market issues affect our liquidity, increase our borrowing costs and may affect the operations of our suppliers and customers.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capital and credit markets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Real Estate Development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cyclical industry and are affected by changes in general and local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 estate development industry is cyclical and is affected by changes in general and local economic conditions, including:</w:t>
      </w:r>
    </w:p>
    <w:p>
      <w:pPr>
        <w:spacing w:after="0" w:line="158" w:lineRule="exact"/>
        <w:rPr>
          <w:sz w:val="20"/>
          <w:szCs w:val="20"/>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levels;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developed product, whether residential or industrial;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similar product, whether residential or industrial; and</w:t>
      </w:r>
    </w:p>
    <w:p>
      <w:pPr>
        <w:spacing w:after="0" w:line="90"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state and federal government regulation, including eminent domain laws, which may result in taking for less compensation than the owner believes the property is worth.</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recession in the global economy, or a downturn in national or regional economic conditions, could adversely impact our real estate development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instability or tightening in the credit markets could lead to another housing market collapse, which could adversely affect our real estate development operations and those of our equity method investments. Future real estate sales, revenues, financial condition, results of operations and equity in earnings of investments could suffer as a result. Our business is sensitive to economic conditions in California, where our real estate development properties are located.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Higher interest rates and lack of available financing can have significant impacts on the real estate industry.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During 2025 and 2024, the Board of Governors of the Federal Reserve System took actions in easing the monetary policy by cutting interest rates. Market interest rates may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land use regulations and require governmental approvals for our developments that could be denied.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approved various “slow growth” or “urban limit line” measures.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unforeseen regulatory challenges with East Areas I and II occur, we may not be able to develop these projects as planned. Additionally, a voter-approved initiative may prevent us from developing the Limco Del Mar ranch.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litigation could increase the time and cost of our real estate development efforts.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development projects are concentrated entirely in California.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real estate development projects are located in California, and our business is especially sensitive to the economic conditions within California. Any adverse change in the economic climate of California, and any adverse change in the political or regulatory climate of California or Ventura County, could adversely affect our real estate development activities. Ultimately, our ability to sell or lease lots may decline as a result of weak economic conditions or restrictive regulations.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real estate industry weakens or instability of the mortgage industry and commercial real estate financing exists, it could have an adverse effect on our real estate activities.</w:t>
      </w:r>
    </w:p>
    <w:p>
      <w:pPr>
        <w:spacing w:after="0" w:line="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third-party advisors to assist us in carrying out our real estate development projects and are subject to risks associated with such arrangements.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third-party contractor and consultant arrangements to assist us in operating our real estate development division. These contractual arrangements may not be as effective in providing direct control over this business division.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94" w:lineRule="exact"/>
        <w:rPr>
          <w:sz w:val="20"/>
          <w:szCs w:val="20"/>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 or cost overruns that may increase project costs;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zoning, occupancy and other required governmental permits and authorizations;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for projects that are not pursued to completion;</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floods, fires or other natural disasters that could adversely affect a project;</w:t>
      </w:r>
    </w:p>
    <w:p>
      <w:pPr>
        <w:spacing w:after="0" w:line="76"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design or construction that may result in additional costs to remedy or require all or a portion of a property to be closed during the period required to rectify the situation;</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assessments such as park fees or affordable housing requirements;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restrictions on the nature and size of a project or timing of completion;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adequate building/construction capacity for large development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development project is not completed on time or within budget, our financial results may be negatively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required land use entitlements at reasonable costs, or at all, our operating results would be adversely affected.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a reduction in net income or reduced cash flows if we are unable to obtain reasonably priced financing to support our real estate development projects and land development activities.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risks associated with the real estate joint ventures we have with the Lewis Group of Companies, including:</w:t>
      </w:r>
    </w:p>
    <w:p>
      <w:pPr>
        <w:spacing w:after="0" w:line="162"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ventures may not perform financially or operationally as expected;</w:t>
      </w:r>
    </w:p>
    <w:p>
      <w:pPr>
        <w:spacing w:after="0" w:line="76"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values, project costs, sales absorption or other assumptions included in the development plans may cause the joint ventures’ operating results to be less than expected;</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ventures may not be able to obtain project loans on acceptable terms;</w:t>
      </w:r>
    </w:p>
    <w:p>
      <w:pPr>
        <w:spacing w:after="0" w:line="90"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be able to provide capital to the joint ventures in the event external financing or project cash flows are not sufficient to finance the joint ventures’ operations;</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manage the project properly; and</w:t>
      </w:r>
    </w:p>
    <w:p>
      <w:pPr>
        <w:spacing w:after="0" w:line="76"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occur between the joint venture partners that could affect the operating results of the joint ventures or could result in a sale of a partner’s interest or the joint ventures at undesirable values.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other risks that could impact our ability to develop our land.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encounter other difficulties in developing our land, including:</w:t>
      </w:r>
    </w:p>
    <w:p>
      <w:pPr>
        <w:spacing w:after="0" w:line="158" w:lineRule="exact"/>
        <w:rPr>
          <w:sz w:val="20"/>
          <w:szCs w:val="20"/>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risks, such as geological and soil problems, earthquakes, fire, heavy rains and flooding and heavy winds;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trades people;</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contractors, who may be inadequately capitalized;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certain materials; 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we cannot assure you that we will maintain our current market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companies compete in our different businesses. We face strong competition from these and other companies in all our product lines.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with respect to our competitors include the following:</w:t>
      </w:r>
    </w:p>
    <w:p>
      <w:pPr>
        <w:spacing w:after="0" w:line="158" w:lineRule="exact"/>
        <w:rPr>
          <w:sz w:val="20"/>
          <w:szCs w:val="20"/>
          <w:color w:val="auto"/>
        </w:rPr>
      </w:pPr>
    </w:p>
    <w:p>
      <w:pPr>
        <w:ind w:left="820" w:hanging="488"/>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greater operating flexibility and, in certain cases, this may permit them to respond better or more quickly to changes in the industry.</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pricing or promotional actions of our competitors or whether those actions will have a negative effect on us.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fluctuation may impact the results of our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are distributed both nationally and internationally and we have foreign subsidiaries with functional currencies besides the U.S. dollar. Our international sales are primarily transacted in U.S. dollars. Our results of operations are affected by fluctuations in currency exchange rates in both sourcing and selling locations and our foreign subsidiaries. In the past, periods of a strong U.S. dollar relative to other currencies led international customers, particularly in Asia, to find alternative sources of fruit.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8"/>
          <w:szCs w:val="18"/>
          <w:i w:val="1"/>
          <w:iCs w:val="1"/>
          <w:color w:val="auto"/>
        </w:rPr>
        <w: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depend heavily on the services of our key management personnel. The loss of any key personnel could materially and adversely affect our results of operations or financial condition. Our success will also depend in part on our ability to attract and retain additional qualified management personnel.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 significant adverse effect on our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can have a major impact on our agribusiness operations. The farming operations are most affected by escalating costs,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of other businesses could pose risks to our operating income.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consider acquisition prospects that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Additionally, in fiscal year 2024 and 2025 we recorded an impairment charge and reserves on our most recently acquired foreign subsidiary, and we may incur further impairment charges or reserves on this or other foreign subsidiaries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common stock could be volatile.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There are numerous and varied risks, known and unknown, that may prevent us from achieving our goals. The risks described here are not the only ones we will face. If any of these risks or other risks actually occur,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94" w:lineRule="exact"/>
        <w:rPr>
          <w:sz w:val="20"/>
          <w:szCs w:val="20"/>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our operating results;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analysts’ perception of the business risks and conditions of our business;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earnings estimates and other performance expectations of financial analysts or investors;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commentary or downgrades of our stock by equity research analysts;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prices of our peer companies or in stock markets in general;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pay dividends at the current rate; 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Concentrated ownership of our common stock creates a risk of sudden change in our share price.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2025, directors and members of our executive management team beneficially owned or controlled approximately 8.9%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contain provisions that may delay, defer or prevent a change of control.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third-party to acquire control of us, even if the change in control would be beneficial to stockholders. These provisions include the following:</w:t>
      </w:r>
    </w:p>
    <w:p>
      <w:pPr>
        <w:spacing w:after="0" w:line="94" w:lineRule="exact"/>
        <w:rPr>
          <w:sz w:val="20"/>
          <w:szCs w:val="20"/>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with each class serving a staggered three-year term;</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directors by stockholders by a supermajority of two-thirds of the outstanding shares;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board of directors to authorize the issuance of preferred stock in series without stockholder approval;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our stockholders that prevent them from acting by written consent and limitations on calling special meetings.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publicly traded company.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publicly traded securities, we incur,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&amp; Strategy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Cybersecurity is an on-going risk to our business. We rely on complex information technology systems and networks to conduct business, including communicating with employees and our packing facilities, sourcing citrus from third-party growers and suppliers, selling and shipping our products and reporting results of operations. While we employ resources to monitor and protect our technology infrastructure and sensitive information, these security measures or those of our third-party vendors may not prevent all attempted security breaches or cyber-attacks. A substantial disruption to our or our third-party vendors' information technology systems, whether caused by a significant cyber incident or other unforeseen events,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committed to managing cybersecurity risks through ongoing vigilance and enhancement of our cybersecurity policies, procedures and practices, extending to the safeguarding of sensitive information belonging to the Company, our growers and suppliers, customers, and employees. Through the execution of a leading-practice, risk-based strategy, we are enhancing capabilities to further protect our critical assets by implementing preventive and detective controls and performing continuous security monitoring and active threat response activities. The enhancement of the Company's cybersecurity risk management strategy and related procedures is a continuous activity to ensure the appropriate identification, assessment and response to risks from cybersecurity threats that may adversely impact our operations. This includes our development and operationalizing of third-party security requirements, incident response procedures, and employee training and awareness programs to improve cybersecurity hygiene throughout our organization. Additionally, we proactively seek input from third-party cybersecurity consultants to independently evaluate our systems and processes, further identify risks and aid us in strengthening our defenses and improving our overall security posture.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Cybersecurity Threat Risks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2025, the Company experienced no cybersecurity incidents that materially impacted our business strategy, operations or financial condition. We maintain cybersecurity insurance coverage to supplement our cybersecurity program. However, this insurance may not be sufficient to cover all potential losses, including reputational damage or costs incurred to improve or strengthen systems against future threats. Recognizing the increasing sophistication of cyber threats, we are actively enhancing our cybersecurity risk management efforts to minimize the likelihood and impact of such incidents.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through its Risk Committee with members having extensive experience in finance, asset management and agribusiness operations, oversees the cybersecurity risk management program and is provided quarterly updates by the Vice President of Packing &amp; Technology and third-party security consultants to address our cybersecurity risk mitigation efforts. These updates include the progress of our risk mitigation efforts, cybersecurity strategies and investments. The frequency of these updates allows for informed decision-making and ensures that our Board of Directors is briefed on cybersecurity risks.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Vice President of Packing &amp; Technology and our Information Security team are also responsible for identifying, assessing, and mitigating cybersecurity risks across the Company. All information security managers have attained a bachelor’s degree in a related field of study, with several also having industry-leading certifications in cybersecurity. This collective team has experience in information security and cybersecurity risk management and performs detection and monitoring of cybersecurity threats and incidents on an ongoing basis through a combination of security tooling, alerting mechanisms, automated systems and manual processes to continue to preserve the confidentiality, availability and integrity of our business operations.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our corporate headquarters in Santa Paula, California. We own approximately 4,500 acres of farmland in California, 1,300 acres in Yuma, Arizona, 3,500 acres in La Serena, Chile and 1,200 acres in Jujuy, Argentina. The land used for agricultural plantings consists of approximately 3,100 acres of lemons, 1,500 acres of avocados, 100 acres of oranges and 400 acres of wine grapes. The Pan de Azucar and San Pablo farmland were classified as assets held for sale as of October 31, 2025 and sold November 7, 2025. We believe that our properties are generally suitable to meet our production needs for the foreseeable future. Our agribusiness land holdings are summarized below as of October 31, 2025 ($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60" w:type="dxa"/>
            <w:vAlign w:val="bottom"/>
          </w:tcPr>
          <w:p>
            <w:pPr>
              <w:spacing w:after="0"/>
              <w:rPr>
                <w:sz w:val="17"/>
                <w:szCs w:val="17"/>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100" w:type="dxa"/>
            <w:vAlign w:val="bottom"/>
          </w:tcPr>
          <w:p>
            <w:pPr>
              <w:spacing w:after="0"/>
              <w:rPr>
                <w:sz w:val="17"/>
                <w:szCs w:val="17"/>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Acquisition Date</w:t>
            </w:r>
          </w:p>
        </w:tc>
        <w:tc>
          <w:tcPr>
            <w:tcW w:w="160" w:type="dxa"/>
            <w:vAlign w:val="bottom"/>
          </w:tcPr>
          <w:p>
            <w:pPr>
              <w:spacing w:after="0"/>
              <w:rPr>
                <w:sz w:val="17"/>
                <w:szCs w:val="17"/>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43"/>
        </w:trPr>
        <w:tc>
          <w:tcPr>
            <w:tcW w:w="56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Acre</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 Ranch</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1907, 1913, 1920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 Ranch</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Farm Ranch</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La Cuesta Ranch</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Limco Del Mar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80,136</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 de Azucar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Pablo</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land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land holdings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packing facilities located in Santa Paula, California and Yuma, Arizona, where we process and pack our lemons as well as lemons for other growers. We have a 5.5 acre, one-megawatt ground-based photovoltaic solar generator and one-megawatt roof array, which provide the majority of the power to operate our packing facility.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own and maintain 238 residential housing units located in Ventura County, California, that we lease to our employees, former employees and outside tenants and we own several commercial office buildings and properties that are leased to various tenants.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and have equity investments in real estate development property in Ventura County, California. These properties are in various stages of development for up to approximately 800 units.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8,500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PDA and San Pablo farming operations in La Serena, Chile and our Trapani Fresh farming operations in Argentina.</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and membership is governed by the Association’s Bylaws.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Our California water resources include approximately 11,100 acre-feet of water affiliated with our owned properties, of which approximately 8,500 acre-feet are adjudicated. Our Yuma, Arizona water resources include approximately 11,500 acre-feet of water sourced from the Colorado River. We own shares in various not-for-profit mutual benefit water companies. Our investments in these water companies provide us with the right to receive a proportionate share of water from each of the water companies.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 Item 3 regarding our legal proceedings is incorporated by reference herein from Note 17 – Commitments and Contingencies of the Notes to Consolidated Financial Statements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28, 2025, there were 227 registered holders of our common stock. The number of registered holders includes banks and brokers who act as nominees, each of whom may represent more than one stockholder.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dividends per common share declared and paid in the periods shown.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9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Dividend</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2025, we declared a quarterly dividend of $0.075 per common share and we expect to continue to pay quarterly dividends at a similar rate to the extent permitted by the financial results of our business and other factors beyond management’s control.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5760720" cy="3531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*$100 invested on 10/31/20 in stock or index, including reinvestment of dividends.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Fiscal year ending October 31.</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Copyright© 2025 S&amp;P Dow Jones Indices LLC, a division of S&amp;P Global. All rights reserved.</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Copyright© 2025 Russell Investment Group. All rights reserved.</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 and Affiliated Purchasers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restart"/>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42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8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(2)</w:t>
            </w:r>
          </w:p>
        </w:tc>
        <w:tc>
          <w:tcPr>
            <w:tcW w:w="18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8"/>
        <w:spacing w:after="0" w:line="242" w:lineRule="auto"/>
        <w:tabs>
          <w:tab w:leader="none" w:pos="185"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were acquired from employees in accordance with our stock-based compensation plan as a result of share withholdings to pay income tax related to the vesting and distribution of restricted stock awards.</w:t>
      </w:r>
    </w:p>
    <w:p>
      <w:pPr>
        <w:spacing w:after="0" w:line="128"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1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were repurchased under this program as of October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(MD&amp;A) is intended to promote understanding of the results of operations and financial condition. MD&amp;A is provided as a supplement to, and should be read in conjunction with, our consolidated financial statements and the accompanying Notes to Consolidated Financial Statements (Part II, Item 8 of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 on Form 10-K. This section generally discusses the results of operations for fiscal year 2025 compared to fiscal year 2024. For discussion related to the results of operations and changes in financial condition for fiscal year 2024 compared to fiscal year 2023 refer to 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in our fiscal year 2024 Form 10-K, which was filed with the United States Securities and Exchange Commission (SEC) on December 23,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operations consist of fruit production, sales and marketing, rental operations, real estate and capital investment activities.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wine grapes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Refer to Part I, Item 1 “Fiscal Year 2025 Highlights and Recent Developments”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1"/>
        </w:trPr>
        <w:tc>
          <w:tcPr>
            <w:tcW w:w="4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153,685</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96 %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159,723</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191,503</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179,901</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sales of water rights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84"/>
        </w:trPr>
        <w:tc>
          <w:tcPr>
            <w:tcW w:w="44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Gain on remeasurement of previously held equity method</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4"/>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180,128</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197,681</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169,118</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sales of water rights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4"/>
        </w:trPr>
        <w:tc>
          <w:tcPr>
            <w:tcW w:w="44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Gain on remeasurement of previously held equity method</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4"/>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(provision)</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pension settlement cost, impairment of intangible asset, loss (gain) on disposal of assets, net, cash bonus related to sale of assets, gain on legal settlement, cash severance benefits, contract termination fee and gain on remeasurement of previously held equity method investment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spacing w:after="0" w:line="123"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jc w:val="center"/>
        <w:ind w:left="70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 cost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bonus related to sale of assets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severance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fee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remeasurement of previously held equity method investment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Compared to Fiscal Year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fiscal year 2025 were $159.7 million, compared to $191.5 million for fiscal year 2024. The 17% decrease of $31.8 million was primarily due to decreased agribusiness revenue from lemons, avocados, wine grapes and farm management, partially offset by increased agribusiness revenues from oranges, as detailed below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October</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(11,217)</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(13,373)</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(53)%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2,556</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49%</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wine grapes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(1,079)</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(21)%</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(8,590)</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(84)%</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(535)</w:t>
            </w: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(13)%</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153,685</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(32,238)</w:t>
            </w:r>
          </w:p>
        </w:tc>
        <w:tc>
          <w:tcPr>
            <w:tcW w:w="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(17)%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jc w:val="both"/>
        <w:ind w:left="340" w:hanging="332"/>
        <w:spacing w:after="0" w:line="258"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for fiscal year 2025, compared to fiscal year 2024, was primarily due to lower prices, partially offset by increased volume of fresh and brokered lemons sold and other lemon sales. Fresh carton sales were $83.8 million and $84.0 million, in aggregate, on 4.7 million and 4.5 million cartons of lemons sold at average per carton prices of $17.74 and $18.87 for fiscal years 2025 and 2024, respectively. Lemon revenue included brokered lemons and other lemon sales of $21.6 million and $32.0 million, packing and handling revenue of $17.9 million and $17.1 million, and lemon by-product sales of $1.7 million and $3.0 million for fiscal years 2025 and 2024, respectively.</w:t>
      </w:r>
    </w:p>
    <w:p>
      <w:pPr>
        <w:spacing w:after="0" w:line="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Avocados: The decrease for fiscal year 2025, compared to fiscal year 2024, was due to decreased volume and lower prices of avocados sold. The California avocado crop typically experiences alternating years of high and low production due to plant physiology. We sold 7.4 million and 15.1 million pounds of avocados at average prices per pound of $1.60 and $1.67 for fiscal years 2025 and 2024, respectively.</w:t>
      </w:r>
    </w:p>
    <w:p>
      <w:pPr>
        <w:spacing w:after="0" w:line="40"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Oranges: The increase for fiscal year 2025, compared to fiscal year 2024, was primarily due to increased volume and higher prices of oranges sold. We sold 409,000 and 280,000 cartons of oranges at an average price per carton of $18.93 and $18.53 for fiscal years 2025 and 2024, respectively.</w:t>
      </w:r>
    </w:p>
    <w:p>
      <w:pPr>
        <w:spacing w:after="0" w:line="13" w:lineRule="exact"/>
        <w:rPr>
          <w:rFonts w:ascii="Times New Roman" w:cs="Times New Roman" w:eastAsia="Times New Roman" w:hAnsi="Times New Roman"/>
          <w:sz w:val="18"/>
          <w:szCs w:val="18"/>
          <w:b w:val="1"/>
          <w:bCs w:val="1"/>
          <w:i w:val="1"/>
          <w:iCs w:val="1"/>
          <w:color w:val="auto"/>
        </w:rPr>
      </w:pPr>
    </w:p>
    <w:p>
      <w:pPr>
        <w:ind w:left="340" w:right="20" w:hanging="332"/>
        <w:spacing w:after="0" w:line="282"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Specialty citrus and wine grapes: The decrease for fiscal year 2025, compared to fiscal year 2024, was primarily due to decreased volume of wine grapes sold. We sold $1.8 million and $2.9 million of wine grapes during fiscal years 2025 and 2024, respectively.</w:t>
      </w:r>
    </w:p>
    <w:p>
      <w:pPr>
        <w:spacing w:after="0" w:line="94"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management: Farm management revenue was comprised primarily of Northern Properties farming, management and operations services and decreased for fiscal year 2025 compared to fiscal year 2024 due to the FMA termination effective March 31, 2025.</w:t>
      </w:r>
    </w:p>
    <w:p>
      <w:pPr>
        <w:spacing w:after="0" w:line="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Other revenue, comprised primarily of fallowing and shipping, decreased for fiscal year 2025, compared to fiscal year 2024, due to decreased shipping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for fiscal year 2025 was $6.0 million, compared to $5.6 million for fiscal year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costs and expenses for fiscal year 2025 were $180.1 million, compared to $197.7 million for fiscal year 2024. The 9% decrease of $17.6 million was primarily due to decreased agribusiness costs and expenses and selling, general and administrative expenses. Agribusiness costs and expenses are detailed below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October</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8"/>
        </w:trPr>
        <w:tc>
          <w:tcPr>
            <w:tcW w:w="6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4,630</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11%</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(3,090)</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(25)%</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(10,067)</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(37)%</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(2,108)</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(488)</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(19)%</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1,126</w:t>
            </w: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16%</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154,810</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(9,997)</w:t>
            </w:r>
          </w:p>
        </w:tc>
        <w:tc>
          <w:tcPr>
            <w:tcW w:w="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58"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Packing costs: Packing costs consist primarily of the costs to pack lemons for sale such as labor and benefits, cardboard cartons, fruit treatments, packing and shipping supplies and facility operating costs. The increase for fiscal year 2025, compared to fiscal year 2024, was primarily due to increased volume, higher labor costs, and higher packing costs due to a $2.1 million contract termination fee related to our Commercial Packinghouse License Agreement with Sunkist. We packed and sold 4.7 million and 4.5 million cartons of lemons at average per carton costs of $10.03 and $9.60 for fiscal years 2025 and 2024, respectively.</w:t>
      </w:r>
    </w:p>
    <w:p>
      <w:pPr>
        <w:spacing w:after="0" w:line="48"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Harvest costs: The decrease in harvest costs for fiscal year 2025, compared to fiscal year 2024. was primarily due to decreased volume of lemons and avocados harvested.</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for fiscal year 2025, compared to fiscal year 2024, was primarily due to the decrease in farm management growing costs related to the FMA termination and farm management decisions made in response to weather, harvest timing and crop conditions.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7" w:name="page38"/>
    <w:bookmarkEnd w:id="37"/>
    <w:p>
      <w:pPr>
        <w:jc w:val="both"/>
        <w:ind w:left="340" w:hanging="332"/>
        <w:spacing w:after="0" w:line="25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and suppliers is referred to as third-party grower and supplier costs. The decrease for fiscal year 2025, compared to fiscal year 2024, was primarily due to a decrease in incurred costs for brokered fruit for resale of $27.5 million compared to $31.3 million, respectively, partially offset by an increase in incurred costs of third party grower fruit of $42.5 million compared to $40.9 million, respectively. Of the 4.7 million and 4.5 million cartons of lemons packed and sold, 3.7 million (78%) and 3.2 million (72%) were procured from third-party growers at average per carton prices of $11.55 and $12.76 for fiscal years 2025 and 2024, respectively.</w:t>
      </w:r>
    </w:p>
    <w:p>
      <w:pPr>
        <w:spacing w:after="0" w:line="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costs: The decrease in other costs for fiscal year 2025, compared to fiscal year 2024, was due to decreased freight costs.</w:t>
      </w:r>
    </w:p>
    <w:p>
      <w:pPr>
        <w:spacing w:after="0" w:line="157" w:lineRule="exact"/>
        <w:rPr>
          <w:rFonts w:ascii="Times New Roman" w:cs="Times New Roman" w:eastAsia="Times New Roman" w:hAnsi="Times New Roman"/>
          <w:sz w:val="18"/>
          <w:szCs w:val="18"/>
          <w:b w:val="1"/>
          <w:bCs w:val="1"/>
          <w:i w:val="1"/>
          <w:iCs w:val="1"/>
          <w:color w:val="auto"/>
        </w:rPr>
      </w:pPr>
    </w:p>
    <w:p>
      <w:pPr>
        <w:ind w:left="340" w:right="2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The increase in depreciation and amortization expenses for fiscal year 2025, compared to fiscal year 2024, was primarily due to increases in agribusiness depreciation and amortization of finance leases.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operations expenses for fiscal year 2025 were $4.5 million compared to $5.3 million for fiscal year 2024. The decrease in other operations expenses was primarily due to severance benefits paid in fiscal year 2024 and decreased residential and commercial rental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 was $0.6 million for fiscal year 2024. There was no impairment of intangible asset for fiscal year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sales of water rights was $1.5 million for fiscal year 2025. There was no sale of water rights for fiscal year 2024.</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(gain) on disposal of assets, net for fiscal year 2025 was $0.7 million compared to $(0.5) million for fiscal year 2024. The 2025 loss primarily relates to the disposal of orchards and the 2024 gain primarily relates to a deferred gain on the LLCB II sale.</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fiscal year 2025 were $24.5 million compared to $27.5 million for fiscal year 2024. The $3.0 million decrease was primarily due to:</w:t>
      </w:r>
    </w:p>
    <w:p>
      <w:pPr>
        <w:spacing w:after="0" w:line="9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net decrease in salaries, benefits and incentive compensation;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net increase in allowance for receivables from foreign related party, net;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net increase in other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other (expense) income for fiscal year 2025 was $(0.6) million compared to $17.7 million for fiscal year 2024. The $18.3 million decrease in total other income was primarily due to:</w:t>
      </w:r>
    </w:p>
    <w:p>
      <w:pPr>
        <w:spacing w:after="0" w:line="108"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$17.6 million decrease of equity in earnings of investments, net, primarily due to LLCB’s closing of 554 residential homesites in fiscal year 2024;</w:t>
      </w:r>
    </w:p>
    <w:p>
      <w:pPr>
        <w:spacing w:after="0" w:line="5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$0.6 million increase of interest expense, net of patronage dividends; and</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$0.1 million decrease of other income, net.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benefit (provision) of $4.6 million and $(4.4) million on pre-tax (loss) income of $(21.0) million and $11.5 million for fiscal years 2025 and 2024, respectively. The tax benefit recorded for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effective tax rate for fiscal years 2025 and 2024 was 22.1% and 37.9%,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Net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represents 10% and 49% of the net loss of PDA and Trapani Fresh, respectively, for fiscal years 2025 and 2024. Fiscal year 2025 includes 45.5% of the net income of Del Mar for the period August 4, 2025 to October 31,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During fiscal year 2025, the Company changed its presentation of fresh lemons and lemon packing revenue and costs to remove reference to intersegment revenue and costs and eliminations. Prior years’ information has been restated to conform to the current year’s presentation. The Company adopted ASU 2023-07 as of fiscal year 2025 and, as a result, expanded its segment information to include significant segment expenses and other segment items. See Note 20 - Segment Information for additional information regarding our operating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2025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Lemons</w:t>
            </w:r>
          </w:p>
        </w:tc>
        <w:tc>
          <w:tcPr>
            <w:tcW w:w="180" w:type="dxa"/>
            <w:vAlign w:val="bottom"/>
          </w:tcPr>
          <w:p>
            <w:pPr>
              <w:spacing w:after="0"/>
              <w:rPr>
                <w:sz w:val="13"/>
                <w:szCs w:val="13"/>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8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159,723</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benefits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Packing supplies and fruit treatments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Harvest costs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Growing costs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Third party grower and supplier costs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segment items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165"/>
        </w:trPr>
        <w:tc>
          <w:tcPr>
            <w:tcW w:w="39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Gain on remeasurement of previously held equity method</w:t>
            </w: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w:t>
            </w: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24,200</w:t>
            </w:r>
          </w:p>
        </w:tc>
        <w:tc>
          <w:tcPr>
            <w:tcW w:w="0" w:type="dxa"/>
            <w:vAlign w:val="bottom"/>
          </w:tcPr>
          <w:p>
            <w:pPr>
              <w:spacing w:after="0"/>
              <w:rPr>
                <w:sz w:val="1"/>
                <w:szCs w:val="1"/>
                <w:color w:val="auto"/>
              </w:rPr>
            </w:pPr>
          </w:p>
        </w:tc>
      </w:tr>
      <w:tr>
        <w:trPr>
          <w:trHeight w:val="145"/>
        </w:trPr>
        <w:tc>
          <w:tcPr>
            <w:tcW w:w="3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costs  and  expenses,  excluding  depreciation  and</w:t>
            </w: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77,589</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146,567</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170,919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2024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Lemons</w:t>
            </w:r>
          </w:p>
        </w:tc>
        <w:tc>
          <w:tcPr>
            <w:tcW w:w="200" w:type="dxa"/>
            <w:vAlign w:val="bottom"/>
          </w:tcPr>
          <w:p>
            <w:pPr>
              <w:spacing w:after="0"/>
              <w:rPr>
                <w:sz w:val="13"/>
                <w:szCs w:val="13"/>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8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191,503</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benefits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Packing supplies and fruit treatments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Harvest costs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Growing costs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Third party grower and supplier costs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72,176</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segment items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0" w:type="dxa"/>
            <w:vAlign w:val="bottom"/>
          </w:tcPr>
          <w:p>
            <w:pPr>
              <w:spacing w:after="0"/>
              <w:rPr>
                <w:sz w:val="1"/>
                <w:szCs w:val="1"/>
                <w:color w:val="auto"/>
              </w:rPr>
            </w:pPr>
          </w:p>
        </w:tc>
      </w:tr>
      <w:tr>
        <w:trPr>
          <w:trHeight w:val="142"/>
        </w:trPr>
        <w:tc>
          <w:tcPr>
            <w:tcW w:w="39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3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84,181</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157,690</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31,617</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189,307</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Fiscal Year 2025 Segment Information Compared to Fiscal Year 2024 Segment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Lemons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net of pack charge, lemon by-products, brokered lemons and other lemon revenue. Our fresh lemons segment total net revenues for fiscal year 2025 were $75.8 million compared to $86.9 million for fiscal year 2024. The 13% decrease of $11.1 million was primarily due to:</w:t>
      </w:r>
    </w:p>
    <w:p>
      <w:pPr>
        <w:spacing w:after="0" w:line="10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Brokered lemons and other lemon sales decrease of $10.4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Lemon by-products sales decrease of $1.3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lemons sales net of pack charge increase of $0.6 million.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and cost of lemons we procure from third-party growers and suppliers. Our fresh lemons segment costs and expenses for fiscal year 2025 were $77.6 million compared to $84.2 million for fiscal year 2024. The 8% decrease of $6.6 million was primarily due to:</w:t>
      </w:r>
    </w:p>
    <w:p>
      <w:pPr>
        <w:spacing w:after="0" w:line="10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Third-party grower and supplier costs decrease of $4.1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decrease of $1.4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decrease of $1.1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and packing and handling revenue. Our lemon packing segment total net revenues for fiscal year 2025 were $49.1 million compared to $49.3 million for fiscal year 2024.</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costs to pack lemons for sale such as labor and benefits, cardboard cartons, fruit treatments, packing and shipping supplies, subcontracted and facility operating costs. Our lemon packing costs and expenses for fiscal year 2025 were $47.4 million compared to $42.8 million for fiscal year 2024. The 11% increase of $4.6 million was primarily due to increased volume of lemons packed and sold, higher labor costs, and higher packing costs due to a $2.1 million contract termination fee.</w:t>
      </w:r>
    </w:p>
    <w:p>
      <w:pPr>
        <w:spacing w:after="0" w:line="112" w:lineRule="exact"/>
        <w:rPr>
          <w:sz w:val="20"/>
          <w:szCs w:val="20"/>
          <w:color w:val="auto"/>
        </w:rPr>
      </w:pPr>
    </w:p>
    <w:p>
      <w:pPr>
        <w:ind w:right="1940"/>
        <w:spacing w:after="0" w:line="414" w:lineRule="auto"/>
        <w:rPr>
          <w:sz w:val="20"/>
          <w:szCs w:val="20"/>
          <w:color w:val="auto"/>
        </w:rPr>
      </w:pPr>
      <w:r>
        <w:rPr>
          <w:rFonts w:ascii="Times New Roman" w:cs="Times New Roman" w:eastAsia="Times New Roman" w:hAnsi="Times New Roman"/>
          <w:sz w:val="18"/>
          <w:szCs w:val="18"/>
          <w:color w:val="auto"/>
        </w:rPr>
        <w:t xml:space="preserve">Lemon packing segment operating income per carton sold for fiscal year 2025 was $0.37 compared to $1.46 for fiscal year 2024. </w:t>
      </w:r>
      <w:r>
        <w:rPr>
          <w:rFonts w:ascii="Times New Roman" w:cs="Times New Roman" w:eastAsia="Times New Roman" w:hAnsi="Times New Roman"/>
          <w:sz w:val="18"/>
          <w:szCs w:val="18"/>
          <w:b w:val="1"/>
          <w:bCs w:val="1"/>
          <w:i w:val="1"/>
          <w:iCs w:val="1"/>
          <w:color w:val="auto"/>
        </w:rPr>
        <w:t>Avocados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avocados segment revenue for fiscal year 2025 was $11.7 million compared to $25.1 million for fiscal year 2024. The 53% decrease of $13.4 million was primarily due to decreased volume and lower prices.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Our avocados segment costs and expenses for fiscal year 2025 were $6.0 million compared to $7.3 million for fiscal year 2024. The 18% decrease of $1.3 million was primarily due to:</w:t>
      </w:r>
    </w:p>
    <w:p>
      <w:pPr>
        <w:spacing w:after="0" w:line="9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decrease of $1.7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increase of $0.4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other agribusiness segment total net revenues for fiscal year 2025 were $17.0 million compared to $24.6 million for fiscal year 2024. The 31% decrease of $7.6 million was primarily due to:</w:t>
      </w:r>
    </w:p>
    <w:p>
      <w:pPr>
        <w:spacing w:after="0" w:line="9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Farm management revenue decrease of $8.6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wine grape revenues decrease of $1.1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decrease of $0.5 million;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 increase of $2.6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brokered fruit costs and shipping costs. Our other agribusiness costs and expenses for fiscal year 2025 were $15.6 million compared to $23.4 million for fiscal year 2024. The 33% decrease of $7.8 million was primarily due to:</w:t>
      </w:r>
    </w:p>
    <w:p>
      <w:pPr>
        <w:spacing w:after="0" w:line="10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decrease of $9.0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costs decrease of $0.5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decrease of $0.3 million; and</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Brokered fruit costs increase of $2.0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agribusiness depreciation and amortization expenses for fiscal year 2025 were $8.2 million compared to $7.1 million for fiscal year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revenues for fiscal year 2025 were $6.0 million compared to $5.6 million for fiscal year 2024.</w:t>
      </w:r>
    </w:p>
    <w:p>
      <w:pPr>
        <w:spacing w:after="0" w:line="14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Costs and expenses in our corporate and other operations for fiscal years 2025 and 2024 were $24.4 million and $31.6 million, respectively, and include selling, general and administrative costs and expenses, impairment of intangible asset, gain on sales of water rights, loss (gain) on disposal of assets and gain on remeasurement of previously held equity method investment not allocated to the operating segments. Depreciation and amortization expenses for fiscal year 2025 were $1.0 million compared to $1.3 million for fiscal year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use of our revolving credit facility, sales of assets and distributions from our equity investments. Our liquidity and capital position fluctuate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consist primarily of purchase obligations, long-term variable rate debt and related interest payments and operating and finance leases. See Note 11 - Long-Term Debt and Note 12 - Leases for amounts outstanding as of October 31, 2025, related to debt and leases. Purchase obligations consist of contracts primarily related to packing supplies, the majority of which are due in the next three years.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and financing cash flows to the extent necessary based on our liquidity demands.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was $(6.0) million and $17.9 million for fiscal years 2025 and 2024, respectively. The significant components of our cash flows (used in) provided by operating activities were as follows:</w:t>
      </w:r>
    </w:p>
    <w:p>
      <w:pPr>
        <w:spacing w:after="0" w:line="81" w:lineRule="exact"/>
        <w:rPr>
          <w:sz w:val="20"/>
          <w:szCs w:val="20"/>
          <w:color w:val="auto"/>
        </w:rPr>
      </w:pPr>
    </w:p>
    <w:p>
      <w:pPr>
        <w:jc w:val="both"/>
        <w:ind w:left="340" w:hanging="332"/>
        <w:spacing w:after="0" w:line="266" w:lineRule="auto"/>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(loss) income was $(16.4) million and $7.2 million for fiscal years 2025 and 2024, respectively. The components of net loss for fiscal year 2025, compared to net income for fiscal year 2024, primarily consists of an increase in operating loss of $14.2 million, a decrease in total other income of $18.3 million and an increase in income tax benefit of $9.0 million.</w:t>
      </w:r>
    </w:p>
    <w:p>
      <w:pPr>
        <w:spacing w:after="0" w:line="4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p>
      <w:pPr>
        <w:spacing w:after="0" w:line="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03"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Adjustments provided $15.2 million and $9.0 million for fiscal years 2025 and 2024, respectively, primarily related to depreciation and amortization, gain on remeasurement of previously held equity method investment, gain on sales of water rights, stock compensation expense, equity in earnings of investments, net, cash distributions from equity investments and deferred income taxes.</w:t>
      </w:r>
    </w:p>
    <w:p>
      <w:pPr>
        <w:spacing w:after="0" w:line="27"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9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operating assets and liabilities used $4.9 million and provided $1.7 million of operating cash for fiscal years 2025 and 2024, respectively, primarily related to accounts payable/growers and suppliers payable, accrued liabilities/payables to related parties, income taxes receivable and other long-term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2" w:lineRule="exact"/>
        <w:rPr>
          <w:sz w:val="20"/>
          <w:szCs w:val="20"/>
          <w:color w:val="auto"/>
        </w:rPr>
      </w:pPr>
    </w:p>
    <w:p>
      <w:pPr>
        <w:ind w:left="340" w:hanging="332"/>
        <w:spacing w:after="0" w:line="282" w:lineRule="auto"/>
        <w:tabs>
          <w:tab w:leader="none" w:pos="33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$18.3 million of net cash used in investing activities for fiscal year 2025 was comprised primarily of capital expenditures of $13.5 million mainly related to orchard development and $4.1 million related to acquiring additional shares of Del Mar.</w:t>
      </w:r>
    </w:p>
    <w:p>
      <w:pPr>
        <w:spacing w:after="0" w:line="13" w:lineRule="exact"/>
        <w:rPr>
          <w:rFonts w:ascii="Times New Roman" w:cs="Times New Roman" w:eastAsia="Times New Roman" w:hAnsi="Times New Roman"/>
          <w:sz w:val="18"/>
          <w:szCs w:val="18"/>
          <w:b w:val="1"/>
          <w:bCs w:val="1"/>
          <w:color w:val="auto"/>
        </w:rPr>
      </w:pPr>
    </w:p>
    <w:p>
      <w:pPr>
        <w:ind w:left="340" w:right="20" w:hanging="332"/>
        <w:spacing w:after="0" w:line="282" w:lineRule="auto"/>
        <w:tabs>
          <w:tab w:leader="none" w:pos="3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$9.2 million of net cash used in investing activities for fiscal year 2024 was comprised primarily of capital expenditures of $9.4 million related to orchard and vineyard development.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48" w:lineRule="exact"/>
        <w:rPr>
          <w:sz w:val="20"/>
          <w:szCs w:val="20"/>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$22.8 million of net cash provided by financing activities for fiscal year 2025 was comprised primarily of net borrowings of long-term debt of $31.9 million, partially offset by common and preferred stock dividends of $5.9 million and exchange of common stock of $2.0 million.</w:t>
      </w:r>
    </w:p>
    <w:p>
      <w:pPr>
        <w:spacing w:after="0" w:line="2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$9.3 million of net cash used in financing activities for fiscal year 2024 was comprised primarily of common and preferred stock dividends of $5.9 million and exchange of common stock of $2.3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distributions from equity investments and from our Credit Facility with AgWest Farm Credit, formerly known as Farm Credit West, (the "Lender"). In June 2025, we entered into a Master Loan Agreement (the “MLA”)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and extends the principal repayment to July 1, 2030. Additional information regarding these loans can be found in Note 11- Long-Term Debt.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 million, comprised of $114.0 million under the Revolving Credit Supplement and $1.0 million under the Non-Revolving Credit Supplement which can be used solely to support calls on Letters of Credit. There are no amounts outstanding on the Non-Revolving Credit Supplement. As of October 31, 2025, our outstanding borrowings under the Revolving Credit Supplement were $72.5 million and we had $41.6 million available to borrow.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were subject to an annual financial covenant that required us to maintain compliance with a specific debt service coverage ratio of 1.0:1.0 for the fiscal year ending October 31, 2025, and 1.25:1.0 for any fiscal year ending thereafter. In September 2025, the Lender modified the annual debt service coverage ratio covenant to defer measurement as of October 31, 2025. In December 2025, the Lender modified the annual debt service coverage ratio covenant to defer measurement as of October 31, 2026 and resume a debt service coverage ratio of 1.25:1.0 measured as of October 31, 2027 and for any fiscal year ending thereafter.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also subject to a quarterly financial covenant that required us to maintain compliance with a specific total net leverage ratio as of the end of any fiscal quarter beginning July 31, 2026.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us to maintain a specific debt to capitalization ratio.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received annual patronage dividends from the Lender of $0.6 million for fiscal years 2025 and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 Joint Ve</w:t>
      </w:r>
      <w:r>
        <w:rPr>
          <w:rFonts w:ascii="Times New Roman" w:cs="Times New Roman" w:eastAsia="Times New Roman" w:hAnsi="Times New Roman"/>
          <w:sz w:val="19"/>
          <w:szCs w:val="19"/>
          <w:i w:val="1"/>
          <w:iCs w:val="1"/>
          <w:color w:val="auto"/>
        </w:rPr>
        <w:t>nture</w:t>
      </w:r>
    </w:p>
    <w:p>
      <w:pPr>
        <w:spacing w:after="0" w:line="1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9, 2025, we received a cash distribution of $10.0 million representing our share of a $20.0 million distribution from our joint venture, Harvest at Limoneira. As of October 31, 2025, the 50%-owned unconsolidated joint venture had $31.2 million of cash and cash equivalents on hand.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the Series B Convertible Preferred Stock (the “Series B Stock”) and the Series B-2 Preferred Stock (the “Series B-2 Preferred Stock”) are entitled to receive cumulative cash dividends. Such preferred dividends paid totaled $0.5 million in each of the fiscal years 2025 and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dividends declared in each of the fiscal years 2025 and 2024 totaled $0.30 per common share and such dividends paid totaled $5.4 million for both fiscal years 2025 and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income taxes of $0.7 million and $5.2 million for fiscal years 2025 and 2024,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Activities and Related Capital Resources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third-party sources of capital to collaborate with us to move those development projects forward. While we are frequently in discussions with potential external sources of capital in respect to all of our development projects, current market conditions for California real estate projects make it difficult to predict the timing and amounts of future capital that will be required to complete the development of our projects.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The first phase of the project broke ground to commence mass grading in November 2017. Approved project plans currently include approximately 1,750 residential units and site improvements. A total of 1,261 residential units have closed from the project’s inception to October 31, 2025.</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2022, we entered into another joint venture with Lewis for the development of our 17-acre East Area I Retained Property. We formed LLCB II as the development entity, contributed our Retained Property to the joint venture and sold a 50% interest to Lewis for $8.0 million. We recorded a gain on the transaction of $4.7 million, of which $0.5 million was deferred and recognized in fiscal year 2024. Approved project plans currently include approximately 300 residential units and site improvements.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The joint venture partners will share in the capital contributions to fund project costs until loan proceeds and/or revenues are sufficient to fund the projects. Since inception, each partner has made funding contributions of $21.4 million to LLCB and $3.2 million to LLCB II. In April 2025, we received a cash distribution of $10.0 million from LLCB and we expect to receive approximately $155.0 million from LLCB, LLCB II and East Area II over the next five years of the projects.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commodity pricing for our fresh produce, and therefore our revenues and margins, is significantly impacted by consumer demand. 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fruits and vegetables markedly increased. Conversely, a decrease in demand, as was seen during the COVID-19 pandemic as a result of restaurant closures, had the impact of reducing our pricing and therefore our revenues and margins.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For further information on significant accounting policies, see discussion in Note 2 - Summary of Significant Accounting Policies.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Real Estate Development Projects – </w:t>
      </w:r>
      <w:r>
        <w:rPr>
          <w:rFonts w:ascii="Times New Roman" w:cs="Times New Roman" w:eastAsia="Times New Roman" w:hAnsi="Times New Roman"/>
          <w:sz w:val="18"/>
          <w:szCs w:val="18"/>
          <w:color w:val="auto"/>
        </w:rPr>
        <w:t>We evaluate our real estate development projects, held either by us or as included specifically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LLCB and LLCB II, for impairment on an ongoing basis. Our evaluation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litigation, zoning, government regulation, geographical demand for new housing or commercial property, and market conditions related to residential or commercial land lots. When events or changes in circumstances exist, we further evaluate the real estate development projects for impairment by a) comparing undiscounted future cash flows expected to be generated over the life of the real estate development projects to the respective carrying amount for our real estate development or b) determining if our equity in investment incurred an other-than-temporary decline in value.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significant judgments in evaluating each real estate development project, as held by us or within our investments in LLCB and LLCB II,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No impairment loss has been recognized on any real estate development and no other-than-temporary-impairment has been recognized on our equity in LLCB or LLCB II, for fiscal years 2025, 2024 and 2023.</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calculation for real estate developments held by us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our equity investments in LLCB and LLCB II might not be recoverable, then we determine whether an impairment is other-than-temporary. If we conclude the impairment is other-than-temporary, we determine the estimated fair value of the investment by performing a discounted cash flow or market approach analysis and recognize an other-than-temporary impairment to reduce the investment to its estimated fair value.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accounting estimate related to impairment of real estate development projects held by us, or other-than-temporary impairment of our equity investments in LLCB and LLCB II,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 projects or return on equity of our investments in LLCB and LLCB II have fluctuated in the past due to changes in prices, production and costs and are expected to continue to do so in the future as market conditions change.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Summary of Significant Accounting Policies for information concerning recent accounting pronouncements.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AgWest Farm Credit Facility are subject to variable interest rates. These variable interest rates subject us to the risk of increased interest costs associated with any upward movements in interest rates. For the AgWest Farm Credit Facility, our borrowing interest rate is an internally calculated rate based on an AgWest Farm Credit internal method that follows the changing market interest rates and the cost to fund variable-rate loans. Rate changes are expected to be generally the same as the Federal Open Market Committee (the “FOMC”) recommended changes; however the changes may be marginally different than the FOMC’s recommendation. As of October 31, 2025, our total debt outstanding under the AgWest Farm Credit Facility was $72.5 million.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level of borrowings as of October 31, 2025, a 100 basis points increase in interest rates would increase our interest rate expense by $0.7 million for fiscal year 2026 and by an annual average of $0.7 million for each of the three subsequent fiscal years. Additionally, a 100 basis points increase in the interest rate would decrease our net income by $0.5 million for fiscal year 2026 and by an annual average of $0.5 million for each of the three subsequent fiscal years. We have strategies in place to manage our exposure to interest rate risk, including the potential early pay down of outstanding debt under the AgWest Farm Credit Facility. Refer to “Management’s Discussion and Analysis of Financial Condition and Results of Operations – Liquidity and Capital Resources” for additional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100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10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of Limoneira Company</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October 31, 2025 and 2024</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for the years ended October 31, 2025, 2024 and 2023</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October 31, 2025, 2024 and 2023</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2025, 2024 and 2023</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October 31, 2025, 2024 and 2023</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top w:val="single" w:sz="8" w:color="CCEEFF"/>
            </w:tcBorders>
          </w:tcPr>
          <w:p>
            <w:pPr>
              <w:spacing w:after="0"/>
              <w:rPr>
                <w:sz w:val="16"/>
                <w:szCs w:val="16"/>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ind w:right="506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Limoneira Company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Limoneira Company and subsidiaries (the “Company”) as of October 31, 2025 and 2024, the related consolidated statements of operations, comprehensive (loss) income, stockholders' equity and temporary equity, and cash flows, for each of the three years in the period ended October 31, 2025, and the related notes (collectively referred to as the “financial statements”). In our opinion, based on our audits and the report of Ernst &amp; Young LLP, the financial statements present fairly, in all material respects, the financial position of the Company as of October 31, 2025 and 2024, and the results of its operations and its cash flows for each of the three years in the period ended October 31, 2025, in conformity with accounting principles generally accepted in the United States of America.</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October 31, 2025, based on the criteria established in Internal Control — Integrated Framework (2013) issued by the Committee of Sponsoring Organizations of the Treadway Commission and our report dated December 23, 2025, expressed an unqualified opinion on the Company’s internal control over financial reporting based on our audit.</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did not audit the financial statements of Limoneira Lewis Community Builders, LLC (“LLCB”), the Company's investment, which is accounted for by use of the equity method. The accompanying financial statements of the Company include, before the basis difference and related amortization discussed in Note 7, its equity in investment in LLCB of $54,076,000 and $63,581,000 as of October 31, 2025 and 2024, respectively, and its equity earnings in LLCB of $498,000, $20,304,000, and $5,851,000 for the years ended October 31, 2025, 2024, and 2023, respectively. Those financial statements were audited by Ernst &amp; Young LLP, whose report has been furnished to us, and our opinion, insofar as it relates to the amounts included for the Company’s equity in investment and equity earnings in LLCB, is based solely on the report of Ernst &amp; Young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Ernst &amp; Young LLP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Real estate development assets held by the Company and equity in investment in LLCB – Impairment Indicators – Refer to Notes 2, 6, and 7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evaluation of real estate development projects, held either by the Company or as included specifically within its investment in LLCB,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litigation, zoning, government regulation, geographical demand for new housing or commercial property, and market conditions related to residential or commercial land lots. When events or changes in circumstances exist, the Company further evaluates the real estate development projects for impairment by a) comparing undiscounted future cash flows expected to be generated over the life of the real estate development projects to the respective carrying amount for its real estate development or b) determining if its equity in investment has incurred an other-than-temporary decline in value.</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makes significant judgments in evaluating each real estate development project as held by them or within its investment in LLCB,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Real estate development assets held by the Company were $10,628,000, and equity in investments was $72,167,000 as of October 31, 2025 of which $58,416,000 was related to LLCB. For the year ended October 31, 2025, no impairment loss has been recognized on any real estate development and no other-than-temporary-impairment has been recognized on the Company’s equity in LLCB.</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significant judgments made by management in evaluating real estate development assets held by the Company and equity in investment in LLCB, for possible indicators of impairment, as a critical audit matter. This required a high degree of auditor judgment and an increased extent of effort, including the need to involve our fair value specialists, when performing audit procedures to evaluate the reasonableness of management’s estimates and assumptions when determining whether events or changes in circumstances have occurred indicating that the carrying amount of real estate development assets held by the Company and equity in investment in LLCB may not be recoverable and whether management appropriately identified impairment indicators.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evaluation of real estate development assets held by the Company and equity in investment in LLCB for possible indications of impairment included the following, among others:</w:t>
      </w:r>
    </w:p>
    <w:p>
      <w:pPr>
        <w:spacing w:after="0" w:line="108" w:lineRule="exact"/>
        <w:rPr>
          <w:sz w:val="20"/>
          <w:szCs w:val="20"/>
          <w:color w:val="auto"/>
        </w:rPr>
      </w:pPr>
    </w:p>
    <w:p>
      <w:pPr>
        <w:jc w:val="both"/>
        <w:ind w:left="660" w:hanging="328"/>
        <w:spacing w:after="0" w:line="238" w:lineRule="auto"/>
        <w:tabs>
          <w:tab w:leader="none" w:pos="621" w:val="left"/>
        </w:tabs>
        <w:numPr>
          <w:ilvl w:val="0"/>
          <w:numId w:val="35"/>
        </w:numPr>
        <w:rPr>
          <w:rFonts w:ascii="Arial" w:cs="Arial" w:eastAsia="Arial" w:hAnsi="Arial"/>
          <w:sz w:val="20"/>
          <w:szCs w:val="20"/>
          <w:color w:val="auto"/>
        </w:rPr>
      </w:pPr>
      <w:r>
        <w:rPr>
          <w:rFonts w:ascii="Times New Roman" w:cs="Times New Roman" w:eastAsia="Times New Roman" w:hAnsi="Times New Roman"/>
          <w:sz w:val="18"/>
          <w:szCs w:val="18"/>
          <w:color w:val="auto"/>
        </w:rPr>
        <w:t>We tested the effectiveness of the controls over management’s identification of possible circumstances that may indicate that real estate development assets held by the Company or equity in investment in LLCB is no longer recoverable, including controls over management’s evaluation of the entitlement process, litigation, zoning, government regulation, geographical demand and market conditions.</w:t>
      </w:r>
    </w:p>
    <w:p>
      <w:pPr>
        <w:spacing w:after="0" w:line="117"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impairment analysis by:</w:t>
      </w:r>
    </w:p>
    <w:p>
      <w:pPr>
        <w:spacing w:after="0" w:line="157"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adverse asset-specific and/or market conditions by reviewing publicly available information on land values in the surrounding regions of the development, periodicals and news information relating to the Southern California real estate market</w:t>
      </w:r>
    </w:p>
    <w:p>
      <w:pPr>
        <w:spacing w:after="0" w:line="13" w:lineRule="exact"/>
        <w:rPr>
          <w:rFonts w:ascii="Times New Roman" w:cs="Times New Roman" w:eastAsia="Times New Roman" w:hAnsi="Times New Roman"/>
          <w:sz w:val="18"/>
          <w:szCs w:val="18"/>
          <w:color w:val="auto"/>
        </w:rPr>
      </w:pPr>
    </w:p>
    <w:p>
      <w:pPr>
        <w:ind w:left="13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information from legal counsel and performing inquiries with management in order to evaluate any changes in the status of litigation matters affecting the real estate development assets and the potential impact on the ability to recover the accumulated costs, including any relevant government regulations and/or other matters impacting the entitlement process</w:t>
      </w:r>
    </w:p>
    <w:p>
      <w:pPr>
        <w:spacing w:after="0" w:line="40"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comparable land sales in the area and comparing such data to information used by management with the assistance of our fair value specialists</w:t>
      </w:r>
    </w:p>
    <w:p>
      <w:pPr>
        <w:spacing w:after="0" w:line="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an independent expectation of impairment indicators and comparing such expectation to management’s analysis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Assets held for sale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25,846</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162,046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0" w:type="dxa"/>
            <w:vAlign w:val="bottom"/>
          </w:tcPr>
          <w:p>
            <w:pPr>
              <w:spacing w:after="0"/>
              <w:rPr>
                <w:sz w:val="1"/>
                <w:szCs w:val="1"/>
                <w:color w:val="auto"/>
              </w:rPr>
            </w:pPr>
          </w:p>
        </w:tc>
      </w:tr>
      <w:tr>
        <w:trPr>
          <w:trHeight w:val="212"/>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311,137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298,815</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07"/>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40,031</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96,314</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October</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2025 and October 31, 2024) (8.75% coupon rate)</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October</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 2025 and October 31, 2024) (4% dividend rate on liquidation value of $1,000 per share)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October 31,</w:t>
            </w:r>
          </w:p>
        </w:tc>
        <w:tc>
          <w:tcPr>
            <w:tcW w:w="2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and October 31, 2024)</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 $0.01 par value (39,000,000 shares authorized: 18,287,868 and 18,284,148 shares issued and 18,036,891 and</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18,033,171 shares outstanding at October 31, 2025 and October 31, 2024, respectively)</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170,243</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October 31, 2025 and October 31, 2024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0" w:type="dxa"/>
            <w:vAlign w:val="bottom"/>
          </w:tcPr>
          <w:p>
            <w:pPr>
              <w:spacing w:after="0"/>
              <w:rPr>
                <w:sz w:val="1"/>
                <w:szCs w:val="1"/>
                <w:color w:val="auto"/>
              </w:rPr>
            </w:pPr>
          </w:p>
        </w:tc>
      </w:tr>
      <w:tr>
        <w:trPr>
          <w:trHeight w:val="20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180,027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191,691</w:t>
            </w:r>
          </w:p>
        </w:tc>
        <w:tc>
          <w:tcPr>
            <w:tcW w:w="0" w:type="dxa"/>
            <w:vAlign w:val="bottom"/>
          </w:tcPr>
          <w:p>
            <w:pPr>
              <w:spacing w:after="0"/>
              <w:rPr>
                <w:sz w:val="1"/>
                <w:szCs w:val="1"/>
                <w:color w:val="auto"/>
              </w:rPr>
            </w:pPr>
          </w:p>
        </w:tc>
      </w:tr>
      <w:tr>
        <w:trPr>
          <w:trHeight w:val="212"/>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311,137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298,815</w:t>
            </w:r>
          </w:p>
        </w:tc>
        <w:tc>
          <w:tcPr>
            <w:tcW w:w="0" w:type="dxa"/>
            <w:vAlign w:val="bottom"/>
          </w:tcPr>
          <w:p>
            <w:pPr>
              <w:spacing w:after="0"/>
              <w:rPr>
                <w:sz w:val="1"/>
                <w:szCs w:val="1"/>
                <w:color w:val="auto"/>
              </w:rPr>
            </w:pPr>
          </w:p>
        </w:tc>
      </w:tr>
      <w:tr>
        <w:trPr>
          <w:trHeight w:val="21"/>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20"/>
          </w:cols>
          <w:pgMar w:left="320" w:top="9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7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Years Ended October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174,381</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179,901</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169,169</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remeasurement of previously held equity method investment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26,455</w:t>
            </w:r>
          </w:p>
        </w:tc>
      </w:tr>
      <w:tr>
        <w:trPr>
          <w:trHeight w:val="207"/>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197,681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169,118</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10,783</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w:t>
            </w:r>
          </w:p>
        </w:tc>
      </w:tr>
      <w:tr>
        <w:trPr>
          <w:trHeight w:val="213"/>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 benefit (provision)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Limoneira Company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applicable to common stock</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8,899</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(loss) income per common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(loss) income per common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17,603</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(LOSS) INCOME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20" w:type="dxa"/>
            <w:vAlign w:val="bottom"/>
            <w:tcBorders>
              <w:bottom w:val="single" w:sz="8" w:color="auto"/>
            </w:tcBorders>
          </w:tcPr>
          <w:p>
            <w:pPr>
              <w:spacing w:after="0"/>
              <w:rPr>
                <w:sz w:val="20"/>
                <w:szCs w:val="20"/>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 adjustments, net of tax of zero, zero and $(135)</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Pension settlement cost, net of tax of zero, zero and $756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2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r>
      <w:tr>
        <w:trPr>
          <w:trHeight w:val="23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8"/>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Limoneira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84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7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20" w:type="dxa"/>
            <w:vAlign w:val="bottom"/>
          </w:tcPr>
          <w:p>
            <w:pPr>
              <w:spacing w:after="0"/>
              <w:rPr>
                <w:sz w:val="11"/>
                <w:szCs w:val="11"/>
                <w:color w:val="auto"/>
              </w:rPr>
            </w:pPr>
          </w:p>
        </w:tc>
        <w:tc>
          <w:tcPr>
            <w:tcW w:w="84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17,684,315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181,054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October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17,941,032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168,441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189,687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Noncontrolling interest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18,033,171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Acquired noncontrolling interest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Noncontrolling interest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18,036,891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October 31,</w:t>
            </w:r>
          </w:p>
        </w:tc>
        <w:tc>
          <w:tcPr>
            <w:tcW w:w="800" w:type="dxa"/>
            <w:vAlign w:val="bottom"/>
            <w:tcBorders>
              <w:bottom w:val="single" w:sz="8" w:color="auto"/>
            </w:tcBorders>
          </w:tcPr>
          <w:p>
            <w:pPr>
              <w:spacing w:after="0"/>
              <w:rPr>
                <w:sz w:val="18"/>
                <w:szCs w:val="18"/>
                <w:color w:val="auto"/>
              </w:rPr>
            </w:pPr>
          </w:p>
        </w:tc>
      </w:tr>
      <w:tr>
        <w:trPr>
          <w:trHeight w:val="211"/>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remeasurement of previously held equity method investment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distributions from equity investments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3"/>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Cultural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13"/>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3"/>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21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w:t>
            </w: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sales of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98,545</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legal settlement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real estate development assets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water rights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distributions from Trapani Fresh</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to acquire additional shares of Limco Del Mar, net of cash received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 on notes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 contributions and capitalized interest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distributions from equity investment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90,577</w:t>
            </w:r>
          </w:p>
        </w:tc>
      </w:t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57,940</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(122,921)</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paid on finance leases and equipment financings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(71,922)</w:t>
            </w:r>
          </w:p>
        </w:tc>
      </w:tr>
      <w:tr>
        <w:trPr>
          <w:trHeight w:val="20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0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36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October 31,</w:t>
            </w:r>
          </w:p>
        </w:tc>
        <w:tc>
          <w:tcPr>
            <w:tcW w:w="80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Cancellation of loan guarantee related to equity investment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 The Company markets and sells citrus directly to food service, wholesale and retail customers throughout the United States, Canada, Asia and certain other international markets.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6, 2025, Limoneira entered into a Commercial Packinghouse License Agreement with Sunkist Growers, Inc., a nonprofit marketing cooperative (“Sunkist”), effective as of November 1, 2025. The agreement permits us to grade, label, pack, prepare for marketing by Sunkist and ship Sunkist grower fruit, and to use Sunkist trademarks in these activities. The agreement has an initial term of three years with automatic one-year extensions. Beginning November 1, 2025, Sunkist performs the Company’s sales and marketing operations.</w:t>
      </w:r>
    </w:p>
    <w:p>
      <w:pPr>
        <w:spacing w:after="0" w:line="108" w:lineRule="exact"/>
        <w:rPr>
          <w:sz w:val="20"/>
          <w:szCs w:val="20"/>
          <w:color w:val="auto"/>
        </w:rPr>
      </w:pPr>
    </w:p>
    <w:p>
      <w:pPr>
        <w:ind w:right="7680" w:firstLine="8"/>
        <w:spacing w:after="0" w:line="417" w:lineRule="auto"/>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(loss) income, statements of stockholders’ equity and temporary equity and statements of cash flows of Limoneira Company and consolidated subsidiaries. Intercompany balances and transactions have been eliminated in consolidation. The Company considers the criteria established under the Financial Accounting Standards Board (“FASB”) – </w:t>
      </w:r>
      <w:r>
        <w:rPr>
          <w:rFonts w:ascii="Times New Roman" w:cs="Times New Roman" w:eastAsia="Times New Roman" w:hAnsi="Times New Roman"/>
          <w:sz w:val="18"/>
          <w:szCs w:val="18"/>
          <w:i w:val="1"/>
          <w:iCs w:val="1"/>
          <w:color w:val="auto"/>
        </w:rPr>
        <w:t>Accounting Standards Code (“ASC”) 810, Consolidations,</w:t>
      </w:r>
      <w:r>
        <w:rPr>
          <w:rFonts w:ascii="Times New Roman" w:cs="Times New Roman" w:eastAsia="Times New Roman" w:hAnsi="Times New Roman"/>
          <w:sz w:val="18"/>
          <w:szCs w:val="18"/>
          <w:color w:val="auto"/>
        </w:rPr>
        <w:t xml:space="preserve"> and the effect of variable interest entities, in its consolidation process.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As of October 31, 2025 and 2024 the allowances totaled $600,000 and $355,000, respectively. Credit losses were immaterial, $235,000, and immaterial for fiscal years 2025, 2024 and 2023,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and Geographic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accounts receivable are limited due to a large, diverse customer base. One individual customer represented 16% of revenues for fiscal year 2025 and two individual customers represented 19% and 12% of accounts receivable, net as of October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individual supplier represented 10% of accounts payable as of October 31, 2025.</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Lemons procured from third-party growers were 78%, 72% and 54% of the Company's domestic lemon supply for fiscal years 2025, 2024 and 2023, respectively. Two third-party growers and suppliers were 25% and 23% of growers and suppliers payable as of October 31, 2025.</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Cultural Costs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7"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Cultural Costs (continued)</w:t>
      </w: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climate, growing conditions and the types of crops grown, certain of the Company’s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50</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 and vineyards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w:t>
            </w: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pest control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Interest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real estate development projects and significant construction in progress using the weighted average interest rate during the fiscal year. Capitalized interest is included in property, plant, and equipment, equity in investments and real estate development assets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7" w:lineRule="auto"/>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Real Estate Development Costs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real estate development of $427,000 and $214,000 for fiscal years 2025 and 2024,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Investments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capitalized interest and the Company’s equity in net earnings or loss of the respective joint venture. The Company evaluates equity method investments for impairment whenever events or changes in circumstances exist that may indicate the investments are no longer recoverable or have incurred an other-than-temporary decline in value.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and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trade names and trademarks and a non-competition agreement. The Company’s definite-life intangible assets are being amortized on a straight-line basis over their estimated lives of eight years. Acquired water and mineral rights are indefinite-life assets not subject to amortization. Assets held for sale are carried at the lower of cost or fair value less estimated cost to sell.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including its property and equipment, real estate development projects and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estimated fair value. The Company evaluates its indefinite-life intangible assets annually or whenever events or changes in circumstances indicate an impairment of the assets’ value may exist.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growers and suppliers payable and accrued liabilities reported on the Company’s consolidated balance sheets approximate their fair values due to the short-term nature of the instruments.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borrowing rates currently available to the Company for bank loans with similar terms and maturities, the fair value of long-term debt is approximately equal to its carrying amount as of October 31, 2025 and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presentation. During fiscal year 2025, the Company changed its presentation of fresh lemons and lemon packing revenue and costs to remove reference to intersegment revenue, intersegment costs and expenses and eliminations within Note 20 - Segment Information.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right="6740" w:firstLine="8"/>
        <w:spacing w:after="0" w:line="385" w:lineRule="auto"/>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Comprehensive (Loss)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income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income (loss) by component at October 31(in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Amounts reclassified to earnings included</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 “Other income (expense), net”</w:t>
            </w: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00" w:type="dxa"/>
            <w:vAlign w:val="bottom"/>
          </w:tcPr>
          <w:p>
            <w:pPr>
              <w:spacing w:after="0"/>
              <w:rPr>
                <w:sz w:val="16"/>
                <w:szCs w:val="16"/>
                <w:color w:val="auto"/>
              </w:rPr>
            </w:pPr>
          </w:p>
        </w:tc>
        <w:tc>
          <w:tcPr>
            <w:tcW w:w="1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Translation Loss</w:t>
            </w: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0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whose functional currencies are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(loss) income.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incurred immaterial aggregate foreign exchange transaction losses for fiscal year 2025 and $123,000 and $204,000 for fiscal years 2024 and 2023, respectively. These losses are included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6740" w:firstLine="8"/>
        <w:spacing w:after="0" w:line="415" w:lineRule="auto"/>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Revenue Recognition</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recognizes revenue to depict the transfer of promised goods or services to customers in an amount that reflects the consideration to which the Company expects to be entitled in exchange for those goods or services. To achieve that core principle, the Company applies the following steps:</w:t>
      </w:r>
    </w:p>
    <w:p>
      <w:pPr>
        <w:spacing w:after="0" w:line="108"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Agribusiness revenue - </w:t>
      </w:r>
      <w:r>
        <w:rPr>
          <w:rFonts w:ascii="Times New Roman" w:cs="Times New Roman" w:eastAsia="Times New Roman" w:hAnsi="Times New Roman"/>
          <w:sz w:val="18"/>
          <w:szCs w:val="18"/>
          <w:color w:val="auto"/>
        </w:rPr>
        <w:t>Revenue from lemon sales is generally recognized at a point in time when the customer takes control of the fruit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packinghouse, which aligns with the transfer of title to the customer. The Company has elected to treat any shipping and handling costs incurred after control of the goods has been transferred to the customer as agribusiness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avocados are packed and sold by third-party packinghouses. The Company’s arrangements with its third-party packinghouses are such that the Company is the producer and supplier of the product, and the third-party packinghouses are the Company’s customers. The Company controls the product until it is delivered to the third-party packinghouses at which time control of the product is transferred to the third-party packinghouses and revenue is recognized.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Farm management revenue is recorded when services are provided for farming, management, orchard development, accounting and operations. Revenue is recorded gross for all expense reimbursements plus a fee for the services provided.</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insurance proceeds is recorded when the amount can be reasonably determined and upon establishment of the present right to payment. The Company recorded agribusiness revenues from insurance proceeds of $1,410,000, zero and $769,000 for fiscal years 2025,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were immaterial for fiscal years 2025, 2024 and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5" w:lineRule="auto"/>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Leases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Lessee </w:t>
      </w:r>
      <w:r>
        <w:rPr>
          <w:rFonts w:ascii="Times New Roman" w:cs="Times New Roman" w:eastAsia="Times New Roman" w:hAnsi="Times New Roman"/>
          <w:sz w:val="18"/>
          <w:szCs w:val="18"/>
          <w:color w:val="auto"/>
        </w:rPr>
        <w:t>- The Company enters into leases as a lessee generally for agricultural land, packinghouse facilities,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The Company determines if an arrangement is a lease or contains a lease at inception. Operating and finance leases are included in other assets, accrued liabilities and other long-term liabilities on its consolidated balance sheets. Lease right-of-use (“ROU”) assets represent the right to use an underlying asset for the lease term and lease liabilities represent the obligation to make lease payments arising from the lease, measured on a discounted basis. Lease ROU assets and lease liabilities are recognized based on the present value of the future minimum lease payments over the lease term at commencement date. The Company uses either its incremental borrowing rate based on the information available at commencement date, or the rate implicit in the lease, if known, in determining the present value of future payments.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had material leases with related parties which are further described in Note 14 - Related-Party Transactions.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12 - Leases for additional information.</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w:t>
      </w:r>
      <w:r>
        <w:rPr>
          <w:rFonts w:ascii="Times New Roman" w:cs="Times New Roman" w:eastAsia="Times New Roman" w:hAnsi="Times New Roman"/>
          <w:sz w:val="18"/>
          <w:szCs w:val="18"/>
          <w:color w:val="auto"/>
        </w:rPr>
        <w:t>- Leases in which the Company acts as the lessor include land, residential and commercial units and are all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income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Accounting Standards Update (“ASU”) 2023-07, Segment Reporting (Topic 280): Improvements to Reportable Segment Disclosures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 As disclosed in Note 20, Segment Information, the Company adopted this ASU for the fiscal year ending October 31, 2025 and applied it retrospectively to all periods presented in the financial statements. This ASU did not change the Company’s reportable segments and did not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5"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2023-09 requires disaggregated information about a reporting entity’s effective tax rate reconciliation as well as information on income taxes paid. The ASU is effective for the Company’s annual reporting for fiscal year 2026. The Company is currently evaluating the impact of this guidance on its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Release No. 33-11275: The Enhancement and Standardization of Climate-Related Disclosures for Investors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requires registrants to provide certain climate-related information in their registration statements and annual reports. The rules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registrant’s climate-related risks that are reasonably likely to have a material impact on its business, results of operations, or financial condition.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The Company is continuing to evaluate the potential impact of these final rules on its consolidated financial statements and disclosures.</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w:t>
      </w:r>
    </w:p>
    <w:p>
      <w:pPr>
        <w:jc w:val="both"/>
        <w:ind w:firstLine="8"/>
        <w:spacing w:after="0" w:line="253"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date of ASU 2024-03 was clarified by ASU 2025-01. ASU 2024-03 is effective for the Company’s annual reporting for fiscal year 2028 and interim reporting beginning fiscal year 2029. Early adoption is permitted. ASU 2024-03 should be applied prospectively to financial statements issued for reporting periods beginning after the effective date but may be applied retrospectively to any or all prior periods presented in the financial statements. The Company is currently evaluating the impact of this guidance on its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includes significant changes to U.S. tax and related laws. Some of the provisions of the Act affecting corporations include the permanent extension of certain expiring provisions of the Tax Cuts and Jobs Act (“TCJA”), modifications to the Global Intangible Low-Taxed Income and Foreign-Derived Intangible Income international tax provisions, an increase in the limit of the deduction of interest expense to thirty percent of EBITDA, and reinstatement of one hundred percent bonus depreciation deduction from the TCJA for eligible property acquired after January 19, 2025. The legislation has multiple effective dates, with certain provisions effective in 2025 and others implemented through 2027. The Act’s financial reporting implications have been recognized in the Company’s income tax provision for the fiscal year ended October 31, 2025. The incorporation of these effects resulted in no material impact on the Company’s effective tax rate or its net deferred federal tax liabilities.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5"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spacing w:after="0" w:line="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2025-06, Intangibles – Goodwill and Other – Internal-Use Software (Topic 350-40): Targeted Improvements to the Accounting for Internal-Use Software</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current GAAP, entities are required to capitalize development costs incurred for internal-use software depending on the nature of the costs and the project stage during which they occur. The amendments in this ASU remove all references to software development project stages and require that an entity capitalize software costs when both: management has authorized and committed to funding the software project; and it is probable that the project will be completed and the software will be used to perform the function intended (referred to as the “probable-to-complete recognition threshold”). The ASU is effective for the Company’s interim and annual reporting for fiscal year 2029, with early adoption permitted. The Company is currently evaluating the impact of this guidance on its consolidated financial statements.</w:t>
      </w:r>
    </w:p>
    <w:p>
      <w:pPr>
        <w:spacing w:after="0" w:line="116" w:lineRule="exact"/>
        <w:rPr>
          <w:sz w:val="20"/>
          <w:szCs w:val="20"/>
          <w:color w:val="auto"/>
        </w:rPr>
      </w:pPr>
    </w:p>
    <w:p>
      <w:pPr>
        <w:ind w:right="9100" w:firstLine="8"/>
        <w:spacing w:after="0" w:line="417"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Northern Properties</w:t>
      </w: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transaction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 received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directly repaid through the transaction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proceeds received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book value of assets sold</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Cultural costs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53,144</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9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39,995</w:t>
            </w:r>
          </w:p>
        </w:tc>
      </w:tr>
      <w:tr>
        <w:trPr>
          <w:trHeight w:val="21"/>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were used to pay down all of the Company’s domestic debt except the AgWest Farm Credit non-revolving line of credit. The Northern Properties component, including an allocation of interest expense related to the debt directly repaid through the transaction, had a pretax loss of $1,667,000 for fiscal year 2023.</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2023, the Company entered into a Farm Management Agreement (“FMA”) with an affiliate of PGIM to provide farming, management and operations services related to the Northern Properties. The FMA had an initial term expiring March 31, 2024, and thereafter continued from year to year unless earlier terminated under the terms of the FMA. Further, on January 31, 2023, the Company entered into a Grower Packing and Marketing Agreement (“GPMA”) to provide packing, marketing and selling services for lemons harvested on the Northern Properties for a minimum five-year term, subject to certain benchmarking standards. The FMA was terminated effective March 31, 2025 and the GPMA was terminated effective October 13,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jc w:val="both"/>
        <w:ind w:right="8160" w:firstLine="8"/>
        <w:spacing w:after="0" w:line="417" w:lineRule="auto"/>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(continued) Pan de Azucar and San Pablo Orchards</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90% interest in Fruticola Pan de Azucar S. A. (“PDA”) and a 100% interest in Agricola San Pablo, SpA (“San Pablo”), both of which are citrus orchards located near La Serena, Chile. The agricultural properties consist of approximately 500 acres of lemons, 100 acres of oranges and 2,900 acres of other land. On November 7, 2025, PDA and San Pablo (collectively, the “Sellers”), each entered into a Purchase and Sale Agreement and Novation Agreement (collectively, the “Purchase Agreements”) with San Pedro, SpA, a Chilean joint stock company (the “Buyer”) to sell the agricultural properties and related water rights for an aggregate purchase price of $14,967,000. The transactions closed upon transfer of the deeds simultaneously with the execution of the Purchase Agreements.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 period of 60-90 days to record the transactions, which is customary in Chilean real estate transactions, the Buyer will make an initial payment to the Sellers in the aggregate amount of $6,800,000, of which approximately $742,000 will be deferred until certain requirements have been fulfilled. The remainder of the Buyer’s payment obligations, in the aggregate amount of $8,167,000,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major classes of assets classified as held for sale as of October 31, 2025 were as follows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Yuma Property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sold 12 acres of real property located in Yuma, Arizona for a sales price of $775,000. After transaction and closing costs, the Company recorded a gain on disposal of assets of $187,000 during fiscal year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Cadiz Ranch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Company determined that citrus farming operations were economically unviable on 670 acres of leased agricultural land at the Cadiz Ranch. As a result, the Company ceased farming operations at the Cadiz Ranch, disposed of the related property, plant and equipment and recorded a loss on disposal of assets of $9,012,000 during fiscal year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October 31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5"/>
        </w:trPr>
        <w:tc>
          <w:tcPr>
            <w:tcW w:w="85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proceeds receivable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55,471</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61,561</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Orchards and vineyards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47,921</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15,832</w:t>
            </w:r>
          </w:p>
        </w:tc>
      </w:tr>
      <w:tr>
        <w:trPr>
          <w:trHeight w:val="223"/>
        </w:trPr>
        <w:tc>
          <w:tcPr>
            <w:tcW w:w="8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248,605</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(86,559)</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$8,164,000, $7,474,000 and $7,701,000 for fiscal years 2025, 2024 and 2023, respectively.</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3 - Asset Sales and Disposals and Note 7 - Equity in Investments for discussion on the Company’s significant property, plant and equipment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Real Estate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for the East Area II property in the amounts of $10,624,000 and $10,201,000 as of October 31, 2025 and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was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October 31, 2025 and 2024, which is included in payables to related parties in the Company’s consolidated balance sheets.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May 3, 2024, the Loan had no outstanding balance and was cancelled. As of October 31, 2025, LLCB had cash and cash equivalents of $31,227,000.</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Real Estate Development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 (continued)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There was a deferred gain of $465,000 on the transaction, which was deferred and recognized in fiscal year 2024. The joint venture partners will share in the capital contributions to fund project costs until loan proceeds and/or revenues are sufficient to fund the project. The Company made contributions of $2,150,000 and $480,000 to LLCB II in fiscal year 2025 and 2024, respectively.</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2024, the Santa Paula City Council approved an amendment to increase the number of entitled lots at LLCB and LLCB II from 1,500 residential units to 2,050 residential units.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October 31, 2025, LLCB closed on lot sales representing 1,261 residential units since inception. The Company received cash distributions of $10,004,000 in fiscal year 2025 and $15,005,000 in fiscal year 2024 from LLCB.</w:t>
      </w:r>
    </w:p>
    <w:p>
      <w:pPr>
        <w:spacing w:after="0" w:line="77" w:lineRule="exact"/>
        <w:rPr>
          <w:sz w:val="20"/>
          <w:szCs w:val="20"/>
          <w:color w:val="auto"/>
        </w:rPr>
      </w:pPr>
    </w:p>
    <w:p>
      <w:pPr>
        <w:ind w:right="9360" w:firstLine="8"/>
        <w:spacing w:after="0" w:line="424" w:lineRule="auto"/>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Limco Del Mar, Ltd.</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2025, the Company had a 1.3% interest in Limco Del Mar, Ltd. (“Del Mar”) as a general partner and a 27.5%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had significant influence, but less than a controlling interest, the Company’s investment in Del Mar was accounted for using the equity method of accounting.</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enable the Company to determine the strategy for Del Mar to enhance long term financial returns and to provide liquidity for limited partners, on March 21, 2025, the Company made an offer to purchase up to 224,859 limited partnership units of Del Mar from the limited partners (the “Offer”). On August 4, 2025, the Company closed the Offer and purchased 80,608 limited partnership units from 78 limited partners at a price of $70.00 per unit for approximately $5,643,000 (the “Purchase”). In addition to the Purchase, the Company also purchased 2,149 limited partnership units for $150,000 separate from the Offer. The Purchase increased the Company’s ownership from 28.8% to 54.5%. As a result of obtaining a controlling interest, Del Mar is now consolidated and reported as a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8440" w:firstLine="8"/>
        <w:spacing w:after="0" w:line="417" w:lineRule="auto"/>
        <w:tabs>
          <w:tab w:leader="none" w:pos="1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(continued) Limco Del Mar, Ltd. (continued)</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an asset acquisition. The Company elected to include the fair value of the previously held interest in the acquisition costs and recognized a gain of $2,852,000 on the remeasurement of the previously held equity method investment. Below is a summary of the fair value of the net assets acquired on the acquisition date based on a third-party valuation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Receivables/other from related parties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improvements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Orchards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r>
      <w:tr>
        <w:trPr>
          <w:trHeight w:val="223"/>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assets acquired</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additional shares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 value of equity method investment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assets acquired</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remeasurement of previously held equity method investment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as if Del Mar had been included in the consolidated results of the Company for the year ended October 31, 2025 would have resulted in revenues of $161,449,000 and net loss of $17,940,000.</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August 3, 2025, the Company provided Del Mar with farm management, orchard land development and accounting services and received farm management revenue and expense reimbursements of $238,000, $128,000 and $206,000 for fiscal years 2025, 2024 and 2023, respectively. Del Mar also marketed lemons through the Company pursuant to its customary marketing agreements and the amount of lemons procured from Del Mar was $216,000, $1,182,000 and $1,161,000 for fiscal years 2025, 2024 and 2023, respectively. In addition, fruit proceeds due to Del Mar was $527,000 as of October 31, 2024 and was included in payables to related parties in the Company’s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Romney Property Partnership</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8440" w:firstLine="8"/>
        <w:spacing w:after="0" w:line="417" w:lineRule="auto"/>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(continued) Rosales S.A.</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has a 47% equity interest in Rosales S.A. (“Rosales”) of which 35% was acquired in fiscal year 2014 and an additional 12% interest was acquired with the purchase of PDA in fiscal year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of investments. Amortization was immaterial, $76,000 and $87,000 for fiscal years for 2025, 2024 and 2023, respectively, and is estimated to be immaterial thereafter.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lemon and orange sales to Rosales of $4,102,000, $4,541,000 and $4,581,000 for fiscal years 2025, 2024 and 2023, respectively. The aggregate amount of lemons and oranges procured from Rosales was $7,125,000, $5,387,000 and $5,826,000 for fiscal years 2025, 2024 and 2023, respectively. Net amounts due to Rosales were $1,671,000 and $629,000 as of October 31, 2025 and 2024, respectively, and are included in payables to related parties in the Company’s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Limoneira Lewis Community Builders, LLC (“LLCB”)</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6 – Real Estate Development, the Company has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deemed significant for the fiscal years ended October 31, 2024 and 2023, but was not significant for the year ended October 31, 2025. The audited financial statements of LLCB for the years ended October 31, 2025, 2024 and 2023 are presented in this Annual Report on Form 10-K to comply with this rule. Additionally, there is a basis difference between the Company’s historical investment in the project and the amount recorded in members’ capital by LLCB of $54,076,000 as of October 31, 2025. The basis difference of $4,340,000 as of October 31, 2025 was primarily comprised of capitalized interest and certain other costs incurred by Limoneira Company during the development period. This basis difference is being amortized as lots are sold utilizing the relative sales value method and the amount amortized totaled $41,000, $2,545,000 and $717,000 for fiscal years 2025, 2024 and 2023, respectively. The Company’s share of LLCB’s net income prior to basis amortization was $498,000, $20,304,000 and $5,851,000 for fiscal years 2025, 2024 and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LLCB II, LLC (“LLCB II”)</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6 - Real Estate Development, in October 2022, the Company formed a joint venture with Lewis for the residential development of its Retained Property. Control is shared with Lewis, therefore the Company's investment in LLCB II is accounted for using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in Investments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financial information of the equity method investees for fiscal years 2025, 2024 and 2023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Del Mar</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3"/>
                <w:szCs w:val="2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0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3"/>
                <w:szCs w:val="2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LLCB</w:t>
            </w:r>
          </w:p>
        </w:tc>
        <w:tc>
          <w:tcPr>
            <w:tcW w:w="18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LLCB II</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2263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right="2140" w:hanging="5532"/>
        <w:spacing w:after="0" w:line="857" w:lineRule="auto"/>
        <w:tabs>
          <w:tab w:leader="none" w:pos="117"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Del Mar revenues, operating income and net income are for the period November 1, 2024 through August 3, 2025.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Equity in Investments (continued)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Company’s investment and equity in earnings (losses) of the equity method investees are as follows (in thousands):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Del Mar</w:t>
            </w: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2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LLCB</w:t>
            </w:r>
          </w:p>
        </w:tc>
        <w:tc>
          <w:tcPr>
            <w:tcW w:w="2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LLCB II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contributions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2023</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(15,153)</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contributions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loan guarantee</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2024</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81,546</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contributions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shares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2025 with no impairment noted. The Company did not incur any goodwill impairment losses for fiscal years 2025, 2024 or 2023, as the estimated fair values of its reporting units were in excess of their carrying values.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2025, the Company allocated goodwill to its reportable segments as follows: Fresh Lemons $936,000 and Lemon Packing $570,000,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as of October 31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totaled $578,000, $677,000, and $730,000 for fiscal years 2025, 2024 and 2023, respectively.</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sold acquired water rights in the Santa Paula Basin for $30,000 per acre-foot in two transactions. The total selling price was $1,440,000 and the Company recorded a gain on sales of water rights of $1,200,000.</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3 - Asset Sales and Disposals, the Company’s Chilean water rights were reclassified as assets held for sale as of October 31, 2025 and were sold November 7,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w w:val="99"/>
              </w:rPr>
              <w:t>Estimated future amortization expense of intangible assets are as follows (in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8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80" w:type="dxa"/>
            <w:vAlign w:val="bottom"/>
            <w:tcBorders>
              <w:bottom w:val="single" w:sz="8" w:color="CCEEFF"/>
            </w:tcBorders>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In January 2025, the Company sold water pumping rights in the Santa Paula Basin for $300,000 and the Company recorded a gain on sale of water rights of $288,000. In August 2025, the Company acquired investments in mutual water companies of $592,000 as discussed in Note 7 - Equity in Investments. Investments in mutual water companies included in other assets in the Company’s consolidated balance sheets as of October 31, 2025 and 2024 were $7,323,000 and $6,229,000,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as of October 31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5"/>
        </w:trPr>
        <w:tc>
          <w:tcPr>
            <w:tcW w:w="85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4"/>
        </w:trPr>
        <w:tc>
          <w:tcPr>
            <w:tcW w:w="85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AgWest Farm Credit revolving and non-revolving lines of credit: the interest rate of the revolving line of credit is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variable based on the one-month SOFR, which was 4.15% at October 31, 2025, plus 3.00%. Interest is payable</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 and principal due in full July 1, 2030.</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 de Chile term loan: The interest rate was fixed at 6.48%. The loan was repaid in January 2025.</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2026.</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entered into a Master Loan Agreement (the “MLA”) with AgWest Farm Credit, formerly known as Farm Credit West, (the “Lender”)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and extends the principal repayment to July 1, 2030. Debt financing costs related to the MLA agreement were immaterial.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$115,000,000 comprised of $114,000,000 under the Revolving Credit Supplement, and $1,000,000 under the Non-Revolving Credit Supplement which can be used solely to support calls on Letters of Credit. There are no amounts outstanding on the Non-Revolving Credit Supplement. As of October 31, 2025, the Company’s outstanding borrowings under the Revolving Credit Supplement were $72,450,000 and it had $41,550,000 available to borrow.</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adjusts on the first day of each month. The interest rate for any amount outstanding under the Revolving Credit Supplement is based on the one-month SOFR plus or minus an applicable margin. The applicable margin ranges from 2.15% to 3.00% depending on the ratio of funded indebtedness to earnings before interest, income taxes, depreciation and amortization (“EBITDA”) and may be increased or decreased in the sole discretion of Lender on each anniversary of July 1. The Company may prepay any amounts outstanding under the Revolving Credit Supplement without penalty.</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in effect under the Non-Revolving Credit Supplement is a variable interest rate established by the Lender. The Company may prepay any amounts outstanding under the Non-Revolving Credit Supplement without penalty.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(continued)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was subject to an annual financial covenant that required it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In December 2025, the Lender modified the debt service coverage ratio covenant to defer measurement as of October 31, 2026 and resume a debt service coverage ratio of 1.25:1.0 measured as of October 31, 2027 and for any fiscal year ending thereafter.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also subject to a quarterly financial covenant that required it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the Company to maintain a debt to capitalization ratio of no greater than 0.45:1.00 or 45%.</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received annual cash patronage dividends from the Lender of $564,000, $558,000 and $1,413,000 for fiscal years 2025, 2024 and 2023,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$1,431,000, $788,000 and $864,000 for fiscal years ended 2025, 2024 and 2023, respectively. Capitalized interest is included in property, plant and equipment, real estate development assets and equity in investments in the Company’s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the Company’s long-term debt are due as follows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6"/>
        </w:trPr>
        <w:tc>
          <w:tcPr>
            <w:tcW w:w="9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72,450</w:t>
            </w:r>
          </w:p>
        </w:tc>
      </w:tr>
      <w:tr>
        <w:trPr>
          <w:trHeight w:val="223"/>
        </w:trPr>
        <w:tc>
          <w:tcPr>
            <w:tcW w:w="99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17 years with various renewal terms available. All of the residential rentals have month-to-month lease terms.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October 31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equipment and building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under operating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assets under operating leases was $1,020,000 and $962,000 for fiscal years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 (continued)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for the fiscal years ended October 31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to be received by the Company related to these operating lease agreements as of October 31, 2025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Lease costs consist of the following for the fiscal years ended October 31 (in thousands):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62"/>
        </w:trPr>
        <w:tc>
          <w:tcPr>
            <w:tcW w:w="8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223"/>
        </w:trPr>
        <w:tc>
          <w:tcPr>
            <w:tcW w:w="85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 (continued)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as of October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2,416</w:t>
            </w: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772</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3,188</w:t>
            </w: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2,075</w:t>
            </w:r>
          </w:p>
        </w:tc>
      </w:tr>
      <w:tr>
        <w:trPr>
          <w:trHeight w:val="230"/>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20" w:type="dxa"/>
            <w:vAlign w:val="bottom"/>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r>
      <w:tr>
        <w:trPr>
          <w:trHeight w:val="248"/>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3,113</w:t>
            </w: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4"/>
        </w:trPr>
        <w:tc>
          <w:tcPr>
            <w:tcW w:w="20" w:type="dxa"/>
            <w:vAlign w:val="bottom"/>
          </w:tcPr>
          <w:p>
            <w:pPr>
              <w:spacing w:after="0"/>
              <w:rPr>
                <w:sz w:val="20"/>
                <w:szCs w:val="20"/>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441"/>
        </w:trPr>
        <w:tc>
          <w:tcPr>
            <w:tcW w:w="980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consists of the following for the fiscal years ended October 31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20" w:type="dxa"/>
            <w:vAlign w:val="bottom"/>
          </w:tcPr>
          <w:p>
            <w:pPr>
              <w:spacing w:after="0"/>
              <w:rPr>
                <w:sz w:val="19"/>
                <w:szCs w:val="19"/>
                <w:color w:val="auto"/>
              </w:rPr>
            </w:pPr>
          </w:p>
        </w:tc>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4"/>
        </w:trPr>
        <w:tc>
          <w:tcPr>
            <w:tcW w:w="20" w:type="dxa"/>
            <w:vAlign w:val="bottom"/>
          </w:tcPr>
          <w:p>
            <w:pPr>
              <w:spacing w:after="0"/>
              <w:rPr>
                <w:sz w:val="20"/>
                <w:szCs w:val="20"/>
                <w:color w:val="auto"/>
              </w:rPr>
            </w:pPr>
          </w:p>
        </w:tc>
        <w:tc>
          <w:tcPr>
            <w:tcW w:w="8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are as follows (in thousands), which excludes $1,324,000 of operating and finance lease payments for leases that have been signed but not commenced: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4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1"/>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operating and finance lease commitments, the Company also has financing transactions which do not meet the definition of a lease, with minimum future payments of $452,000 for fiscal year 2026 and $37,000 for fiscal year 2027.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2025, 2024 and 2023. The computations for basic and diluted net (loss) income per common share are as follows for the fiscal years ended October 31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income per common share: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(loss) income for basic EPS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income per common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for basic EPS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(loss) income for diluted EPS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income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fiscal years 2025, 2024 and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Real Estate Development, Note 7 -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Investments and in the tables below (in thousands):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left="74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Payables to</w:t>
            </w:r>
          </w:p>
        </w:tc>
        <w:tc>
          <w:tcPr>
            <w:tcW w:w="100" w:type="dxa"/>
            <w:vAlign w:val="bottom"/>
          </w:tcPr>
          <w:p>
            <w:pPr>
              <w:spacing w:after="0"/>
              <w:rPr>
                <w:sz w:val="11"/>
                <w:szCs w:val="11"/>
                <w:color w:val="auto"/>
              </w:rPr>
            </w:pPr>
          </w:p>
        </w:tc>
        <w:tc>
          <w:tcPr>
            <w:tcW w:w="1560" w:type="dxa"/>
            <w:vAlign w:val="bottom"/>
            <w:gridSpan w:val="5"/>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Payables to</w:t>
            </w:r>
          </w:p>
        </w:tc>
        <w:tc>
          <w:tcPr>
            <w:tcW w:w="0" w:type="dxa"/>
            <w:vAlign w:val="bottom"/>
          </w:tcPr>
          <w:p>
            <w:pPr>
              <w:spacing w:after="0"/>
              <w:rPr>
                <w:sz w:val="1"/>
                <w:szCs w:val="1"/>
                <w:color w:val="auto"/>
              </w:rPr>
            </w:pPr>
          </w:p>
        </w:tc>
      </w:tr>
      <w:tr>
        <w:trPr>
          <w:trHeight w:val="146"/>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40" w:type="dxa"/>
            <w:vAlign w:val="bottom"/>
          </w:tcPr>
          <w:p>
            <w:pPr>
              <w:spacing w:after="0"/>
              <w:rPr>
                <w:sz w:val="12"/>
                <w:szCs w:val="12"/>
                <w:color w:val="auto"/>
              </w:rPr>
            </w:pPr>
          </w:p>
        </w:tc>
        <w:tc>
          <w:tcPr>
            <w:tcW w:w="1040" w:type="dxa"/>
            <w:vAlign w:val="bottom"/>
          </w:tcPr>
          <w:p>
            <w:pPr>
              <w:jc w:val="right"/>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10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960" w:type="dxa"/>
            <w:vAlign w:val="bottom"/>
          </w:tcPr>
          <w:p>
            <w:pPr>
              <w:jc w:val="right"/>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 w:type="dxa"/>
            <w:vAlign w:val="bottom"/>
            <w:gridSpan w:val="2"/>
            <w:vMerge w:val="continue"/>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Parties, net</w:t>
            </w:r>
          </w:p>
        </w:tc>
        <w:tc>
          <w:tcPr>
            <w:tcW w:w="10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140" w:type="dxa"/>
            <w:vAlign w:val="bottom"/>
          </w:tcPr>
          <w:p>
            <w:pPr>
              <w:spacing w:after="0"/>
              <w:rPr>
                <w:sz w:val="17"/>
                <w:szCs w:val="17"/>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Parties,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0" w:type="dxa"/>
            <w:vAlign w:val="bottom"/>
          </w:tcPr>
          <w:p>
            <w:pPr>
              <w:spacing w:after="0"/>
              <w:rPr>
                <w:sz w:val="1"/>
                <w:szCs w:val="1"/>
                <w:color w:val="auto"/>
              </w:rPr>
            </w:pPr>
          </w:p>
        </w:tc>
      </w:tr>
      <w:tr>
        <w:trPr>
          <w:trHeight w:val="21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LLCB</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Del Mar</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 (continued)</w:t>
      </w:r>
    </w:p>
    <w:p>
      <w:pPr>
        <w:sectPr>
          <w:pgSz w:w="11900" w:h="16838" w:orient="portrait"/>
          <w:cols w:equalWidth="0" w:num="1">
            <w:col w:w="11240"/>
          </w:cols>
          <w:pgMar w:left="320" w:top="122" w:right="339" w:bottom="1440" w:gutter="0" w:footer="0" w:header="0"/>
        </w:sectPr>
      </w:pPr>
    </w:p>
    <w:p>
      <w:pPr>
        <w:spacing w:after="0" w:line="19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Fiscal Year Ended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33655</wp:posOffset>
            </wp:positionV>
            <wp:extent cx="27089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33655</wp:posOffset>
            </wp:positionV>
            <wp:extent cx="27260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33" w:lineRule="exact"/>
        <w:rPr>
          <w:sz w:val="20"/>
          <w:szCs w:val="20"/>
          <w:color w:val="auto"/>
        </w:rPr>
      </w:pPr>
    </w:p>
    <w:p>
      <w:pPr>
        <w:sectPr>
          <w:pgSz w:w="11900" w:h="16838" w:orient="portrait"/>
          <w:cols w:equalWidth="0" w:num="2">
            <w:col w:w="6740" w:space="720"/>
            <w:col w:w="37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40" w:type="dxa"/>
            <w:vAlign w:val="bottom"/>
            <w:tcBorders>
              <w:top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2"/>
                <w:szCs w:val="12"/>
                <w:color w:val="auto"/>
              </w:rPr>
            </w:pPr>
          </w:p>
        </w:tc>
        <w:tc>
          <w:tcPr>
            <w:tcW w:w="7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Ref</w:t>
            </w:r>
          </w:p>
        </w:tc>
        <w:tc>
          <w:tcPr>
            <w:tcW w:w="2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19"/>
        </w:trPr>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Del Mar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Law firm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1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5"/>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0" w:type="dxa"/>
            <w:vAlign w:val="bottom"/>
          </w:tcPr>
          <w:p>
            <w:pPr>
              <w:spacing w:after="0"/>
              <w:rPr>
                <w:sz w:val="12"/>
                <w:szCs w:val="12"/>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4  Cadiz / Fenner / WAM</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5,826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 Mar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8"/>
        <w:spacing w:after="0" w:line="229" w:lineRule="auto"/>
        <w:tabs>
          <w:tab w:leader="none" w:pos="203"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w:t>
      </w:r>
    </w:p>
    <w:p>
      <w:pPr>
        <w:spacing w:after="0" w:line="130"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as well as other water districts. Refer to Note 9 - Other Assets. The Company recorded capital contributions, purchased water and water delivery services and had water payments due to the mutual water companies and districts.</w:t>
      </w:r>
    </w:p>
    <w:p>
      <w:pPr>
        <w:spacing w:after="0" w:line="118" w:lineRule="exact"/>
        <w:rPr>
          <w:rFonts w:ascii="Times New Roman" w:cs="Times New Roman" w:eastAsia="Times New Roman" w:hAnsi="Times New Roman"/>
          <w:sz w:val="23"/>
          <w:szCs w:val="23"/>
          <w:color w:val="auto"/>
          <w:vertAlign w:val="superscript"/>
        </w:rPr>
      </w:pPr>
    </w:p>
    <w:p>
      <w:pPr>
        <w:ind w:firstLine="8"/>
        <w:spacing w:after="0" w:line="208" w:lineRule="auto"/>
        <w:tabs>
          <w:tab w:leader="none" w:pos="194"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provided pest control services for the agricultural industry through fiscal year 2024. The Company purchased services and supplies from them.</w:t>
      </w:r>
    </w:p>
    <w:p>
      <w:pPr>
        <w:spacing w:after="0" w:line="104" w:lineRule="exact"/>
        <w:rPr>
          <w:rFonts w:ascii="Times New Roman" w:cs="Times New Roman" w:eastAsia="Times New Roman" w:hAnsi="Times New Roman"/>
          <w:sz w:val="23"/>
          <w:szCs w:val="23"/>
          <w:color w:val="auto"/>
          <w:vertAlign w:val="superscript"/>
        </w:rPr>
      </w:pPr>
    </w:p>
    <w:p>
      <w:pPr>
        <w:jc w:val="both"/>
        <w:ind w:firstLine="8"/>
        <w:spacing w:after="0" w:line="260" w:lineRule="auto"/>
        <w:tabs>
          <w:tab w:leader="none" w:pos="186"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Cadiz / Fenner / WAM - A member of the Company’s board of directors served as the CEO, President and a member of the board of directors of Cadiz, Inc. through December 31, 2023. As of January 1, 2024, Cadiz, Inc. is no longer a related-party.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the lease assignment, the Company no longer had any related-party transactions with Cadiz. An affiliate of WAM is the holder of 9,300 shares of the Company’s Series B-2 convertible preferred stock and the Company paid dividends to such affiliate.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w:t>
      </w:r>
    </w:p>
    <w:p>
      <w:pPr>
        <w:spacing w:after="0" w:line="322" w:lineRule="exact"/>
        <w:rPr>
          <w:rFonts w:ascii="Times New Roman" w:cs="Times New Roman" w:eastAsia="Times New Roman" w:hAnsi="Times New Roman"/>
          <w:sz w:val="22"/>
          <w:szCs w:val="22"/>
          <w:color w:val="auto"/>
          <w:vertAlign w:val="superscript"/>
        </w:rPr>
      </w:pPr>
    </w:p>
    <w:p>
      <w:pPr>
        <w:jc w:val="both"/>
        <w:ind w:firstLine="8"/>
        <w:spacing w:after="0" w:line="207" w:lineRule="auto"/>
        <w:tabs>
          <w:tab w:leader="none" w:pos="211"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had a receivable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 (continued)</w:t>
      </w:r>
    </w:p>
    <w:p>
      <w:pPr>
        <w:spacing w:after="0" w:line="135" w:lineRule="exact"/>
        <w:rPr>
          <w:sz w:val="20"/>
          <w:szCs w:val="20"/>
          <w:color w:val="auto"/>
        </w:rPr>
      </w:pPr>
    </w:p>
    <w:p>
      <w:pPr>
        <w:jc w:val="both"/>
        <w:ind w:firstLine="8"/>
        <w:spacing w:after="0" w:line="239" w:lineRule="auto"/>
        <w:tabs>
          <w:tab w:leader="none" w:pos="193"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FGF Trapani (“FGF”) - FGF is a 49% partner in the Trapani Fresh joint venture in Argentina and the Company had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 In fiscal year 2025, the Company recorded a reserve of $1,017,000 against the receivable which is recorded in selling, general and administrative expenses.</w:t>
      </w:r>
    </w:p>
    <w:p>
      <w:pPr>
        <w:spacing w:after="0" w:line="112"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LLCB - Refer to Note 6 - Real Estate Development.</w:t>
      </w:r>
    </w:p>
    <w:p>
      <w:pPr>
        <w:spacing w:after="0" w:line="9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Principal owner - The Company has one principal owner with ownership shares over 10% and paid dividends to such owner.</w:t>
      </w:r>
    </w:p>
    <w:p>
      <w:pPr>
        <w:spacing w:after="0" w:line="130" w:lineRule="exact"/>
        <w:rPr>
          <w:rFonts w:ascii="Times New Roman" w:cs="Times New Roman" w:eastAsia="Times New Roman" w:hAnsi="Times New Roman"/>
          <w:sz w:val="22"/>
          <w:szCs w:val="22"/>
          <w:color w:val="auto"/>
          <w:vertAlign w:val="superscript"/>
        </w:rPr>
      </w:pPr>
    </w:p>
    <w:p>
      <w:pPr>
        <w:ind w:right="20" w:firstLine="8"/>
        <w:spacing w:after="0" w:line="229" w:lineRule="auto"/>
        <w:tabs>
          <w:tab w:leader="none" w:pos="193"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Rosales - The Company has an equity interest in Rosales as further described in Note 7 - Equity in Investments. The Company recognizes lemon and orange sales to Rosales, procures lemons and oranges from Rosales and has amounts due to Rosales for such sales and purchases.</w:t>
      </w:r>
    </w:p>
    <w:p>
      <w:pPr>
        <w:spacing w:after="0" w:line="130" w:lineRule="exact"/>
        <w:rPr>
          <w:rFonts w:ascii="Times New Roman" w:cs="Times New Roman" w:eastAsia="Times New Roman" w:hAnsi="Times New Roman"/>
          <w:sz w:val="23"/>
          <w:szCs w:val="23"/>
          <w:color w:val="auto"/>
          <w:vertAlign w:val="superscript"/>
        </w:rPr>
      </w:pPr>
    </w:p>
    <w:p>
      <w:pPr>
        <w:jc w:val="both"/>
        <w:ind w:firstLine="8"/>
        <w:spacing w:after="0" w:line="272" w:lineRule="auto"/>
        <w:tabs>
          <w:tab w:leader="none" w:pos="245"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 Mar - The Company has an interest in Del Mar as a general partner and as a limited partner as further described in Note 7 - Equity in Investments. Through August 3, 2025, the Company provided Del Mar with farm management services and Del Mar marketed lemons through the Company. The Company had an amount payable due to Del Mar for such lemon procurement in fiscal year 2024.</w:t>
      </w:r>
    </w:p>
    <w:p>
      <w:pPr>
        <w:spacing w:after="0" w:line="92" w:lineRule="exact"/>
        <w:rPr>
          <w:rFonts w:ascii="Times New Roman" w:cs="Times New Roman" w:eastAsia="Times New Roman" w:hAnsi="Times New Roman"/>
          <w:sz w:val="21"/>
          <w:szCs w:val="21"/>
          <w:color w:val="auto"/>
          <w:vertAlign w:val="superscript"/>
        </w:rPr>
      </w:pPr>
    </w:p>
    <w:p>
      <w:pPr>
        <w:ind w:right="20" w:firstLine="8"/>
        <w:spacing w:after="0"/>
        <w:tabs>
          <w:tab w:leader="none" w:pos="236"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Law firm - One of the Company’s directors is a partner at a law firm that provided legal services to the Company and the Company had amounts due for such services.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before income taxes for domestic and foreign locations for the fiscal years ended October 31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14,395</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(1,347)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(1,031)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13,364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fiscal years ended October 31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56"/>
        </w:trPr>
        <w:tc>
          <w:tcPr>
            <w:tcW w:w="7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1"/>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of temporary differences between the carrying amount of the assets and liabilities for financial reporting and income tax purposes. The components of deferred income tax assets as of October 31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70"/>
        </w:trPr>
        <w:tc>
          <w:tcPr>
            <w:tcW w:w="8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other indefinite life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joint ventures and other basis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the recoverability of the deferred tax assets. 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recorded a valuation allowance of $2,951,000 on the net deferred tax assets of its subsidiaries in Argentina, Chile and Holland as of October 31, 2025 as the Company does not believe it is more likely than not that these deferred tax assets will be realized due to the recent history of cumulative pre-tax book losses and lack of objectively verifiable future sources of taxable income.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the Company recorded a deferred tax asset of $7,570,000 related to its state and foreign net operating loss carryforwards. The net operating losses begin to expire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5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Begin to Expire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5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10/31/2040</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Holland</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10/31/2026</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10/31/2027</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benefit (provision) for income taxes differs from the amount of income tax determined by applying the U.S. statutory federal income tax rate to pretax income as a result of the following differences for the fiscal years ended October 31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at statutory rates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law change</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rate adjustment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and others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2025 and 2024,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were no accrued interest or penalties associated with uncertain tax positions as of October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was funded consistent with the funding requirements of federal law and regulations. Plan assets were invested in a group trust consisting primarily of cash.</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401(k) plan in which an employee can participate after one month of employment. Employees may elect to defer up to 100% of their annual earnings subject to Internal Revenue Code limits. The Company makes a matching contribution on these deferrals up to 4% of the employee’s annual earnings after one year of employment. Participants vest in any matching contribution at a rate of 20% per year beginning after one year of employment. In addition, for calendar year 2024 and 2023, the Company contributed a discretionary profit sharing of 2% of gross wages deposited into the 401(k) account of all eligible employees. The Company contributed to the plan and recognized expenses of $629,000, $915,000 and $676,000, during fiscal years 2025 and 2024 and 2023, respectively.</w:t>
      </w:r>
    </w:p>
    <w:p>
      <w:pPr>
        <w:spacing w:after="0" w:line="116" w:lineRule="exact"/>
        <w:rPr>
          <w:sz w:val="20"/>
          <w:szCs w:val="20"/>
          <w:color w:val="auto"/>
        </w:rPr>
      </w:pPr>
    </w:p>
    <w:p>
      <w:pPr>
        <w:ind w:right="8420" w:firstLine="8"/>
        <w:spacing w:after="0" w:line="416" w:lineRule="auto"/>
        <w:tabs>
          <w:tab w:leader="none" w:pos="27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Legal Proceedings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 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w:t>
      </w:r>
    </w:p>
    <w:p>
      <w:pPr>
        <w:spacing w:after="0" w:line="116" w:lineRule="exact"/>
        <w:rPr>
          <w:sz w:val="20"/>
          <w:szCs w:val="20"/>
          <w:color w:val="auto"/>
        </w:rPr>
      </w:pPr>
    </w:p>
    <w:p>
      <w:pPr>
        <w:ind w:right="7920" w:firstLine="8"/>
        <w:spacing w:after="0" w:line="417" w:lineRule="auto"/>
        <w:tabs>
          <w:tab w:leader="none" w:pos="27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B and Series B-2 Preferred Stock Series B Convertible Preferred Stock</w:t>
      </w:r>
    </w:p>
    <w:p>
      <w:pPr>
        <w:jc w:val="both"/>
        <w:spacing w:after="0" w:line="282"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the Company issued 30,000 shares of Series B Convertible Preferred Stock at $100.00 par value (the “Series B Stock”).</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holder of Series B Stock is entitled to ten votes on all matters submitted to a vote of the stockholders of the Company.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7000" w:firstLine="8"/>
        <w:spacing w:after="0" w:line="441" w:lineRule="auto"/>
        <w:tabs>
          <w:tab w:leader="none" w:pos="27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 Convertible Preferred Stock (continued)</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Put: The holders of Series B Stock may at any time after July 1, 2017 and before June 30,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Convertible Preferred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Each share of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be trading or (b) $15.00 per share of common stock. Shares of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share of Series B-2 Preferred Stock is entitled to one vote on all matters submitted to a vote of the Company’s stockholders.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7000" w:firstLine="8"/>
        <w:spacing w:after="0" w:line="441" w:lineRule="auto"/>
        <w:tabs>
          <w:tab w:leader="none" w:pos="27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In June 2025, the parties agreed to extend the option agreement to January 1, 2027.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20,000 shares of preferred stock authorized as Series A Junior Participating Preferred Stock at $0.01 par value (the “Series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are issued or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restricted common stock of the Company to members of management, key executives and non-employee directors. The fair value of such awards is based on the fair value of the Company’s stock on the date of grant, and all are classified as equity awards. The Stock Plan had 843,925 remaining shares available to be issued as of October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Performance Awards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time-based restricted stock grants are made to management under the Stock Plan and generally vest over a three-year period as service is provided. In November 2024, 20,555 shares of restricted stock with a per share price of $25.54 were granted to management. The related compensation expense of $525,000 will be recognized over three years as the shares vest. In December 2024, 6,194 shares of restricted stock with a per share price of $26.30 were granted to management. The related compensation expense of $163,000 will be recognized over three years as the shares vest. In October 2025, 10,992 shares of restricted stock with a per share price of $14.13 were granted to management and vested upon issuance. The related compensation expense of $155,000 was recognized in fiscal year 2025.</w:t>
      </w:r>
    </w:p>
    <w:p>
      <w:pPr>
        <w:spacing w:after="0" w:line="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fiscal years 2024 and 2025, the Company entered into Performance Share-Based Award Agreements with members of management whereby the employees may be granted shares of common stock in the future based on the achievement of certain long-term performance goals over a three-year period. As of October 31, 2025, the maximum number of potential shares to be awarded is 95,324 shares. The Company recorded $50,000 of stock compensation expense during fiscal year 2025, based on the awards probable of vesting.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time-based restricted stock grants are made to key executives under the Stock Plans and generally vest over a three-year period as service is provided. In November 2024, 29,366 shares of restricted stock with a per share price of $25.54 were granted to key executives. The related compensation expense of $750,000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 Equity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 (continued)</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fiscal year 2022, the Company entered into Retention Bonus Agreements with key executives (collectively, the “Retention Bonus Agreements”) whereby the executives are eligible to receive cash and restricted stock grants. During December 2024, the Company granted 2,972 shares of restricted stock with a per share price of $26.30 to key executives related to the Retention Bonus Agreements. The related compensation expense of $78,000 will be recognized over the next year as the shares vest.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years 2024 and 2025, the Company entered into Performance Share-Based Award Agreements with key executives whereby the executives may be granted shares of common stock in the future based on the achievement of certain long-term performance goals over a three-year period. As of October 31, 2025, the maximum number of potential shares to be awarded is 164,889 shares. The Company recorded $182,000 of stock compensation expense during fiscal year 2025, based on the awards probable of vesting.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time-based restricted stock grants are made on an annual basis to non-employee directors under the Stock Plan and generally vest after a one-year period as service is provided. During April 2025, 30,540 shares were granted as Director Awards with a per share price of $16.70.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Awards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Performance, Executive, and Director Awards granted under the Stock Plan, and the weighted average grant prices, during the fiscal years ended October 31, is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4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20" w:type="dxa"/>
            <w:vAlign w:val="bottom"/>
            <w:vMerge w:val="continue"/>
          </w:tcPr>
          <w:p>
            <w:pPr>
              <w:spacing w:after="0"/>
              <w:rPr>
                <w:sz w:val="15"/>
                <w:szCs w:val="15"/>
                <w:color w:val="auto"/>
              </w:rPr>
            </w:pPr>
          </w:p>
        </w:tc>
        <w:tc>
          <w:tcPr>
            <w:tcW w:w="14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00" w:type="dxa"/>
            <w:vAlign w:val="bottom"/>
            <w:vMerge w:val="continue"/>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Awards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210,036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296,189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recognized $3,077,000, $4,116,000 and $3,841,000 of stock-based compensation for fiscal years 2025, 2024 and 2023, respectively, of which the majority of the expense is included in selling, general and administrative expenses for all years presented. Forfeitures are accounted for in the period that the forfeiture occurs. The income tax benefit recognized in the income statement for stock-based compensation arrangements was $957,000, $1,451,000 and $1,075,000 for fiscal years 2025, 2024 and 2023, respectively. The total fair value of shares vested was $3,798,000, $3,976,000 and $1,323,000 for fiscal years 2025, 2024 and 2023, respectively. The Company has unrecognized stock-based compensation expense of $1,036,000 as of October 31, 2025, which is expected to be recognized over the next one to two years as the shares vest. All unvested shares are expected to vest.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Common Stock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years 2025, 2024 and 2023 members of management exchanged 96,899, 117,897 and 39,472 shares of common stock with fair values of $1,955,000, $2,313,000 and $567,000, respectively, at the dates of the exchanges, for the payment of payroll taxes associated with the vesting of shares under the Company’s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 Equity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Nonvested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shares as of October 31, 2025, and changes during fiscal year 2025,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2024</w:t>
            </w:r>
          </w:p>
        </w:tc>
        <w:tc>
          <w:tcPr>
            <w:tcW w:w="186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260,147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100,619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(216,394)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186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w w:val="99"/>
              </w:rPr>
              <w:t>144,372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16, 2025, the Company declared a cash dividend of $0.075 per common share payable on January 16, 2026, in the aggregate amount of $1,360,000 to common stockholders of record as of December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Company’s Board of Directors approved a share repurchase program authorizing the Company to purchase up to $30,000,000 of its shares of outstanding common stock. The share repurchase program may be modified, suspended or discontinued at any time and does not commit the Company to repurchase any shares. No shares have been repurchased under this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growing and harvest costs and third-party grower and supplier costs relative to fresh lemons. The lemon packing segment includes packing revenues and packing costs. Fresh lemons and lemon packing revenues relate to lemons grown on the Company’s orchards and lemons procured from third-party growers. The avocados segment includes sales, farming and harvest costs. The other agribusiness segment primarily includes sales, farm management, growing and harvest costs, brokered fruit costs of oranges and specialty citrus, wine grapes, fallowing revenue, shipping revenue and shipping costs. During fiscal year 2025, the Company changed its presentation of fresh lemons and lemon packing revenue and costs to remove reference to intersegment revenue, intersegment costs and expenses and eliminations. Prior years’ information has been restated to conform to the current year’s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CODM is the chief executive officer. The Company’s CODM measures the operating performance of the Company’s operating segments and allocates resources based on its evaluation. Revenues and operating income or loss, excluding depreciation and amortization, are used to monitor budget versus actual results. The significant expense categories and amounts align with the segment-level information that is regularly provided to the Company’s CODM. No asset information is provided for reportable operating segments, as these specified amounts are not included in the measure of segment profit or loss reviewed by the Company’s CODM. The Company does not separately allocate depreciation and amortization to its fresh lemons, lemon packing, avocados and other agribusiness segments. The Company also does not allocate impairment charges, various gains or losses included in operating income or loss, selling, general and administrative expenses, total other income or expense and income taxes, or specifically identify them to its operating segments.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 (continued)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ASU 2023-07 as of fiscal year 2025 and, as a result, expanded its segment information to include significant segment expenses and other segment items. Other segment items for the lemon packing segment include lease expenses, utilities, repairs and maintenance, professional assessments and fees, insurance, property taxes, custom packing and other packinghouse operational expenses. Other segment items for the other agribusiness segment are primarily shipping expenses. Other segment items in Corporate and Other include rental and operations expenses. Prior years’ information has been restated to conform to the current year’s presentation.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2025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Lemons</w:t>
            </w:r>
          </w:p>
        </w:tc>
        <w:tc>
          <w:tcPr>
            <w:tcW w:w="180" w:type="dxa"/>
            <w:vAlign w:val="bottom"/>
          </w:tcPr>
          <w:p>
            <w:pPr>
              <w:spacing w:after="0"/>
              <w:rPr>
                <w:sz w:val="13"/>
                <w:szCs w:val="13"/>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8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159,723</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Labor and benefits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Packing supplies and fruit treatments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Harvest costs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Growing costs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Third party grower and supplier costs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segment items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165"/>
        </w:trPr>
        <w:tc>
          <w:tcPr>
            <w:tcW w:w="396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Gain on remeasurement of previously held equity</w:t>
            </w: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method investment</w:t>
            </w: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24,200</w:t>
            </w:r>
          </w:p>
        </w:tc>
        <w:tc>
          <w:tcPr>
            <w:tcW w:w="0" w:type="dxa"/>
            <w:vAlign w:val="bottom"/>
          </w:tcPr>
          <w:p>
            <w:pPr>
              <w:spacing w:after="0"/>
              <w:rPr>
                <w:sz w:val="1"/>
                <w:szCs w:val="1"/>
                <w:color w:val="auto"/>
              </w:rPr>
            </w:pPr>
          </w:p>
        </w:tc>
      </w:tr>
      <w:tr>
        <w:trPr>
          <w:trHeight w:val="145"/>
        </w:trPr>
        <w:tc>
          <w:tcPr>
            <w:tcW w:w="3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costs  and  expenses,  excluding  depreciation  and</w:t>
            </w: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77,589</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146,567</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170,919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line="20" w:lineRule="exact"/>
              <w:rPr>
                <w:sz w:val="1"/>
                <w:szCs w:val="1"/>
                <w:color w:val="auto"/>
              </w:rPr>
            </w:pPr>
          </w:p>
        </w:tc>
      </w:tr>
      <w:tr>
        <w:trPr>
          <w:trHeight w:val="160"/>
        </w:trPr>
        <w:tc>
          <w:tcPr>
            <w:tcW w:w="396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benefit</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2024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8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191,503</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Packing supplies and fruit treatments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Harvest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Growing costs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Third party grower and supplier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72,176</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segment items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0" w:type="dxa"/>
            <w:vAlign w:val="bottom"/>
          </w:tcPr>
          <w:p>
            <w:pPr>
              <w:spacing w:after="0"/>
              <w:rPr>
                <w:sz w:val="1"/>
                <w:szCs w:val="1"/>
                <w:color w:val="auto"/>
              </w:rPr>
            </w:pPr>
          </w:p>
        </w:tc>
      </w:tr>
      <w:tr>
        <w:trPr>
          <w:trHeight w:val="142"/>
        </w:trPr>
        <w:tc>
          <w:tcPr>
            <w:tcW w:w="39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84,181</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157,690</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31,617</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189,307</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other income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17,725</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provision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2023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8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179,901</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and expenses, excluding depreciation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0" w:type="dxa"/>
            <w:vAlign w:val="bottom"/>
          </w:tcPr>
          <w:p>
            <w:pPr>
              <w:spacing w:after="0"/>
              <w:rPr>
                <w:sz w:val="1"/>
                <w:szCs w:val="1"/>
                <w:color w:val="auto"/>
              </w:rPr>
            </w:pPr>
          </w:p>
        </w:tc>
      </w:tr>
      <w:tr>
        <w:trPr>
          <w:trHeight w:val="213"/>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Packing supplies and fruit treatments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Harvest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18,613</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18,613</w:t>
            </w:r>
          </w:p>
        </w:tc>
        <w:tc>
          <w:tcPr>
            <w:tcW w:w="0" w:type="dxa"/>
            <w:vAlign w:val="bottom"/>
          </w:tcPr>
          <w:p>
            <w:pPr>
              <w:spacing w:after="0"/>
              <w:rPr>
                <w:sz w:val="1"/>
                <w:szCs w:val="1"/>
                <w:color w:val="auto"/>
              </w:rPr>
            </w:pPr>
          </w:p>
        </w:tc>
      </w:tr>
      <w:tr>
        <w:trPr>
          <w:trHeight w:val="213"/>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Growing costs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Third party grower and supplier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61,274</w:t>
            </w:r>
          </w:p>
        </w:tc>
        <w:tc>
          <w:tcPr>
            <w:tcW w:w="0" w:type="dxa"/>
            <w:vAlign w:val="bottom"/>
          </w:tcPr>
          <w:p>
            <w:pPr>
              <w:spacing w:after="0"/>
              <w:rPr>
                <w:sz w:val="1"/>
                <w:szCs w:val="1"/>
                <w:color w:val="auto"/>
              </w:rPr>
            </w:pPr>
          </w:p>
        </w:tc>
      </w:tr>
      <w:tr>
        <w:trPr>
          <w:trHeight w:val="213"/>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segment items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13"/>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25,889</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25,889</w:t>
            </w:r>
          </w:p>
        </w:tc>
        <w:tc>
          <w:tcPr>
            <w:tcW w:w="0" w:type="dxa"/>
            <w:vAlign w:val="bottom"/>
          </w:tcPr>
          <w:p>
            <w:pPr>
              <w:spacing w:after="0"/>
              <w:rPr>
                <w:sz w:val="1"/>
                <w:szCs w:val="1"/>
                <w:color w:val="auto"/>
              </w:rPr>
            </w:pPr>
          </w:p>
        </w:tc>
      </w:tr>
      <w:tr>
        <w:trPr>
          <w:trHeight w:val="142"/>
        </w:trPr>
        <w:tc>
          <w:tcPr>
            <w:tcW w:w="39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Costs and expenses (gains), excluding depreciation and</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86,521</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45,689</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161,846</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160,542</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other income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provision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13,364</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related to rental operations are included in “Corporate and Other.” The detail of other agribusiness revenues for fiscal years ended October 31,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wine grapes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events subsequent to October 31, 2025 through the date of this filing, to assess the need for potential recognition or disclosure in this Annual Report. Based upon this evaluation, except as described in the notes to consolidated financial statements, it was determined that no other subsequent events occurred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October 31, 2025, 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 Control over Financial Reporting. </w:t>
      </w:r>
      <w:r>
        <w:rPr>
          <w:rFonts w:ascii="Times New Roman" w:cs="Times New Roman" w:eastAsia="Times New Roman" w:hAnsi="Times New Roman"/>
          <w:sz w:val="18"/>
          <w:szCs w:val="18"/>
          <w:color w:val="auto"/>
        </w:rPr>
        <w:t>Refer to “Management’s Report on Internal Control over Financial Reporting” and “Report of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below.</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including the principal executive officer and principal financial officer, conducted an evaluation of the effectiveness of Limoneira Company’s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internal control over financial reporting was effective as of October 31, 2025. Deloitte &amp; Touche LLP, an independent registered public accounting firm, audited the effectiveness of the Company’s internal control over financial reporting and issued a report on internal control over financial reporting, which is included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6" w:name="page87"/>
    <w:bookmarkEnd w:id="86"/>
    <w:p>
      <w:pPr>
        <w:ind w:right="3360" w:firstLine="3364"/>
        <w:spacing w:after="0" w:line="42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Limoneira Company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Limoneira Company and subsidiaries (the "Company") as of October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October 31, 2025, based on criteria established in Internal Control — Integrated Framework (2013) issued by COSO.</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2025, of the Company and our report dated December 23, 2025, expressed an unqualified opinion on those financial statements based on our audit and the report of Ernst &amp; Young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7" w:name="page88"/>
    <w:bookmarkEnd w:id="8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quarter ended October 31, 2025, or, to our knowledge, internal control over financial reporting.</w:t>
      </w:r>
    </w:p>
    <w:p>
      <w:pPr>
        <w:spacing w:after="0" w:line="20" w:lineRule="exact"/>
        <w:rPr>
          <w:sz w:val="20"/>
          <w:szCs w:val="20"/>
          <w:color w:val="auto"/>
        </w:rPr>
      </w:pPr>
      <w:r>
        <w:rPr>
          <w:sz w:val="20"/>
          <w:szCs w:val="20"/>
          <w:color w:val="auto"/>
        </w:rPr>
        <w:br w:type="column"/>
      </w:r>
    </w:p>
    <w:p>
      <w:pPr>
        <w:ind w:hanging="1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 over financial reporting during the in other factors that have materially affected, or are reasonably likely to materially affect, our</w:t>
      </w:r>
    </w:p>
    <w:p>
      <w:pPr>
        <w:spacing w:after="0" w:line="319" w:lineRule="exact"/>
        <w:rPr>
          <w:sz w:val="20"/>
          <w:szCs w:val="20"/>
          <w:color w:val="auto"/>
        </w:rPr>
      </w:pPr>
    </w:p>
    <w:p>
      <w:pPr>
        <w:sectPr>
          <w:pgSz w:w="11900" w:h="16838" w:orient="portrait"/>
          <w:cols w:equalWidth="0" w:num="2">
            <w:col w:w="4120" w:space="60"/>
            <w:col w:w="7060"/>
          </w:cols>
          <w:pgMar w:left="320" w:top="1251" w:right="339" w:bottom="1440" w:gutter="0" w:footer="0" w:header="0"/>
        </w:sect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5"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(Public Company Accounting Oversight Board identification number 34)</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Financial Statements of Limoneira Company</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Balance Sheets as of October 31, 2025 and 2024</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October 31, 2025, 2024 and 2023</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October 31, 2025, 2024 and 2023</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2025, 2024 and 2023</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October 31, 2025, 2024 and 2023</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284"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ind w:left="720"/>
        <w:spacing w:after="0" w:line="245" w:lineRule="auto"/>
        <w:rPr>
          <w:sz w:val="20"/>
          <w:szCs w:val="20"/>
          <w:color w:val="auto"/>
        </w:rPr>
      </w:pPr>
      <w:r>
        <w:rPr>
          <w:rFonts w:ascii="Times New Roman" w:cs="Times New Roman" w:eastAsia="Times New Roman" w:hAnsi="Times New Roman"/>
          <w:sz w:val="18"/>
          <w:szCs w:val="18"/>
          <w:color w:val="auto"/>
        </w:rPr>
        <w:t>Per Item 15(a)(2), list the following documents filed as part of the report: those financial statements required to be filed by Item 8 of this Form 10-K, and by paragraph (b) below.</w:t>
      </w:r>
    </w:p>
    <w:p>
      <w:pPr>
        <w:spacing w:after="0" w:line="257" w:lineRule="exact"/>
        <w:rPr>
          <w:sz w:val="20"/>
          <w:szCs w:val="20"/>
          <w:color w:val="auto"/>
        </w:rPr>
      </w:pPr>
    </w:p>
    <w:p>
      <w:pPr>
        <w:ind w:left="720" w:hanging="694"/>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3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set forth on page 91.</w:t>
      </w:r>
    </w:p>
    <w:p>
      <w:pPr>
        <w:spacing w:after="0" w:line="283"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rFonts w:ascii="Times New Roman" w:cs="Times New Roman" w:eastAsia="Times New Roman" w:hAnsi="Times New Roman"/>
          <w:sz w:val="18"/>
          <w:szCs w:val="18"/>
          <w:color w:val="auto"/>
        </w:rPr>
      </w:pPr>
    </w:p>
    <w:p>
      <w:pPr>
        <w:jc w:val="both"/>
        <w:ind w:left="72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Item 15(c), registrants shall file, as financial statement schedules to this Form 10-K, the financial statements required by Regulation S-X (17 CFR 210) which are excluded from the annual report to stockholders by Rule 14a-3(b) including: (1) separate financial statements of subsidiaries not consolidated and fifty percent or less owned persons; (2) separate financial statements of affiliates whose securities are pledged as collateral; and (3)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920" w:type="dxa"/>
            <w:vAlign w:val="bottom"/>
            <w:gridSpan w:val="22"/>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2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4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Agreement of Merger Between Ronald Michaelis Ranches, Inc. and Limoneira Company, dated June 24, 1997 (Incorporated by</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reference to exhibit 3.6 to the Company’s Registration Statement on Form 10, and amendments thereto, declared effective April 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2010 (File No. 000-53885))</w:t>
              </w:r>
            </w:hyperlink>
          </w:p>
        </w:tc>
        <w:tc>
          <w:tcPr>
            <w:tcW w:w="78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Restated Certificate of Incorporation of Limoneira Company, dated July 5, 1990 (Incorporated by reference to exhibit 3.1 to the</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Company’s Registration Statement on Form 10, and amendments thereto, declared effective April 13, 2010 (File No. 000-53885))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3.7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000-53885))</w:t>
              </w:r>
            </w:hyperlink>
          </w:p>
        </w:tc>
        <w:tc>
          <w:tcPr>
            <w:tcW w:w="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Certificate of Amendment of Certificate of Incorporation of Limoneira Company, dated March 24, 2010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exhibit 3.9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000-53885))</w:t>
              </w:r>
            </w:hyperlink>
          </w:p>
        </w:tc>
        <w:tc>
          <w:tcPr>
            <w:tcW w:w="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Certificate of Amendment of Certificate of Incorporation of Limoneira Company, dated March 29, 2017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3.1 to the Company’s Current Report on Form 8-K, filed March 31, 2017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Certificate of Amendment of Certificate of Incorporation of Limoneira Company, dated March 26, 2024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exhibit 3.1 to the Company’s Current Report on Form 8-K, filed March 28, 2024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Bylaws of Limoneira Company (Incorporated by reference to exhibit 3.1 to the Company's Current Report on</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8-K, filed December 18, 2023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and amendments thereto, declared effective April 13, 2010 (File No. 000-53885))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 Company,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dated May 21, 1997 (Incorporated by reference to exhibit 3.4 to the Company’s Registration Statement on Form 10, and amendments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thereto, declared effective April 13, 2010 (File No. 000-53885))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Company, dated May 21, 1997 (Incorporated by reference to exhibit 3.5 to the Company’s Registration Statement on Form 10, and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amendments thereto, declared effective April 13, 2010 (File No. 000-53885))</w:t>
              </w:r>
            </w:hyperlink>
          </w:p>
        </w:tc>
        <w:tc>
          <w:tcPr>
            <w:tcW w:w="4380" w:type="dxa"/>
            <w:vAlign w:val="bottom"/>
            <w:tcBorders>
              <w:top w:val="single" w:sz="8" w:color="0000FF"/>
            </w:tcBorders>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 Company,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dated March 20, 2014 (Incorporated by reference to exhibit 3.1 to the Company’s Current Report on Form 8-K, filed March 24,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(File No. 001-34755))</w:t>
              </w:r>
            </w:hyperlink>
          </w:p>
        </w:tc>
        <w:tc>
          <w:tcPr>
            <w:tcW w:w="83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Description of Securities (Incorporated by reference to exhibit 4.7 of the Company's Annual Report on Form 10-K, filed on December</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22, 2022 (File No. 001-34755))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Real Estate Advisory Management Consultant Agreement dated April 1, 2004, by and between Limoneira Company and Parkstone</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Companies (Incorporated by reference to exhibit 10.1 of the Company’s Current Report on Form 8-K, filed August 25, 2010 (File No.</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001-34755))</w:t>
              </w:r>
            </w:hyperlink>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1 to Real Estate Advisory Management Consultant Agreement dated August 24, 2010, by and between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Company and Parkstone Companies (Incorporated by reference to exhibit 10.2 of the Company’s Current Report on Form 8-K, filed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August 25, 2010 (File No. 001-34755))</w:t>
              </w:r>
            </w:hyperlink>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Judgment, dated March 7, 1996, United Water Conservation Dist. v. City of San Buenaventura, et al., Case No. 115611, Superior Court</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of the State of California, Ventura County (Incorporated by reference to exhibit 10.24 to the Company’s Registration Statement on Form</w:t>
              </w:r>
            </w:hyperlink>
          </w:p>
        </w:tc>
        <w:tc>
          <w:tcPr>
            <w:tcW w:w="280" w:type="dxa"/>
            <w:vAlign w:val="bottom"/>
            <w:tcBorders>
              <w:bottom w:val="single" w:sz="8" w:color="0000FF"/>
            </w:tcBorders>
            <w:gridSpan w:val="1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bl>
    <w:p>
      <w:pPr>
        <w:ind w:left="138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 and amendments thereto, declared effective April 13, 2010 (File No. 000-53885))</w:t>
        </w:r>
      </w:hyperlink>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900" w:type="dxa"/>
            <w:vAlign w:val="bottom"/>
            <w:gridSpan w:val="28"/>
          </w:tcPr>
          <w:p>
            <w:pPr>
              <w:ind w:left="2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2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60" w:type="dxa"/>
            <w:vAlign w:val="bottom"/>
            <w:tcBorders>
              <w:top w:val="single" w:sz="8" w:color="auto"/>
            </w:tcBorders>
            <w:gridSpan w:val="32"/>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Series B-2 Preferred Stock Purchase Agreement, dated March 21, 2014, by and between Limoneira Company and WPI-ACP Holdings,</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LLC (Incorporated by reference to exhibit 10.1 to the Current Report on Form 8-K, filed March 24, 2014 (File No. 001-34755))</w:t>
              </w:r>
            </w:hyperlink>
          </w:p>
        </w:tc>
        <w:tc>
          <w:tcPr>
            <w:tcW w:w="8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Contribution Agreement, dated September 4, 2015, by and among Limoneira Company and Lewis Santa Paula Member, LLC</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10.1 to the Company’s Current Report on Form 8-K, filed September 10, 2015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First Amended and Restated Limited Liability Company Agreement of Limoneira Lewis Community Builders, LLC, dated November</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 2015, by and among Limoneira EA1 Land LLC and Lewis Santa Paula Member, LLC (Incorporated by reference to exhibit 10.1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the Company’s Current Report on Form 8-K, filed November 16, 2015 (File No. 001-34755))</w:t>
              </w:r>
            </w:hyperlink>
          </w:p>
        </w:tc>
        <w:tc>
          <w:tcPr>
            <w:tcW w:w="324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Retained Property Development Agreement, dated November 10, 2015, by and among Limoneira Company and Limoneira Lewis</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Community Builders, LLC (Incorporated by reference to exhibit 10.3 to the Company’s Current Report on Form 8-K, filed November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16, 2015 (File No. 001-34755)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Limoneira Company 2022 Omnibus Incentive Plan, as approved by the Stockholders on March 22, 2022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10.2 of the Company’s Current Report on Form 8-K, filed August 1, 2022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to Limoneira Company 2022 Omnibus Incentive Plan, dated March 26, 2024 (Incorporated by reference to exhibit 10.1 of</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Company’s Current Report on Form 8-K, filed March 28, 2024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Time-Based Restricted Share Award Agreement for Non-Employee Directors, Pursuant to the Limoneira Company 2022</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Omnibus Incentive Plan (Incorporated by reference to exhibit 10.3 of the Company’s Current Report on Form 8-K, filed August 1, 2022</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(File No. 001-34755))</w:t>
              </w:r>
            </w:hyperlink>
          </w:p>
        </w:tc>
        <w:tc>
          <w:tcPr>
            <w:tcW w:w="8440" w:type="dxa"/>
            <w:vAlign w:val="bottom"/>
            <w:gridSpan w:val="2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Performance-Based Restricted Share Award Agreement, Pursuant to the Limoneira Company 2022 Omnibus Incentive Plan</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10.4 of the Company’s Current Report on Form 8-K, filed August 1, 2022 (File No. 001-34755))</w:t>
              </w:r>
            </w:hyperlink>
          </w:p>
        </w:tc>
        <w:tc>
          <w:tcPr>
            <w:tcW w:w="2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Time-Based Restricted Share Award Agreement for Employees, Pursuant to the Limoneira Company 2022 Omnibus Incentive</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Plan (Incorporated by reference to exhibit 10.5 of the Company’s Current Report on Form 8-K, filed August 1, 2022 (File No. 001-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0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Retention Bonus Agreement, dated October 26, 2022, between Limoneira Company and Harold Edwards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exhibit 10.1 of the Company’s Current Report on Form 8-K, filed October 27, 2022 (File No. 001-34755))</w:t>
              </w:r>
            </w:hyperlink>
          </w:p>
        </w:tc>
        <w:tc>
          <w:tcPr>
            <w:tcW w:w="22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Retention Bonus Agreement, dated October 26, 2022, between Limoneira Company and Mark Palamountain (Incorporated by reference</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to exhibit 10.2 of the Company’s Current Report on Form 8-K, filed October 27, 2022 (File No. 001-34755))</w:t>
              </w:r>
            </w:hyperlink>
          </w:p>
        </w:tc>
        <w:tc>
          <w:tcPr>
            <w:tcW w:w="198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First Amendment to the First Amended and Restated Limited Liability Company Agreement of Limoneira Lewis Community Builders,</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LLC, dated October 25, 2022 (Incorporated by reference to exhibit 10.1 of the Company’s Current Report on Form 8-K/A, filed October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31, 2022 (File No. 001-34755))</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Limited Liability Company Agreement of LLCB II, LLC, dated October 25, 2022 (Incorporated by reference to exhibit 10.2 of the</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Company’s Current Report on Form 8-K, filed on October 26, 2022 (File No. 001-34755))</w:t>
              </w:r>
            </w:hyperlink>
          </w:p>
        </w:tc>
        <w:tc>
          <w:tcPr>
            <w:tcW w:w="358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7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Change in Control Agreement, dated as of July 24, 2024 between Limoneira Company and Harold Edwards (Incorporated by reference</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to exhibit 10.1 of the Company’s Quarterly Report on Form 10-Q, filed September 9, 2024 (File No. 001-34755))</w:t>
              </w:r>
            </w:hyperlink>
          </w:p>
        </w:tc>
        <w:tc>
          <w:tcPr>
            <w:tcW w:w="60" w:type="dxa"/>
            <w:vAlign w:val="bottom"/>
            <w:gridSpan w:val="3"/>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1"/>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Change in Control Agreement, dated as of July 24, 2024 between Limoneira Company and Mark Palamountain (Incorporated by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reference to exhibit 10.2 of the Company’s Quarterly Report on Form 10-Q, filed September 9, 2024 (File No. 001-34755))</w:t>
              </w:r>
            </w:hyperlink>
          </w:p>
        </w:tc>
        <w:tc>
          <w:tcPr>
            <w:tcW w:w="102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Grower Packing &amp; Marketing Agreement, dated as of January 31, 2023, by and between Limoneira Company and PAI Centurion Citrus,</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LLC (Incorporated by reference to exhibit 10.7 of the Company’s Quarterly Report on Form 10-Q, filed March 9, 2023 (File No. 001-</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0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0" w:type="dxa"/>
            <w:vAlign w:val="bottom"/>
            <w:gridSpan w:val="29"/>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2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80" w:type="dxa"/>
            <w:vAlign w:val="bottom"/>
            <w:tcBorders>
              <w:top w:val="single" w:sz="8" w:color="auto"/>
            </w:tcBorders>
            <w:gridSpan w:val="35"/>
          </w:tcPr>
          <w:p>
            <w:pPr>
              <w:spacing w:after="0" w:line="18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Award Agreement under the Limoneira Company 2022 Omnibus Plan (Incorporated by reference to exhibit 10.1 of the</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Company’s Current Report on Form 8-K, filed November 2, 2023 (File No. 001-34755))</w:t>
              </w:r>
            </w:hyperlink>
          </w:p>
        </w:tc>
        <w:tc>
          <w:tcPr>
            <w:tcW w:w="36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Change in Control Agreement (Incorporated by reference to exhibit 10.1 of the Company’s Current Report on Form 8-K, filed</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July 24, 2024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Transaction Bonus Agreement, dated August 22, 2024, between Harold Edwards and Limoneira Company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exhibit 10.1 of the Company’s Current Report on Form 8-K, filed August 23, 2024 (File No. 001-34755))</w:t>
              </w:r>
            </w:hyperlink>
          </w:p>
        </w:tc>
        <w:tc>
          <w:tcPr>
            <w:tcW w:w="24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Transaction Bonus Agreement, dated August 22, 2024, between Mark Palamountain and Limoneira Company (Incorporated by</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reference to exhibit 10.2 of the Company’s Current Report on Form 8-K, filed August 23, 2024 (File No. 001-34755))</w:t>
              </w:r>
            </w:hyperlink>
          </w:p>
        </w:tc>
        <w:tc>
          <w:tcPr>
            <w:tcW w:w="1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Amendment to First Amended and Restated Limited Liability Company Agreement of Limoneira Lewis Community Builders,</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LLC (Incorporated by reference to exhibit 10.32 of the Company’s Annual Report on Form 10-K, filed December 23, 2024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001-34755))</w:t>
              </w:r>
            </w:hyperlink>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Third Amendment to First Amended and Restated Limited Liability Company Agreement of Limoneira Lewis Community Builders,</w:t>
              </w:r>
            </w:hyperlink>
          </w:p>
        </w:tc>
      </w:tr>
      <w:tr>
        <w:trPr>
          <w:trHeight w:val="176"/>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LLC (Incorporated by reference to exhibit 10.33 of the Company’s Annual Report on Form 10-K, filed December 23, 2024 (File No.</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9"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001-</w:t>
              </w:r>
            </w:hyperlink>
          </w:p>
        </w:tc>
        <w:tc>
          <w:tcPr>
            <w:tcW w:w="440" w:type="dxa"/>
            <w:vAlign w:val="bottom"/>
            <w:tcBorders>
              <w:bottom w:val="single" w:sz="8" w:color="0000FF"/>
            </w:tcBorders>
            <w:gridSpan w:val="2"/>
          </w:tcPr>
          <w:p>
            <w:pPr>
              <w:jc w:val="right"/>
              <w:spacing w:after="0" w:line="149" w:lineRule="exact"/>
              <w:rPr>
                <w:rFonts w:ascii="Times New Roman" w:cs="Times New Roman" w:eastAsia="Times New Roman" w:hAnsi="Times New Roman"/>
                <w:sz w:val="17"/>
                <w:szCs w:val="17"/>
                <w:color w:val="0000FF"/>
                <w:w w:val="77"/>
              </w:rPr>
            </w:pPr>
            <w:hyperlink r:id="rId154">
              <w:r>
                <w:rPr>
                  <w:rFonts w:ascii="Times New Roman" w:cs="Times New Roman" w:eastAsia="Times New Roman" w:hAnsi="Times New Roman"/>
                  <w:sz w:val="17"/>
                  <w:szCs w:val="17"/>
                  <w:color w:val="0000FF"/>
                  <w:w w:val="77"/>
                </w:rPr>
                <w:t>34755))</w:t>
              </w:r>
            </w:hyperlink>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Packinghouse License Agreement, by and between Limoneira Company and Sunkist Growers, Inc., dated June 6, 2025 (Incorporated by</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reference to Exhibit 10.1 to the Company’</w:t>
              </w:r>
            </w:hyperlink>
            <w:hyperlink r:id="rId156">
              <w:r>
                <w:rPr>
                  <w:rFonts w:ascii="Times New Roman" w:cs="Times New Roman" w:eastAsia="Times New Roman" w:hAnsi="Times New Roman"/>
                  <w:sz w:val="18"/>
                  <w:szCs w:val="18"/>
                  <w:color w:val="0000FF"/>
                </w:rPr>
                <w:t>s Current Report on Form 8-K, filed June 9, 2025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Master Loan Agreement, between Limoneira Company and AgWest Farm Credit, PCA, dated June 26, 2025 (Incorporated by reference</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to Exhibit 10.1 to the Company’</w:t>
              </w:r>
            </w:hyperlink>
            <w:hyperlink r:id="rId156">
              <w:r>
                <w:rPr>
                  <w:rFonts w:ascii="Times New Roman" w:cs="Times New Roman" w:eastAsia="Times New Roman" w:hAnsi="Times New Roman"/>
                  <w:sz w:val="18"/>
                  <w:szCs w:val="18"/>
                  <w:color w:val="0000FF"/>
                  <w:w w:val="99"/>
                </w:rPr>
                <w:t>s Current Report on Form 8-K, filed July 2, 2025 (File No. 001-34755))</w:t>
              </w:r>
            </w:hyperlink>
          </w:p>
        </w:tc>
        <w:tc>
          <w:tcPr>
            <w:tcW w:w="26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Promissory Note and Revolving Credit Facility Supplement to Master Loan Agreement, dated June 26, 2025, between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Company and AgWest Farm Credit, PCA (Incorporated by reference to Exhibit 10.2 to the Company’s Current Report on Form 8-K,</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filed July 2, 2025 (File No. 001-34755))</w:t>
              </w:r>
            </w:hyperlink>
          </w:p>
        </w:tc>
        <w:tc>
          <w:tcPr>
            <w:tcW w:w="7260" w:type="dxa"/>
            <w:vAlign w:val="bottom"/>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Promissory Note and Revolving Credit Facility Supplement to Master Loan Agreement, dated June 26, 2025, between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Company and AgWest Farm Credit, PCA (Incorporated by reference to Exhibit 10.3 to the Company’s Current Report on Form 8-K,</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filed July 2, 2025 (File No. 001-34755))</w:t>
              </w:r>
            </w:hyperlink>
          </w:p>
        </w:tc>
        <w:tc>
          <w:tcPr>
            <w:tcW w:w="692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Modification to Master Loan Agreement, dated December 12, 2025 by and between Limoneira Company and AgWest Farm Credit,</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PCA (Incorporated by reference to Exhibit 10.1 to the Company’s Current Report on Form 8-K, filed December 16, 2025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6">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34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Purchase and Sale Agreement, dated November 7, 2025 by and between Agricola San Pablo SpA and San Pedro, SpA (Incorporated by</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 xml:space="preserve">reference to Exhibit 10.1 to the Company’s </w:t>
              </w:r>
            </w:hyperlink>
            <w:hyperlink r:id="rId156">
              <w:r>
                <w:rPr>
                  <w:rFonts w:ascii="Times New Roman" w:cs="Times New Roman" w:eastAsia="Times New Roman" w:hAnsi="Times New Roman"/>
                  <w:sz w:val="18"/>
                  <w:szCs w:val="18"/>
                  <w:color w:val="0000FF"/>
                  <w:w w:val="99"/>
                </w:rPr>
                <w:t>Current Report on Form 8-K, filed November 13, 2025 (File No. 001-34755))</w:t>
              </w:r>
            </w:hyperlink>
          </w:p>
        </w:tc>
        <w:tc>
          <w:tcPr>
            <w:tcW w:w="13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Purchase and Sale Agreement, dated November 7, 2025 by and between Fruticola Pan de Azucar S.A. and San Pedro, SpA.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10.2 to the Company’s Current Report on Form 8-K, filed November 13, 2025 (File No. 001-</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6">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34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Novation Contract, dated November 7, 2025 by and between Agricola San Pablo SpA and San Pedro, SpA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Exhibit 10.3 to the Company’</w:t>
              </w:r>
            </w:hyperlink>
            <w:hyperlink r:id="rId156">
              <w:r>
                <w:rPr>
                  <w:rFonts w:ascii="Times New Roman" w:cs="Times New Roman" w:eastAsia="Times New Roman" w:hAnsi="Times New Roman"/>
                  <w:sz w:val="18"/>
                  <w:szCs w:val="18"/>
                  <w:color w:val="0000FF"/>
                </w:rPr>
                <w:t>s Current Report on Form 8-K, filed November 13, 2025 (File No. 001-34755))</w:t>
              </w:r>
            </w:hyperlink>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Novation Contract, dated November 7, 2025 by and between Fruticola Pan de Azucar S.A. and San Pedro, SpA (Incorporated by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 xml:space="preserve">reference to Exhibit 10.4 to the Company’s </w:t>
              </w:r>
            </w:hyperlink>
            <w:hyperlink r:id="rId156">
              <w:r>
                <w:rPr>
                  <w:rFonts w:ascii="Times New Roman" w:cs="Times New Roman" w:eastAsia="Times New Roman" w:hAnsi="Times New Roman"/>
                  <w:sz w:val="18"/>
                  <w:szCs w:val="18"/>
                  <w:color w:val="0000FF"/>
                </w:rPr>
                <w:t>Current Report on Form 8-K, filed November 13, 2025 (File No. 001-34755))</w:t>
              </w:r>
            </w:hyperlink>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40" w:type="dxa"/>
            <w:vAlign w:val="bottom"/>
            <w:gridSpan w:val="9"/>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Limoneira Company Policy Regarding Insider Trading, Tipping and Other Wrongful Disclosures (Incorporated by reference to exhibit</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Company’s Annual Report on Form 10-K, filed December 23, 2024 (File No. 001-34755))</w:t>
              </w:r>
            </w:hyperlink>
          </w:p>
        </w:tc>
        <w:tc>
          <w:tcPr>
            <w:tcW w:w="280" w:type="dxa"/>
            <w:vAlign w:val="bottom"/>
            <w:gridSpan w:val="1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60" w:type="dxa"/>
            <w:vAlign w:val="bottom"/>
            <w:gridSpan w:val="8"/>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5"/>
                <w:szCs w:val="15"/>
                <w:color w:val="auto"/>
              </w:rPr>
            </w:pPr>
          </w:p>
        </w:tc>
        <w:tc>
          <w:tcPr>
            <w:tcW w:w="98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Subsidiaries of Limoneira Company</w:t>
            </w: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 Deloitte &amp; Touche LLP</w:t>
            </w: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4"/>
                <w:szCs w:val="24"/>
                <w:color w:val="auto"/>
              </w:rPr>
            </w:pPr>
          </w:p>
        </w:tc>
        <w:tc>
          <w:tcPr>
            <w:tcW w:w="6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 Ernst &amp; Young LLP</w:t>
            </w:r>
          </w:p>
        </w:tc>
        <w:tc>
          <w:tcPr>
            <w:tcW w:w="3700" w:type="dxa"/>
            <w:vAlign w:val="bottom"/>
            <w:gridSpan w:val="6"/>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Exchange Act Rule 13a-14(a) and 15d-14(a)</w:t>
            </w: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30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and Accounting Officer pursuant to Exchange Act Rule 13a-14(a) and 15d-14(a)</w:t>
            </w: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30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9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6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4"/>
                <w:szCs w:val="24"/>
                <w:color w:val="auto"/>
              </w:rPr>
            </w:pPr>
          </w:p>
        </w:tc>
        <w:tc>
          <w:tcPr>
            <w:tcW w:w="6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Limoneira Company Amended and Restated Clawback Policy, dated as of October 30, 2023</w:t>
            </w:r>
          </w:p>
        </w:tc>
        <w:tc>
          <w:tcPr>
            <w:tcW w:w="3220" w:type="dxa"/>
            <w:vAlign w:val="bottom"/>
            <w:gridSpan w:val="5"/>
          </w:tcPr>
          <w:p>
            <w:pPr>
              <w:spacing w:after="0"/>
              <w:rPr>
                <w:sz w:val="24"/>
                <w:szCs w:val="2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7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Limoneira Lewis Community Builders, LLC - Financial Statements as of October 31, 2025 and 2024</w:t>
            </w:r>
          </w:p>
        </w:tc>
        <w:tc>
          <w:tcPr>
            <w:tcW w:w="2580" w:type="dxa"/>
            <w:vAlign w:val="bottom"/>
            <w:gridSpan w:val="4"/>
          </w:tcPr>
          <w:p>
            <w:pPr>
              <w:spacing w:after="0"/>
              <w:rPr>
                <w:sz w:val="24"/>
                <w:szCs w:val="24"/>
                <w:color w:val="auto"/>
              </w:rPr>
            </w:pPr>
          </w:p>
        </w:tc>
      </w:tr>
      <w:tr>
        <w:trPr>
          <w:trHeight w:val="48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7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7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Denotes management contracts and compensatory plans or arrangements.</w:t>
      </w:r>
    </w:p>
    <w:p>
      <w:pPr>
        <w:spacing w:after="0" w:line="77" w:lineRule="exact"/>
        <w:rPr>
          <w:sz w:val="20"/>
          <w:szCs w:val="20"/>
          <w:color w:val="auto"/>
        </w:rPr>
      </w:pPr>
    </w:p>
    <w:p>
      <w:pPr>
        <w:jc w:val="both"/>
        <w:ind w:left="260" w:hanging="234"/>
        <w:spacing w:after="0" w:line="220" w:lineRule="auto"/>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December 23, 2025.</w:t>
      </w:r>
    </w:p>
    <w:p>
      <w:pPr>
        <w:spacing w:after="0" w:line="1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542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2459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Director, President and</w:t>
      </w: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on December 23, 2025, by the following persons on behalf of the registrant and in the capacities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59"/>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 Slater</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S. Slater</w:t>
            </w:r>
          </w:p>
        </w:tc>
        <w:tc>
          <w:tcPr>
            <w:tcW w:w="54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Harold S. Edwards</w:t>
            </w:r>
          </w:p>
        </w:tc>
        <w:tc>
          <w:tcPr>
            <w:tcW w:w="5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Harold S. Edwards</w:t>
            </w:r>
          </w:p>
        </w:tc>
        <w:tc>
          <w:tcPr>
            <w:tcW w:w="5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Palamountain</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Palamountain</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E. Kimball</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Gordon E. Kimball</w:t>
            </w:r>
          </w:p>
        </w:tc>
        <w:tc>
          <w:tcPr>
            <w:tcW w:w="5420" w:type="dxa"/>
            <w:vAlign w:val="bottom"/>
          </w:tcPr>
          <w:p>
            <w:pPr>
              <w:spacing w:after="0"/>
              <w:rPr>
                <w:sz w:val="19"/>
                <w:szCs w:val="19"/>
                <w:color w:val="auto"/>
              </w:rPr>
            </w:pPr>
          </w:p>
        </w:tc>
      </w:tr>
      <w:tr>
        <w:trPr>
          <w:trHeight w:val="481"/>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Edgar Terry</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Edgar Terry</w:t>
            </w:r>
          </w:p>
        </w:tc>
        <w:tc>
          <w:tcPr>
            <w:tcW w:w="54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J. Nolan</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J. Nolan</w:t>
            </w:r>
          </w:p>
        </w:tc>
        <w:tc>
          <w:tcPr>
            <w:tcW w:w="54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Mora</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Elizabeth Mora</w:t>
            </w:r>
          </w:p>
        </w:tc>
        <w:tc>
          <w:tcPr>
            <w:tcW w:w="54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Carbone</w:t>
            </w:r>
          </w:p>
        </w:tc>
        <w:tc>
          <w:tcPr>
            <w:tcW w:w="54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Barbara Carbone</w:t>
            </w:r>
          </w:p>
        </w:tc>
        <w:tc>
          <w:tcPr>
            <w:tcW w:w="5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5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List of Subsidiaries of Limoneira Company</w:t>
            </w:r>
          </w:p>
        </w:tc>
        <w:tc>
          <w:tcPr>
            <w:tcW w:w="420" w:type="dxa"/>
            <w:vAlign w:val="bottom"/>
          </w:tcPr>
          <w:p>
            <w:pPr>
              <w:spacing w:after="0"/>
              <w:rPr>
                <w:sz w:val="20"/>
                <w:szCs w:val="20"/>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Incorporation/Organization</w:t>
            </w:r>
          </w:p>
        </w:tc>
      </w:tr>
      <w:tr>
        <w:trPr>
          <w:trHeight w:val="45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Citrus Packers, Inc.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EA1 Land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EA2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International Division,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LLCB II,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Investors,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Chile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Fruticola Pan de Azucar S.A.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Agricola San Pablo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Argentina S.A.U.</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Trapani Fresh Consorcio de Cooperacion</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Holland B.V.</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Holland</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Vision Cooperative, Inc.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333-171934 and 333-263794 on Form S-8 of our reports dated December 23, 2025, relating to the financial statements of Limoneira Company and the effectiveness of Limoneira Company’s internal control over financial reporting appearing in this Annual Report on Form 10-K for the year ended October 31, 2025.</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71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2025</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520" w:hanging="310"/>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333-171934) pertaining to the Limoneira Company 2010 Omnibus Incentive Plan, and</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333-263794) pertaining to the Limoneira Company 2022 Omnibus Incentive Plan;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December 16, 2025, with respect to the financial statements of Limoneira Lewis Community Builders, LLC included in this Annual Report (Form 10-K) of Limoneira Company for the year ended October 31,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2025</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6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4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December 23, 2025</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61" w:lineRule="auto"/>
        <w:tabs>
          <w:tab w:leader="none" w:pos="96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ind w:left="460" w:right="20" w:hanging="412"/>
        <w:spacing w:after="0" w:line="260" w:lineRule="auto"/>
        <w:tabs>
          <w:tab w:leader="none" w:pos="4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December 23, 2025</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October 31, 2025 (the “Report”) of Limoneira Company (the “Registrant”), as filed with the Securities and Exchange Commission on the date hereof, I, Harold S. Edwards, Director, President and Chief Executive Officer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December 23, 2025</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76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October 31, 2025 (the “Report”) of Limoneira Company (the “Registrant”), as filed with the Securities and Exchange Commission on the date hereof, I, Mark Palamountain, Executive Vice President, Chief Financial Officer and Treasurer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97"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December 23, 2025</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765" w:right="339" w:bottom="1440" w:gutter="0" w:footer="0" w:header="0"/>
        </w:sectPr>
      </w:pPr>
    </w:p>
    <w:bookmarkStart w:id="102" w:name="page103"/>
    <w:bookmarkEnd w:id="102"/>
    <w:p>
      <w:pPr>
        <w:ind w:left="6980"/>
        <w:spacing w:after="0"/>
        <w:rPr>
          <w:sz w:val="20"/>
          <w:szCs w:val="20"/>
          <w:color w:val="auto"/>
        </w:rPr>
      </w:pPr>
      <w:r>
        <w:rPr>
          <w:rFonts w:ascii="Arial" w:cs="Arial" w:eastAsia="Arial" w:hAnsi="Arial"/>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u w:val="single" w:color="auto"/>
          <w:color w:val="auto"/>
        </w:rPr>
        <w:t>LIMONEIRA COMPANY</w:t>
      </w:r>
    </w:p>
    <w:p>
      <w:pPr>
        <w:jc w:val="center"/>
        <w:ind w:right="160"/>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RESTATED CLAWBACK POLICY</w:t>
      </w:r>
    </w:p>
    <w:p>
      <w:pPr>
        <w:spacing w:after="0" w:line="190" w:lineRule="exact"/>
        <w:rPr>
          <w:sz w:val="20"/>
          <w:szCs w:val="20"/>
          <w:color w:val="auto"/>
        </w:rPr>
      </w:pPr>
    </w:p>
    <w:p>
      <w:pPr>
        <w:jc w:val="both"/>
        <w:ind w:left="500" w:hanging="328"/>
        <w:spacing w:after="0" w:line="217" w:lineRule="auto"/>
        <w:tabs>
          <w:tab w:leader="none" w:pos="500"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Clawback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adopted by the Board of Directors (the “Board”) of Limoneira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provide for the recovery of certain erroneously awarded Incentive Compensation (defined below) in the event the Company is required to prepare an Accounting Restatement (defined below). This Policy amends and restates, and replaces in its entirety, the Policy Regarding Recoupment of Incentive Compensation, dated October 26, 2022. This Policy is intended to comply with, and shall be interpreted in accordance with, Section 10D of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Exchange Act Rule 10D-1, and Nasdaq Stock Market Listing Rule 5608 (“</w:t>
      </w:r>
      <w:r>
        <w:rPr>
          <w:rFonts w:ascii="Times New Roman" w:cs="Times New Roman" w:eastAsia="Times New Roman" w:hAnsi="Times New Roman"/>
          <w:sz w:val="20"/>
          <w:szCs w:val="20"/>
          <w:b w:val="1"/>
          <w:bCs w:val="1"/>
          <w:color w:val="auto"/>
        </w:rPr>
        <w:t>Rule 5608</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b w:val="1"/>
          <w:bCs w:val="1"/>
          <w:color w:val="auto"/>
        </w:rPr>
      </w:pPr>
    </w:p>
    <w:p>
      <w:pPr>
        <w:ind w:left="500" w:hanging="328"/>
        <w:spacing w:after="0"/>
        <w:tabs>
          <w:tab w:leader="none" w:pos="500"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Policy, the following terms shall have the meanings set forth below:</w:t>
      </w:r>
    </w:p>
    <w:p>
      <w:pPr>
        <w:spacing w:after="0" w:line="215" w:lineRule="exact"/>
        <w:rPr>
          <w:rFonts w:ascii="Times New Roman" w:cs="Times New Roman" w:eastAsia="Times New Roman" w:hAnsi="Times New Roman"/>
          <w:sz w:val="20"/>
          <w:szCs w:val="20"/>
          <w:b w:val="1"/>
          <w:bCs w:val="1"/>
          <w:color w:val="auto"/>
        </w:rPr>
      </w:pPr>
    </w:p>
    <w:p>
      <w:pPr>
        <w:jc w:val="both"/>
        <w:ind w:left="1140" w:right="20" w:hanging="320"/>
        <w:spacing w:after="0" w:line="223" w:lineRule="auto"/>
        <w:tabs>
          <w:tab w:leader="none" w:pos="112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1" w:lineRule="exact"/>
        <w:rPr>
          <w:rFonts w:ascii="Times New Roman" w:cs="Times New Roman" w:eastAsia="Times New Roman" w:hAnsi="Times New Roman"/>
          <w:sz w:val="20"/>
          <w:szCs w:val="20"/>
          <w:color w:val="auto"/>
        </w:rPr>
      </w:pPr>
    </w:p>
    <w:p>
      <w:pPr>
        <w:jc w:val="both"/>
        <w:ind w:left="1140" w:hanging="320"/>
        <w:spacing w:after="0" w:line="215" w:lineRule="auto"/>
        <w:tabs>
          <w:tab w:leader="none" w:pos="11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shall mean the amount of Incentive Compensation Received by an Executive Officer during a Recovery Period that exceeds the amount of Incentive Compensation the Executive Officer otherwise would have Received had such Incentive Compensation been determined based on the restated amounts. For Incentive Compensation based on stock price or total shareholder return, where the amount of Erroneously Awarded Compensation is not subject to mathematical recalculation directly from the information in the applicable Accounting Restatement, the amount of Erroneously Awarded Compensation must be based on a reasonable estimate of the effect of the Accounting Restatement on the stock price or total shareholder return upon which such Incentive Compensation was Received. The amount of Erroneously Awarded Compensation shall be computed without regard to any taxes paid.</w:t>
      </w:r>
    </w:p>
    <w:p>
      <w:pPr>
        <w:spacing w:after="0" w:line="201" w:lineRule="exact"/>
        <w:rPr>
          <w:rFonts w:ascii="Times New Roman" w:cs="Times New Roman" w:eastAsia="Times New Roman" w:hAnsi="Times New Roman"/>
          <w:sz w:val="20"/>
          <w:szCs w:val="20"/>
          <w:color w:val="auto"/>
        </w:rPr>
      </w:pPr>
    </w:p>
    <w:p>
      <w:pPr>
        <w:ind w:left="1140" w:hanging="320"/>
        <w:spacing w:after="0" w:line="301" w:lineRule="auto"/>
        <w:tabs>
          <w:tab w:leader="none" w:pos="112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shall mean a current or former executive officer of the Company, within the meaning of and as determined in accordance with Section 10D of the Exchange Act, Exchange Act Rule 10D-1, and Rule 5608.</w:t>
      </w:r>
    </w:p>
    <w:p>
      <w:pPr>
        <w:spacing w:after="0" w:line="138" w:lineRule="exact"/>
        <w:rPr>
          <w:rFonts w:ascii="Times New Roman" w:cs="Times New Roman" w:eastAsia="Times New Roman" w:hAnsi="Times New Roman"/>
          <w:sz w:val="20"/>
          <w:szCs w:val="20"/>
          <w:color w:val="auto"/>
        </w:rPr>
      </w:pPr>
    </w:p>
    <w:p>
      <w:pPr>
        <w:jc w:val="both"/>
        <w:ind w:left="1140" w:hanging="320"/>
        <w:spacing w:after="0" w:line="223" w:lineRule="auto"/>
        <w:tabs>
          <w:tab w:leader="none" w:pos="11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in the Company’s financial statements or included in a filing with the SEC.</w:t>
      </w:r>
    </w:p>
    <w:p>
      <w:pPr>
        <w:spacing w:after="0" w:line="184" w:lineRule="exact"/>
        <w:rPr>
          <w:rFonts w:ascii="Times New Roman" w:cs="Times New Roman" w:eastAsia="Times New Roman" w:hAnsi="Times New Roman"/>
          <w:sz w:val="20"/>
          <w:szCs w:val="20"/>
          <w:color w:val="auto"/>
        </w:rPr>
      </w:pPr>
    </w:p>
    <w:p>
      <w:pPr>
        <w:ind w:left="1140" w:hanging="320"/>
        <w:spacing w:after="0" w:line="235" w:lineRule="auto"/>
        <w:tabs>
          <w:tab w:leader="none" w:pos="112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w:t>
      </w:r>
    </w:p>
    <w:p>
      <w:pPr>
        <w:spacing w:after="0" w:line="211" w:lineRule="exact"/>
        <w:rPr>
          <w:rFonts w:ascii="Times New Roman" w:cs="Times New Roman" w:eastAsia="Times New Roman" w:hAnsi="Times New Roman"/>
          <w:sz w:val="20"/>
          <w:szCs w:val="20"/>
          <w:color w:val="auto"/>
        </w:rPr>
      </w:pPr>
    </w:p>
    <w:p>
      <w:pPr>
        <w:jc w:val="both"/>
        <w:ind w:left="1140" w:hanging="320"/>
        <w:spacing w:after="0" w:line="277" w:lineRule="auto"/>
        <w:tabs>
          <w:tab w:leader="none" w:pos="113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Compensation shall be deemed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62" w:lineRule="exact"/>
        <w:rPr>
          <w:rFonts w:ascii="Times New Roman" w:cs="Times New Roman" w:eastAsia="Times New Roman" w:hAnsi="Times New Roman"/>
          <w:sz w:val="20"/>
          <w:szCs w:val="20"/>
          <w:color w:val="auto"/>
        </w:rPr>
      </w:pPr>
    </w:p>
    <w:p>
      <w:pPr>
        <w:jc w:val="both"/>
        <w:ind w:left="1140" w:hanging="320"/>
        <w:spacing w:after="0" w:line="227" w:lineRule="auto"/>
        <w:tabs>
          <w:tab w:leader="none" w:pos="11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Recovery Period</w:t>
      </w:r>
      <w:r>
        <w:rPr>
          <w:rFonts w:ascii="Times New Roman" w:cs="Times New Roman" w:eastAsia="Times New Roman" w:hAnsi="Times New Roman"/>
          <w:sz w:val="20"/>
          <w:szCs w:val="20"/>
          <w:color w:val="auto"/>
        </w:rPr>
        <w:t>” shall mean (1) the three completed fiscal years of the Company immediately preceding the Restatement Date and (2) any transition period (that results from a change in the Company’s fiscal year) within or immediately following those three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55"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080"/>
          </w:cols>
          <w:pgMar w:left="480" w:top="129" w:right="339" w:bottom="1440" w:gutter="0" w:footer="0" w:header="0"/>
        </w:sectPr>
      </w:pPr>
    </w:p>
    <w:bookmarkStart w:id="103" w:name="page104"/>
    <w:bookmarkEnd w:id="103"/>
    <w:p>
      <w:pPr>
        <w:spacing w:after="0" w:line="1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completed fiscal years that is within the scope of the recovery period described in Rule 5608.</w:t>
      </w:r>
    </w:p>
    <w:p>
      <w:pPr>
        <w:spacing w:after="0" w:line="198" w:lineRule="exact"/>
        <w:rPr>
          <w:sz w:val="20"/>
          <w:szCs w:val="20"/>
          <w:color w:val="auto"/>
        </w:rPr>
      </w:pPr>
    </w:p>
    <w:p>
      <w:pPr>
        <w:jc w:val="both"/>
        <w:ind w:left="1140" w:hanging="320"/>
        <w:spacing w:after="0" w:line="220" w:lineRule="auto"/>
        <w:tabs>
          <w:tab w:leader="none" w:pos="114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Restatement Date</w:t>
      </w:r>
      <w:r>
        <w:rPr>
          <w:rFonts w:ascii="Times New Roman" w:cs="Times New Roman" w:eastAsia="Times New Roman" w:hAnsi="Times New Roman"/>
          <w:sz w:val="20"/>
          <w:szCs w:val="20"/>
          <w:color w:val="auto"/>
        </w:rPr>
        <w:t>” shall mean the date the Company is required to prepare an Accounting Restatement. Such date shall be the earlier of (1) the date the Board, a committee of the Board, or the officer(s) of the Company authorized to take such action if Board action is not required, concludes, or reasonably should have concluded, that the Company is required to prepare an Accounting Restatement, or (2) the date a court, regulator, or other legally authorized body directs the Company to prepare an Accounting Restatement.</w:t>
      </w:r>
    </w:p>
    <w:p>
      <w:pPr>
        <w:spacing w:after="0" w:line="187" w:lineRule="exact"/>
        <w:rPr>
          <w:rFonts w:ascii="Times New Roman" w:cs="Times New Roman" w:eastAsia="Times New Roman" w:hAnsi="Times New Roman"/>
          <w:sz w:val="20"/>
          <w:szCs w:val="20"/>
          <w:color w:val="auto"/>
        </w:rPr>
      </w:pPr>
    </w:p>
    <w:p>
      <w:pPr>
        <w:ind w:left="1140" w:hanging="320"/>
        <w:spacing w:after="0"/>
        <w:tabs>
          <w:tab w:leader="none" w:pos="114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shall mean the U.S. Securities and Exchange Commission.</w:t>
      </w:r>
    </w:p>
    <w:p>
      <w:pPr>
        <w:spacing w:after="0" w:line="202" w:lineRule="exact"/>
        <w:rPr>
          <w:rFonts w:ascii="Times New Roman" w:cs="Times New Roman" w:eastAsia="Times New Roman" w:hAnsi="Times New Roman"/>
          <w:sz w:val="20"/>
          <w:szCs w:val="20"/>
          <w:color w:val="auto"/>
        </w:rPr>
      </w:pPr>
    </w:p>
    <w:p>
      <w:pPr>
        <w:ind w:left="500" w:hanging="328"/>
        <w:spacing w:after="0"/>
        <w:tabs>
          <w:tab w:leader="none" w:pos="500"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Erroneously Awarded Compensation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1140" w:hanging="320"/>
        <w:spacing w:after="0" w:line="222" w:lineRule="auto"/>
        <w:tabs>
          <w:tab w:leader="none" w:pos="112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Administrator shall review all Incentive Compensation Received by any Executive Officer during the applicable Recovery Period to determine if any Erroneously Awarded Compensation has been Received, and the Company shall recover, reasonably promptly, any Erroneously Awarded Compensation.</w:t>
      </w:r>
    </w:p>
    <w:p>
      <w:pPr>
        <w:spacing w:after="0" w:line="188" w:lineRule="exact"/>
        <w:rPr>
          <w:rFonts w:ascii="Times New Roman" w:cs="Times New Roman" w:eastAsia="Times New Roman" w:hAnsi="Times New Roman"/>
          <w:sz w:val="20"/>
          <w:szCs w:val="20"/>
          <w:color w:val="auto"/>
        </w:rPr>
      </w:pPr>
    </w:p>
    <w:p>
      <w:pPr>
        <w:jc w:val="both"/>
        <w:ind w:left="1140" w:hanging="320"/>
        <w:spacing w:after="0" w:line="216" w:lineRule="auto"/>
        <w:tabs>
          <w:tab w:leader="none" w:pos="114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affect the recovery by requiring repayment, reimbursement or return of Incentive Compensation previously paid, seeking recovery of any gain realized on the vesting, exercise, settlement, sale, transfer or other disposition of any equity-based awards, cancelling outstanding vested or unvested awards, cancelling or offsetting the recouped amount from any compensation otherwise owed by the Company to the Executive Officer or from any future compensation, and/or any other means or combination of means or remedial or recovery action permitted by law as determined by the Administrator in its sole discretion.</w:t>
      </w:r>
    </w:p>
    <w:p>
      <w:pPr>
        <w:spacing w:after="0" w:line="175" w:lineRule="exact"/>
        <w:rPr>
          <w:rFonts w:ascii="Times New Roman" w:cs="Times New Roman" w:eastAsia="Times New Roman" w:hAnsi="Times New Roman"/>
          <w:sz w:val="20"/>
          <w:szCs w:val="20"/>
          <w:color w:val="auto"/>
        </w:rPr>
      </w:pPr>
    </w:p>
    <w:p>
      <w:pPr>
        <w:ind w:left="1140" w:right="20" w:hanging="320"/>
        <w:spacing w:after="0"/>
        <w:tabs>
          <w:tab w:leader="none" w:pos="112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 4, in no event may the Company seek to recover an amount that is less than the Erroneously Awarded Compensation owed by an Executive Officer.</w:t>
      </w:r>
    </w:p>
    <w:p>
      <w:pPr>
        <w:spacing w:after="0" w:line="215" w:lineRule="exact"/>
        <w:rPr>
          <w:rFonts w:ascii="Times New Roman" w:cs="Times New Roman" w:eastAsia="Times New Roman" w:hAnsi="Times New Roman"/>
          <w:sz w:val="20"/>
          <w:szCs w:val="20"/>
          <w:color w:val="auto"/>
        </w:rPr>
      </w:pPr>
    </w:p>
    <w:p>
      <w:pPr>
        <w:ind w:left="1140" w:hanging="320"/>
        <w:spacing w:after="0"/>
        <w:tabs>
          <w:tab w:leader="none" w:pos="114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Incentive Compensation Received by a person (1) after beginning service as an Executive Officer;</w:t>
      </w:r>
    </w:p>
    <w:p>
      <w:pPr>
        <w:spacing w:after="0" w:line="28" w:lineRule="exact"/>
        <w:rPr>
          <w:rFonts w:ascii="Times New Roman" w:cs="Times New Roman" w:eastAsia="Times New Roman" w:hAnsi="Times New Roman"/>
          <w:sz w:val="20"/>
          <w:szCs w:val="20"/>
          <w:color w:val="auto"/>
        </w:rPr>
      </w:pPr>
    </w:p>
    <w:p>
      <w:pPr>
        <w:jc w:val="both"/>
        <w:ind w:left="114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who served as an Executive Officer at any time during the performance period for that Incentive Compensation; (3) while the Company has a class of securities listed on a national securities exchange or a national securities association; and (4) during the Recovery Period. For the avoidance of doubt, this Policy shall apply to all such Executive Officers who Received Erroneously Awarded Compensation during the applicable Recovery Period, regardless of whether any misconduct occurred or an Executive Officer was responsible for the preparation of the Company’s financial statements. Further, the Company’s obligation to recover Erroneously Awarded Compensation is not dependent on if or when restated financial statements are filed.</w:t>
      </w:r>
    </w:p>
    <w:p>
      <w:pPr>
        <w:spacing w:after="0" w:line="207" w:lineRule="exact"/>
        <w:rPr>
          <w:rFonts w:ascii="Times New Roman" w:cs="Times New Roman" w:eastAsia="Times New Roman" w:hAnsi="Times New Roman"/>
          <w:sz w:val="20"/>
          <w:szCs w:val="20"/>
          <w:color w:val="auto"/>
        </w:rPr>
      </w:pPr>
    </w:p>
    <w:p>
      <w:pPr>
        <w:jc w:val="both"/>
        <w:ind w:left="500" w:hanging="328"/>
        <w:spacing w:after="0" w:line="269" w:lineRule="auto"/>
        <w:tabs>
          <w:tab w:leader="none" w:pos="500"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Exceptions to Recovery of Erroneously Awarded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recover Erroneously Awarded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in accordance with this Policy except to the extent that the conditions set forth in Exchange Act Rule 10D-1 and Rule 5608 are met, and the Company’s Compensation Committee, or in the absence of an independent compensation committee, a majority of the independent directors serving on the Board, has made a determination that recovery would be impracticable in accordance with Exchange Act Rule 10D-1 and Rule 5608.</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383" w:lineRule="exact"/>
        <w:rPr>
          <w:rFonts w:ascii="Times New Roman" w:cs="Times New Roman" w:eastAsia="Times New Roman" w:hAnsi="Times New Roman"/>
          <w:sz w:val="20"/>
          <w:szCs w:val="20"/>
          <w:b w:val="1"/>
          <w:bCs w:val="1"/>
          <w:color w:val="auto"/>
        </w:rPr>
      </w:pPr>
    </w:p>
    <w:p>
      <w:pPr>
        <w:ind w:left="120" w:hanging="112"/>
        <w:spacing w:after="0"/>
        <w:tabs>
          <w:tab w:leader="none" w:pos="1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080"/>
          </w:cols>
          <w:pgMar w:left="480" w:top="1440" w:right="339" w:bottom="1440" w:gutter="0" w:footer="0" w:header="0"/>
        </w:sectPr>
      </w:pPr>
    </w:p>
    <w:bookmarkStart w:id="104" w:name="page105"/>
    <w:bookmarkEnd w:id="104"/>
    <w:p>
      <w:pPr>
        <w:spacing w:after="0" w:line="104" w:lineRule="exact"/>
        <w:rPr>
          <w:sz w:val="20"/>
          <w:szCs w:val="20"/>
          <w:color w:val="auto"/>
        </w:rPr>
      </w:pPr>
    </w:p>
    <w:p>
      <w:pPr>
        <w:jc w:val="both"/>
        <w:ind w:left="492" w:hanging="328"/>
        <w:spacing w:after="0" w:line="223" w:lineRule="auto"/>
        <w:tabs>
          <w:tab w:leader="none" w:pos="49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maintain documentation relating to the Administrator’s review process, including any computation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restated amounts or the Erroneously Awarded Compensation. Further, if the amount of Erroneously Awarded Compensation is determined pursuant to the second sentence of Section 2(b), the Company shall maintain documentation of any estimated Erroneously Awarded Compensation and provide such documentation to Nasdaq.</w:t>
      </w:r>
    </w:p>
    <w:p>
      <w:pPr>
        <w:spacing w:after="0" w:line="198" w:lineRule="exact"/>
        <w:rPr>
          <w:rFonts w:ascii="Times New Roman" w:cs="Times New Roman" w:eastAsia="Times New Roman" w:hAnsi="Times New Roman"/>
          <w:sz w:val="20"/>
          <w:szCs w:val="20"/>
          <w:b w:val="1"/>
          <w:bCs w:val="1"/>
          <w:color w:val="auto"/>
        </w:rPr>
      </w:pPr>
    </w:p>
    <w:p>
      <w:pPr>
        <w:jc w:val="both"/>
        <w:ind w:left="492" w:hanging="328"/>
        <w:spacing w:after="0" w:line="269" w:lineRule="auto"/>
        <w:tabs>
          <w:tab w:leader="none" w:pos="49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 Prohibition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no circumstances shall the Company indemnify any Executive Officer against, or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coverage for, the loss of any Erroneously Awarded Compensation or any claims relating to the Company’s enforcement of its rights under this Policy. Further, the Company shall not enter into any agreement that exempts any Incentive Compensation from the application of this Policy or that waives the Company’s right to recover any Erroneously Awarded Compensation. This Policy shall supersede any such agreement (whether entered into before, on, or after the Effective Date).</w:t>
      </w:r>
    </w:p>
    <w:p>
      <w:pPr>
        <w:spacing w:after="0" w:line="196" w:lineRule="exact"/>
        <w:rPr>
          <w:rFonts w:ascii="Times New Roman" w:cs="Times New Roman" w:eastAsia="Times New Roman" w:hAnsi="Times New Roman"/>
          <w:sz w:val="20"/>
          <w:szCs w:val="20"/>
          <w:b w:val="1"/>
          <w:bCs w:val="1"/>
          <w:color w:val="auto"/>
        </w:rPr>
      </w:pPr>
    </w:p>
    <w:p>
      <w:pPr>
        <w:jc w:val="both"/>
        <w:ind w:left="492" w:hanging="328"/>
        <w:spacing w:after="0" w:line="263" w:lineRule="auto"/>
        <w:tabs>
          <w:tab w:leader="none" w:pos="49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administered, interpreted and enforced by the Board, or, if so designated by the Board,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committee to which such authority may be delegated (the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The Administrator has full power and authority to interpret and construe this Policy and to make all determinations that it deems necessary, appropriate or advisable for the administration of this Policy, subject to and unless otherwise provided in this Policy or in Exchange Act Rule 10D-1 or Rule 5608. Any determinations made by the Administrator in good faith pursuant to this Policy or otherwise made in accordance with this Policy, Section 10D of the Exchange Act, Exchange Act Rule 10D-1 and Rule 5608. shall be final and binding on all affected individuals.</w:t>
      </w:r>
    </w:p>
    <w:p>
      <w:pPr>
        <w:spacing w:after="0" w:line="179" w:lineRule="exact"/>
        <w:rPr>
          <w:rFonts w:ascii="Times New Roman" w:cs="Times New Roman" w:eastAsia="Times New Roman" w:hAnsi="Times New Roman"/>
          <w:sz w:val="20"/>
          <w:szCs w:val="20"/>
          <w:b w:val="1"/>
          <w:bCs w:val="1"/>
          <w:color w:val="auto"/>
        </w:rPr>
      </w:pPr>
    </w:p>
    <w:p>
      <w:pPr>
        <w:jc w:val="both"/>
        <w:ind w:left="492" w:hanging="328"/>
        <w:spacing w:after="0" w:line="215" w:lineRule="auto"/>
        <w:tabs>
          <w:tab w:leader="none" w:pos="49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Agreements; Other Recoupment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intends that this Policy will be applied to the fullest extent of the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may require that any employment agreement, award agreement, or similar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under applicable law or pursuant to the terms of any similar additional policy adopted by the Company to supplement this Policy; any similar or other policy or provision in any employment agreement, award terms, award agreement or similar agreement; any compensation, incentive, or severance plan or policy; and any other remedies at law or in equity available to the Company.</w:t>
      </w:r>
    </w:p>
    <w:p>
      <w:pPr>
        <w:spacing w:after="0" w:line="174" w:lineRule="exact"/>
        <w:rPr>
          <w:rFonts w:ascii="Times New Roman" w:cs="Times New Roman" w:eastAsia="Times New Roman" w:hAnsi="Times New Roman"/>
          <w:sz w:val="20"/>
          <w:szCs w:val="20"/>
          <w:b w:val="1"/>
          <w:bCs w:val="1"/>
          <w:color w:val="auto"/>
        </w:rPr>
      </w:pPr>
    </w:p>
    <w:p>
      <w:pPr>
        <w:jc w:val="both"/>
        <w:ind w:left="492" w:hanging="328"/>
        <w:spacing w:after="0" w:line="232" w:lineRule="auto"/>
        <w:tabs>
          <w:tab w:leader="none" w:pos="49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effective as of November 1,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terms of this Policy shall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Incentive Compensation that is Received by Executive Officers on or after the Effective Date, even if such Incentive Compensation was approved, awarded, granted, or paid to Executive Officers prior to the Effective Date.</w:t>
      </w:r>
    </w:p>
    <w:p>
      <w:pPr>
        <w:spacing w:after="0" w:line="170" w:lineRule="exact"/>
        <w:rPr>
          <w:rFonts w:ascii="Times New Roman" w:cs="Times New Roman" w:eastAsia="Times New Roman" w:hAnsi="Times New Roman"/>
          <w:sz w:val="20"/>
          <w:szCs w:val="20"/>
          <w:b w:val="1"/>
          <w:bCs w:val="1"/>
          <w:color w:val="auto"/>
        </w:rPr>
      </w:pPr>
    </w:p>
    <w:p>
      <w:pPr>
        <w:jc w:val="both"/>
        <w:ind w:left="492" w:hanging="328"/>
        <w:spacing w:after="0" w:line="232" w:lineRule="auto"/>
        <w:tabs>
          <w:tab w:leader="none" w:pos="483"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provision of this Policy is determined to be unenforceable or invalid under any applicable law, such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applied to the maximum extent permitted by applicable law and shall automatically be deemed amended in a manner consistent with its objectives to the extent necessary to conform to any limitations required under applicable law.</w:t>
      </w:r>
    </w:p>
    <w:p>
      <w:pPr>
        <w:spacing w:after="0" w:line="170" w:lineRule="exact"/>
        <w:rPr>
          <w:rFonts w:ascii="Times New Roman" w:cs="Times New Roman" w:eastAsia="Times New Roman" w:hAnsi="Times New Roman"/>
          <w:sz w:val="20"/>
          <w:szCs w:val="20"/>
          <w:b w:val="1"/>
          <w:bCs w:val="1"/>
          <w:color w:val="auto"/>
        </w:rPr>
      </w:pPr>
    </w:p>
    <w:p>
      <w:pPr>
        <w:ind w:left="492" w:right="160" w:hanging="328"/>
        <w:spacing w:after="0" w:line="245" w:lineRule="auto"/>
        <w:tabs>
          <w:tab w:leader="none" w:pos="472"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binding and enforceable against all Executive Officers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78" w:lineRule="exact"/>
        <w:rPr>
          <w:rFonts w:ascii="Times New Roman" w:cs="Times New Roman" w:eastAsia="Times New Roman" w:hAnsi="Times New Roman"/>
          <w:sz w:val="20"/>
          <w:szCs w:val="20"/>
          <w:b w:val="1"/>
          <w:bCs w:val="1"/>
          <w:color w:val="auto"/>
        </w:rPr>
      </w:pPr>
    </w:p>
    <w:p>
      <w:pPr>
        <w:jc w:val="both"/>
        <w:ind w:left="492" w:right="180" w:hanging="328"/>
        <w:spacing w:after="0" w:line="223" w:lineRule="auto"/>
        <w:tabs>
          <w:tab w:leader="none" w:pos="483"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may amend this Policy from time to time in its discretion and shall amend this Policy as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deems necessary, including when it determines that it is legally required by, or to comply with, any federal securities laws, regulations adopted by the SEC, or any rules or standards adopted by a national securities exchange on which the Company’s securities are listed. The Board may terminate this Policy at any time.</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342" w:lineRule="exact"/>
        <w:rPr>
          <w:rFonts w:ascii="Times New Roman" w:cs="Times New Roman" w:eastAsia="Times New Roman" w:hAnsi="Times New Roman"/>
          <w:sz w:val="20"/>
          <w:szCs w:val="20"/>
          <w:b w:val="1"/>
          <w:bCs w:val="1"/>
          <w:color w:val="auto"/>
        </w:rPr>
      </w:pPr>
    </w:p>
    <w:p>
      <w:pPr>
        <w:ind w:left="112" w:hanging="112"/>
        <w:spacing w:after="0"/>
        <w:tabs>
          <w:tab w:leader="none" w:pos="11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139" w:lineRule="exact"/>
        <w:rPr>
          <w:sz w:val="20"/>
          <w:szCs w:val="20"/>
          <w:color w:val="auto"/>
        </w:rPr>
      </w:pPr>
    </w:p>
    <w:p>
      <w:pPr>
        <w:ind w:left="9572"/>
        <w:spacing w:after="0"/>
        <w:rPr>
          <w:sz w:val="20"/>
          <w:szCs w:val="20"/>
          <w:color w:val="auto"/>
        </w:rPr>
      </w:pPr>
      <w:r>
        <w:rPr>
          <w:rFonts w:ascii="Arial" w:cs="Arial" w:eastAsia="Arial" w:hAnsi="Arial"/>
          <w:sz w:val="12"/>
          <w:szCs w:val="12"/>
          <w:color w:val="auto"/>
        </w:rPr>
        <w:t>1098283557\2\AMERICAS</w:t>
      </w:r>
    </w:p>
    <w:p>
      <w:pPr>
        <w:sectPr>
          <w:pgSz w:w="11900" w:h="16838" w:orient="portrait"/>
          <w:cols w:equalWidth="0" w:num="1">
            <w:col w:w="11072"/>
          </w:cols>
          <w:pgMar w:left="488" w:top="1440" w:right="339" w:bottom="1440" w:gutter="0" w:footer="0" w:header="0"/>
        </w:sectPr>
      </w:pPr>
    </w:p>
    <w:bookmarkStart w:id="105" w:name="page106"/>
    <w:bookmarkEnd w:id="105"/>
    <w:p>
      <w:pPr>
        <w:spacing w:after="0" w:line="108" w:lineRule="exact"/>
        <w:rPr>
          <w:sz w:val="20"/>
          <w:szCs w:val="20"/>
          <w:color w:val="auto"/>
        </w:rPr>
      </w:pPr>
    </w:p>
    <w:p>
      <w:pPr>
        <w:ind w:left="660" w:right="160"/>
        <w:spacing w:after="0" w:line="227" w:lineRule="auto"/>
        <w:rPr>
          <w:sz w:val="20"/>
          <w:szCs w:val="20"/>
          <w:color w:val="auto"/>
        </w:rPr>
      </w:pPr>
      <w:r>
        <w:rPr>
          <w:rFonts w:ascii="Times New Roman" w:cs="Times New Roman" w:eastAsia="Times New Roman" w:hAnsi="Times New Roman"/>
          <w:sz w:val="19"/>
          <w:szCs w:val="19"/>
          <w:color w:val="auto"/>
        </w:rPr>
        <w:t>Notwithstanding anything contrary herein, no amendment or termination of this Policy shall be effective if such amendment or termination would cause the Company to violate any federal securities laws, SEC rules, or rules of any national securities exchange</w:t>
      </w:r>
    </w:p>
    <w:p>
      <w:pPr>
        <w:ind w:left="660"/>
        <w:spacing w:after="0"/>
        <w:rPr>
          <w:sz w:val="20"/>
          <w:szCs w:val="20"/>
          <w:color w:val="auto"/>
        </w:rPr>
      </w:pPr>
      <w:r>
        <w:rPr>
          <w:rFonts w:ascii="Times New Roman" w:cs="Times New Roman" w:eastAsia="Times New Roman" w:hAnsi="Times New Roman"/>
          <w:sz w:val="20"/>
          <w:szCs w:val="20"/>
          <w:color w:val="auto"/>
        </w:rPr>
        <w:t>on which the Company’s securities are listed.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Approved by the Board: October 30,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- 4 -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w:t>
      </w: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 ACKNOWLEDGMENT</w:t>
      </w:r>
    </w:p>
    <w:p>
      <w:pPr>
        <w:spacing w:after="0" w:line="19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I, the undersigned, for good and valuable consideration, the receipt and sufficiency of which is hereby acknowledged, and intending to be legally bound, acknowledge and agree to the following:</w:t>
      </w:r>
    </w:p>
    <w:p>
      <w:pPr>
        <w:spacing w:after="0" w:line="175" w:lineRule="exact"/>
        <w:rPr>
          <w:sz w:val="20"/>
          <w:szCs w:val="20"/>
          <w:color w:val="auto"/>
        </w:rPr>
      </w:pPr>
    </w:p>
    <w:p>
      <w:pPr>
        <w:ind w:left="660" w:right="180" w:hanging="328"/>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received and reviewed a copy of the Amended and Restated Clawback Policy (as the same may be amended, restated, supplemented or otherwise modified from time to time, the “Policy”) of Limoneira Company (the “Company”).</w:t>
      </w:r>
    </w:p>
    <w:p>
      <w:pPr>
        <w:spacing w:after="0" w:line="188" w:lineRule="exact"/>
        <w:rPr>
          <w:rFonts w:ascii="Times New Roman" w:cs="Times New Roman" w:eastAsia="Times New Roman" w:hAnsi="Times New Roman"/>
          <w:sz w:val="20"/>
          <w:szCs w:val="20"/>
          <w:color w:val="auto"/>
        </w:rPr>
      </w:pPr>
    </w:p>
    <w:p>
      <w:pPr>
        <w:jc w:val="both"/>
        <w:ind w:left="660" w:right="160" w:hanging="328"/>
        <w:spacing w:after="0" w:line="226"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of the Policy (or, if later than the Effective Date of the Policy, the date I became an Executive Officer of the Company), and not the date of my execution of this Acknowledgment, I am, and will continue to be, fully bound by, and subject to, all of the terms and conditions of the Policy during and after my employment with the Company.</w:t>
      </w:r>
    </w:p>
    <w:p>
      <w:pPr>
        <w:spacing w:after="0" w:line="187" w:lineRule="exact"/>
        <w:rPr>
          <w:rFonts w:ascii="Times New Roman" w:cs="Times New Roman" w:eastAsia="Times New Roman" w:hAnsi="Times New Roman"/>
          <w:sz w:val="20"/>
          <w:szCs w:val="20"/>
          <w:color w:val="auto"/>
        </w:rPr>
      </w:pPr>
    </w:p>
    <w:p>
      <w:pPr>
        <w:jc w:val="both"/>
        <w:ind w:left="660" w:right="160" w:hanging="328"/>
        <w:spacing w:after="0" w:line="213"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abide by the terms of the Policy and Company determinations under the Policy. In the event it is determined by the Company that any amounts granted, awarded, earned or paid to me must be forfeited or reimbursed to the Company under the Policy, I will promptly take any action necessary to effectuate such forfeiture and/or reimbursement. Incentive Compensation (as defined in the Policy), including under awards that were granted or made to me prior to the Policy Effective Date, is subject to the Policy to the extent provided therein. This includes cash and equity. In the event of any inconsistency between the Policy and the terms of any employment or severance agreement, plan or policy to which I am a party or in which I participate, or the terms of any compensation plan, program, award or agreement under which any compensation has been granted, awarded, earned, or paid, the terms of the Policy shall govern and such agreement, plan, policy or program shall be deemed to have been amended to the extent necessary to give full effect to the Policy.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_______________________________________</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_______________________________________</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9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_______________________________________</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- 5 -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color w:val="auto"/>
        </w:rPr>
        <w:t>Financial Statements</w:t>
      </w:r>
    </w:p>
    <w:p>
      <w:pPr>
        <w:spacing w:after="0" w:line="27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October 31, 2025</w:t>
      </w:r>
    </w:p>
    <w:p>
      <w:pPr>
        <w:sectPr>
          <w:pgSz w:w="11900" w:h="16838" w:orient="portrait"/>
          <w:cols w:equalWidth="0" w:num="1">
            <w:col w:w="10120"/>
          </w:cols>
          <w:pgMar w:left="1440" w:top="846" w:right="339" w:bottom="1440" w:gutter="0" w:footer="0" w:header="0"/>
        </w:sectPr>
      </w:pPr>
    </w:p>
    <w:bookmarkStart w:id="108" w:name="page109"/>
    <w:bookmarkEnd w:id="108"/>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6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Report of Independent Registered Public Accounting Firm</w:t>
      </w:r>
      <w:r>
        <w:rPr>
          <w:sz w:val="20"/>
          <w:szCs w:val="20"/>
          <w:color w:val="auto"/>
        </w:rPr>
        <w:tab/>
      </w:r>
      <w:r>
        <w:rPr>
          <w:rFonts w:ascii="Times New Roman" w:cs="Times New Roman" w:eastAsia="Times New Roman" w:hAnsi="Times New Roman"/>
          <w:sz w:val="20"/>
          <w:szCs w:val="20"/>
          <w:color w:val="auto"/>
        </w:rPr>
        <w:t>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33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Balance Sheets</w:t>
      </w:r>
      <w:r>
        <w:rPr>
          <w:sz w:val="20"/>
          <w:szCs w:val="20"/>
          <w:color w:val="auto"/>
        </w:rPr>
        <w:tab/>
      </w:r>
      <w:r>
        <w:rPr>
          <w:rFonts w:ascii="Times New Roman" w:cs="Times New Roman" w:eastAsia="Times New Roman" w:hAnsi="Times New Roman"/>
          <w:sz w:val="20"/>
          <w:szCs w:val="20"/>
          <w:color w:val="auto"/>
        </w:rPr>
        <w:t>3</w:t>
      </w:r>
    </w:p>
    <w:p>
      <w:pPr>
        <w:spacing w:after="0" w:line="6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Statements of Operations</w:t>
      </w:r>
      <w:r>
        <w:rPr>
          <w:sz w:val="20"/>
          <w:szCs w:val="20"/>
          <w:color w:val="auto"/>
        </w:rPr>
        <w:tab/>
      </w:r>
      <w:r>
        <w:rPr>
          <w:rFonts w:ascii="Times New Roman" w:cs="Times New Roman" w:eastAsia="Times New Roman" w:hAnsi="Times New Roman"/>
          <w:sz w:val="20"/>
          <w:szCs w:val="20"/>
          <w:color w:val="auto"/>
        </w:rPr>
        <w:t>4</w:t>
      </w:r>
    </w:p>
    <w:p>
      <w:pPr>
        <w:spacing w:after="0" w:line="6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Statements of Members’ Capital</w:t>
      </w:r>
      <w:r>
        <w:rPr>
          <w:sz w:val="20"/>
          <w:szCs w:val="20"/>
          <w:color w:val="auto"/>
        </w:rPr>
        <w:tab/>
      </w:r>
      <w:r>
        <w:rPr>
          <w:rFonts w:ascii="Times New Roman" w:cs="Times New Roman" w:eastAsia="Times New Roman" w:hAnsi="Times New Roman"/>
          <w:sz w:val="20"/>
          <w:szCs w:val="20"/>
          <w:color w:val="auto"/>
        </w:rPr>
        <w:t>5</w:t>
      </w:r>
    </w:p>
    <w:p>
      <w:pPr>
        <w:spacing w:after="0" w:line="6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Statements of Cash Flows</w:t>
      </w:r>
      <w:r>
        <w:rPr>
          <w:sz w:val="20"/>
          <w:szCs w:val="20"/>
          <w:color w:val="auto"/>
        </w:rPr>
        <w:tab/>
      </w:r>
      <w:r>
        <w:rPr>
          <w:rFonts w:ascii="Times New Roman" w:cs="Times New Roman" w:eastAsia="Times New Roman" w:hAnsi="Times New Roman"/>
          <w:sz w:val="20"/>
          <w:szCs w:val="20"/>
          <w:color w:val="auto"/>
        </w:rPr>
        <w:t>6</w:t>
      </w:r>
    </w:p>
    <w:p>
      <w:pPr>
        <w:spacing w:after="0" w:line="67" w:lineRule="exact"/>
        <w:rPr>
          <w:sz w:val="20"/>
          <w:szCs w:val="20"/>
          <w:color w:val="auto"/>
        </w:rPr>
      </w:pPr>
    </w:p>
    <w:p>
      <w:pPr>
        <w:spacing w:after="0"/>
        <w:tabs>
          <w:tab w:leader="dot" w:pos="10920" w:val="left"/>
        </w:tabs>
        <w:rPr>
          <w:sz w:val="20"/>
          <w:szCs w:val="20"/>
          <w:color w:val="auto"/>
        </w:rPr>
      </w:pPr>
      <w:r>
        <w:rPr>
          <w:rFonts w:ascii="Times New Roman" w:cs="Times New Roman" w:eastAsia="Times New Roman" w:hAnsi="Times New Roman"/>
          <w:sz w:val="20"/>
          <w:szCs w:val="20"/>
          <w:color w:val="auto"/>
        </w:rPr>
        <w:t>Notes to Financial Statements</w:t>
      </w:r>
      <w:r>
        <w:rPr>
          <w:sz w:val="20"/>
          <w:szCs w:val="20"/>
          <w:color w:val="auto"/>
        </w:rPr>
        <w:tab/>
      </w:r>
      <w:r>
        <w:rPr>
          <w:rFonts w:ascii="Times New Roman" w:cs="Times New Roman" w:eastAsia="Times New Roman" w:hAnsi="Times New Roman"/>
          <w:sz w:val="20"/>
          <w:szCs w:val="20"/>
          <w:color w:val="auto"/>
        </w:rPr>
        <w:t>7</w:t>
      </w:r>
    </w:p>
    <w:p>
      <w:pPr>
        <w:sectPr>
          <w:pgSz w:w="11900" w:h="16838" w:orient="portrait"/>
          <w:cols w:equalWidth="0" w:num="1">
            <w:col w:w="11040"/>
          </w:cols>
          <w:pgMar w:left="400" w:top="111" w:right="459" w:bottom="1440" w:gutter="0" w:footer="0" w:header="0"/>
        </w:sectPr>
      </w:pPr>
    </w:p>
    <w:bookmarkStart w:id="109" w:name="page110"/>
    <w:bookmarkEnd w:id="109"/>
    <w:p>
      <w:pPr>
        <w:ind w:left="2920"/>
        <w:spacing w:after="0"/>
        <w:rPr>
          <w:sz w:val="20"/>
          <w:szCs w:val="20"/>
          <w:color w:val="auto"/>
        </w:rPr>
      </w:pPr>
      <w:r>
        <w:rPr>
          <w:rFonts w:ascii="Times New Roman" w:cs="Times New Roman" w:eastAsia="Times New Roman" w:hAnsi="Times New Roman"/>
          <w:sz w:val="22"/>
          <w:szCs w:val="22"/>
          <w:b w:val="1"/>
          <w:bCs w:val="1"/>
          <w:color w:val="333333"/>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Members of Limoneira Lewis Community Builders,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balance sheets of Limoneira Lewis Community Builders, LLC (the Company) as of October 31, 2025 and 2024, the related statements of operations, members’ capital and cash flows for each of the three years in the period ended October 31, 2025, and the related notes (collectively referred to as the “financial statements”). In our opinion, the financial statements present fairly, in all material respects, the financial position of the Company at October 31, 2025 and 2024, and the results of its operations and its cash flows for each of the three years in the period ended October 31, 2025, in conformity with U.S. generally accepted accounting principles.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10" w:name="page111"/>
    <w:bookmarkEnd w:id="110"/>
    <w:p>
      <w:pPr>
        <w:spacing w:after="0" w:line="293" w:lineRule="exact"/>
        <w:rPr>
          <w:sz w:val="20"/>
          <w:szCs w:val="20"/>
          <w:color w:val="auto"/>
        </w:rPr>
      </w:pPr>
    </w:p>
    <w:p>
      <w:pPr>
        <w:ind w:left="20" w:right="400"/>
        <w:spacing w:after="0" w:line="259"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right="300"/>
        <w:spacing w:after="0" w:line="258" w:lineRule="auto"/>
        <w:rPr>
          <w:sz w:val="20"/>
          <w:szCs w:val="20"/>
          <w:color w:val="auto"/>
        </w:rPr>
      </w:pPr>
      <w:r>
        <w:rPr>
          <w:rFonts w:ascii="Times New Roman" w:cs="Times New Roman" w:eastAsia="Times New Roman" w:hAnsi="Times New Roman"/>
          <w:sz w:val="19"/>
          <w:szCs w:val="19"/>
          <w:i w:val="1"/>
          <w:iCs w:val="1"/>
          <w:color w:val="auto"/>
        </w:rPr>
        <w:t>How We Addressed the Matter in Our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Land Sales Revenue Recognition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year ended October 31, 2025, the Company recognized revenues from land sales transactions totaling $1.3</w:t>
      </w:r>
    </w:p>
    <w:p>
      <w:pPr>
        <w:spacing w:after="0" w:line="4"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million. As more fully described in Note 2 to the financial statements, the Company evaluates each of its land sale contracts to identify the related performance obligations, determines and allocates the overall transaction price to</w:t>
      </w:r>
    </w:p>
    <w:p>
      <w:pPr>
        <w:spacing w:after="0" w:line="211" w:lineRule="auto"/>
        <w:rPr>
          <w:sz w:val="20"/>
          <w:szCs w:val="20"/>
          <w:color w:val="auto"/>
        </w:rPr>
      </w:pPr>
      <w:r>
        <w:rPr>
          <w:rFonts w:ascii="Times New Roman" w:cs="Times New Roman" w:eastAsia="Times New Roman" w:hAnsi="Times New Roman"/>
          <w:sz w:val="20"/>
          <w:szCs w:val="20"/>
          <w:color w:val="auto"/>
        </w:rPr>
        <w:t>the identified performance obligations, and recognizes revenue based on the extent to which the performance</w:t>
      </w:r>
    </w:p>
    <w:p>
      <w:pPr>
        <w:ind w:right="100"/>
        <w:spacing w:after="0" w:line="215" w:lineRule="auto"/>
        <w:rPr>
          <w:sz w:val="20"/>
          <w:szCs w:val="20"/>
          <w:color w:val="auto"/>
        </w:rPr>
      </w:pPr>
      <w:r>
        <w:rPr>
          <w:rFonts w:ascii="Times New Roman" w:cs="Times New Roman" w:eastAsia="Times New Roman" w:hAnsi="Times New Roman"/>
          <w:sz w:val="19"/>
          <w:szCs w:val="19"/>
          <w:color w:val="auto"/>
        </w:rPr>
        <w:t>obligations have been satisfied. The Company also assesses contract terms that give rise to variable consideration or refund liabilities, including factors indicating the need to constrain or otherwise adjust the amount of revenue to</w:t>
      </w:r>
    </w:p>
    <w:p>
      <w:pPr>
        <w:ind w:right="120"/>
        <w:spacing w:after="0" w:line="228" w:lineRule="auto"/>
        <w:rPr>
          <w:sz w:val="20"/>
          <w:szCs w:val="20"/>
          <w:color w:val="auto"/>
        </w:rPr>
      </w:pPr>
      <w:r>
        <w:rPr>
          <w:rFonts w:ascii="Times New Roman" w:cs="Times New Roman" w:eastAsia="Times New Roman" w:hAnsi="Times New Roman"/>
          <w:sz w:val="20"/>
          <w:szCs w:val="20"/>
          <w:color w:val="auto"/>
        </w:rPr>
        <w:t>be recognized, and evaluates any other unique contract terms which may otherwise impact revenue recognition under Accounting Standards Codification Topic 606, Revenue from Contracts with Customers (ASC 606).</w:t>
      </w:r>
    </w:p>
    <w:p>
      <w:pPr>
        <w:spacing w:after="0" w:line="122"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0"/>
          <w:szCs w:val="20"/>
          <w:color w:val="auto"/>
        </w:rPr>
        <w:t>Auditing the Company’s recognition and measurement of land sales revenue is especially challenging because the application of the ASC 606 revenue recognition model to land sale transactions is complex and involves</w:t>
      </w:r>
    </w:p>
    <w:p>
      <w:pPr>
        <w:spacing w:after="0" w:line="2"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significant judgments related to the identification of performance obligations within the context of each contract; the determination of overall transaction price, including estimates of variable consideration and determining the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need to constrain the amount of revenue to be recognized; and evaluation of any unique contract terms which could impact revenue recognition.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test the land sales revenue recognized by the Company, our audit procedures included, among others, assessing</w:t>
      </w:r>
    </w:p>
    <w:p>
      <w:pPr>
        <w:spacing w:after="0" w:line="6"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the methodologies and evaluating the significant judgments used by the Company in applying the ASC 606 revenue recognition model to its land sales contracts. We evaluated each land sale transaction with revenue</w:t>
      </w:r>
    </w:p>
    <w:p>
      <w:pPr>
        <w:spacing w:after="0" w:line="211" w:lineRule="auto"/>
        <w:rPr>
          <w:sz w:val="20"/>
          <w:szCs w:val="20"/>
          <w:color w:val="auto"/>
        </w:rPr>
      </w:pPr>
      <w:r>
        <w:rPr>
          <w:rFonts w:ascii="Times New Roman" w:cs="Times New Roman" w:eastAsia="Times New Roman" w:hAnsi="Times New Roman"/>
          <w:sz w:val="20"/>
          <w:szCs w:val="20"/>
          <w:color w:val="auto"/>
        </w:rPr>
        <w:t>recognized in the current year through inspection of the terms of the purchase and sale agreements and other</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relevant agreements and recalculation of revenue recognized. We evaluated the methodology utilized and significant judgments made by management in the application of the ASC 606 revenue recognition model to each</w:t>
      </w:r>
    </w:p>
    <w:p>
      <w:pPr>
        <w:spacing w:after="0" w:line="211" w:lineRule="auto"/>
        <w:rPr>
          <w:sz w:val="20"/>
          <w:szCs w:val="20"/>
          <w:color w:val="auto"/>
        </w:rPr>
      </w:pPr>
      <w:r>
        <w:rPr>
          <w:rFonts w:ascii="Times New Roman" w:cs="Times New Roman" w:eastAsia="Times New Roman" w:hAnsi="Times New Roman"/>
          <w:sz w:val="20"/>
          <w:szCs w:val="20"/>
          <w:color w:val="auto"/>
        </w:rPr>
        <w:t>land sale transaction with current year revenue recognized, including: the identification of performance</w:t>
      </w:r>
    </w:p>
    <w:p>
      <w:pPr>
        <w:ind w:right="120"/>
        <w:spacing w:after="0" w:line="204" w:lineRule="auto"/>
        <w:rPr>
          <w:sz w:val="20"/>
          <w:szCs w:val="20"/>
          <w:color w:val="auto"/>
        </w:rPr>
      </w:pPr>
      <w:r>
        <w:rPr>
          <w:rFonts w:ascii="Times New Roman" w:cs="Times New Roman" w:eastAsia="Times New Roman" w:hAnsi="Times New Roman"/>
          <w:sz w:val="20"/>
          <w:szCs w:val="20"/>
          <w:color w:val="auto"/>
        </w:rPr>
        <w:t>obligations within the context of the contract and measurement of extent of progress toward those performance obligations; the determination of the overall transaction price, including variable consideration, and related</w:t>
      </w:r>
    </w:p>
    <w:p>
      <w:pPr>
        <w:spacing w:after="0" w:line="211" w:lineRule="auto"/>
        <w:rPr>
          <w:sz w:val="20"/>
          <w:szCs w:val="20"/>
          <w:color w:val="auto"/>
        </w:rPr>
      </w:pPr>
      <w:r>
        <w:rPr>
          <w:rFonts w:ascii="Times New Roman" w:cs="Times New Roman" w:eastAsia="Times New Roman" w:hAnsi="Times New Roman"/>
          <w:sz w:val="20"/>
          <w:szCs w:val="20"/>
          <w:color w:val="auto"/>
        </w:rPr>
        <w:t>judgments involved in determining whether to constrain revenue related to variable consideration; and the</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evaluation of any unique contract terms and related impact on the overall recognition or measurement of revenue including the need to record refund liabilities. We also performed inquiries of operational personnel outside the</w:t>
      </w:r>
    </w:p>
    <w:p>
      <w:pPr>
        <w:spacing w:after="0" w:line="211" w:lineRule="auto"/>
        <w:rPr>
          <w:sz w:val="20"/>
          <w:szCs w:val="20"/>
          <w:color w:val="auto"/>
        </w:rPr>
      </w:pPr>
      <w:r>
        <w:rPr>
          <w:rFonts w:ascii="Times New Roman" w:cs="Times New Roman" w:eastAsia="Times New Roman" w:hAnsi="Times New Roman"/>
          <w:sz w:val="20"/>
          <w:szCs w:val="20"/>
          <w:color w:val="auto"/>
        </w:rPr>
        <w:t>accounting function to corroborate our inquiries of management and to identify any contrary information toward</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the satisfaction of performance obligations and overall recognition and measurement of revenue within the ASC 606 model.</w:t>
      </w:r>
    </w:p>
    <w:p>
      <w:pPr>
        <w:spacing w:after="0" w:line="1255" w:lineRule="exact"/>
        <w:rPr>
          <w:sz w:val="20"/>
          <w:szCs w:val="20"/>
          <w:color w:val="auto"/>
        </w:rPr>
      </w:pPr>
    </w:p>
    <w:p>
      <w:pPr>
        <w:sectPr>
          <w:pgSz w:w="11900" w:h="16838" w:orient="portrait"/>
          <w:cols w:equalWidth="0" w:num="2">
            <w:col w:w="1860" w:space="180"/>
            <w:col w:w="9200"/>
          </w:cols>
          <w:pgMar w:left="320" w:top="144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Balance Sheets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7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60" w:type="dxa"/>
            <w:vAlign w:val="bottom"/>
            <w:gridSpan w:val="3"/>
          </w:tcPr>
          <w:p>
            <w:pPr>
              <w:ind w:left="980"/>
              <w:spacing w:after="0"/>
              <w:rPr>
                <w:sz w:val="20"/>
                <w:szCs w:val="20"/>
                <w:color w:val="auto"/>
              </w:rPr>
            </w:pPr>
            <w:r>
              <w:rPr>
                <w:rFonts w:ascii="Times New Roman" w:cs="Times New Roman" w:eastAsia="Times New Roman" w:hAnsi="Times New Roman"/>
                <w:sz w:val="20"/>
                <w:szCs w:val="20"/>
                <w:b w:val="1"/>
                <w:bCs w:val="1"/>
                <w:color w:val="auto"/>
              </w:rPr>
              <w:t>October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04"/>
              <w:spacing w:after="0"/>
              <w:rPr>
                <w:sz w:val="20"/>
                <w:szCs w:val="20"/>
                <w:color w:val="auto"/>
              </w:rPr>
            </w:pPr>
            <w:r>
              <w:rPr>
                <w:rFonts w:ascii="Times New Roman" w:cs="Times New Roman" w:eastAsia="Times New Roman" w:hAnsi="Times New Roman"/>
                <w:sz w:val="20"/>
                <w:szCs w:val="20"/>
                <w:b w:val="1"/>
                <w:bCs w:val="1"/>
                <w:color w:val="auto"/>
              </w:rPr>
              <w:t>2025</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04"/>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35"/>
        </w:trPr>
        <w:tc>
          <w:tcPr>
            <w:tcW w:w="7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Land held for development and sale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82,431</w:t>
            </w:r>
          </w:p>
        </w:tc>
        <w:tc>
          <w:tcPr>
            <w:tcW w:w="7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67,282</w:t>
            </w:r>
          </w:p>
        </w:tc>
        <w:tc>
          <w:tcPr>
            <w:tcW w:w="0" w:type="dxa"/>
            <w:vAlign w:val="bottom"/>
          </w:tcPr>
          <w:p>
            <w:pPr>
              <w:spacing w:after="0"/>
              <w:rPr>
                <w:sz w:val="1"/>
                <w:szCs w:val="1"/>
                <w:color w:val="auto"/>
              </w:rPr>
            </w:pPr>
          </w:p>
        </w:tc>
      </w:tr>
      <w:tr>
        <w:trPr>
          <w:trHeight w:val="289"/>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66,851</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 (Note 7)</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Refundable deposits and other assets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35"/>
        </w:trPr>
        <w:tc>
          <w:tcPr>
            <w:tcW w:w="7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40" w:type="dxa"/>
            <w:vAlign w:val="bottom"/>
            <w:vMerge w:val="continue"/>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$120,245</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141,660</w:t>
            </w:r>
          </w:p>
        </w:tc>
        <w:tc>
          <w:tcPr>
            <w:tcW w:w="0" w:type="dxa"/>
            <w:vAlign w:val="bottom"/>
          </w:tcPr>
          <w:p>
            <w:pPr>
              <w:spacing w:after="0"/>
              <w:rPr>
                <w:sz w:val="1"/>
                <w:szCs w:val="1"/>
                <w:color w:val="auto"/>
              </w:rPr>
            </w:pPr>
          </w:p>
        </w:tc>
      </w:tr>
      <w:tr>
        <w:trPr>
          <w:trHeight w:val="21"/>
        </w:trPr>
        <w:tc>
          <w:tcPr>
            <w:tcW w:w="7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members’ capital</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7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Unsecured line of credit (Note 5)</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8,985</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Unearned revenue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4,765</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w:t>
            </w:r>
          </w:p>
        </w:tc>
        <w:tc>
          <w:tcPr>
            <w:tcW w:w="0" w:type="dxa"/>
            <w:vAlign w:val="bottom"/>
          </w:tcPr>
          <w:p>
            <w:pPr>
              <w:spacing w:after="0"/>
              <w:rPr>
                <w:sz w:val="1"/>
                <w:szCs w:val="1"/>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affiliates (Note 7)</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35"/>
        </w:trPr>
        <w:tc>
          <w:tcPr>
            <w:tcW w:w="7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13,076</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15,461</w:t>
            </w:r>
          </w:p>
        </w:tc>
        <w:tc>
          <w:tcPr>
            <w:tcW w:w="0" w:type="dxa"/>
            <w:vAlign w:val="bottom"/>
          </w:tcPr>
          <w:p>
            <w:pPr>
              <w:spacing w:after="0"/>
              <w:rPr>
                <w:sz w:val="1"/>
                <w:szCs w:val="1"/>
                <w:color w:val="auto"/>
              </w:rPr>
            </w:pPr>
          </w:p>
        </w:tc>
      </w:tr>
      <w:tr>
        <w:trPr>
          <w:trHeight w:val="554"/>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8)</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Members’ capital: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Limoneira EA1 Land, LLC</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54,076</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63,581</w:t>
            </w:r>
          </w:p>
        </w:tc>
        <w:tc>
          <w:tcPr>
            <w:tcW w:w="0" w:type="dxa"/>
            <w:vAlign w:val="bottom"/>
          </w:tcPr>
          <w:p>
            <w:pPr>
              <w:spacing w:after="0"/>
              <w:rPr>
                <w:sz w:val="1"/>
                <w:szCs w:val="1"/>
                <w:color w:val="auto"/>
              </w:rPr>
            </w:pPr>
          </w:p>
        </w:tc>
      </w:tr>
      <w:tr>
        <w:trPr>
          <w:trHeight w:val="297"/>
        </w:trPr>
        <w:tc>
          <w:tcPr>
            <w:tcW w:w="76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Lewis Santa Paula Member, LLC</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53,093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62,618</w:t>
            </w:r>
          </w:p>
        </w:tc>
        <w:tc>
          <w:tcPr>
            <w:tcW w:w="0" w:type="dxa"/>
            <w:vAlign w:val="bottom"/>
          </w:tcPr>
          <w:p>
            <w:pPr>
              <w:spacing w:after="0"/>
              <w:rPr>
                <w:sz w:val="1"/>
                <w:szCs w:val="1"/>
                <w:color w:val="auto"/>
              </w:rPr>
            </w:pPr>
          </w:p>
        </w:tc>
      </w:tr>
      <w:tr>
        <w:trPr>
          <w:trHeight w:val="35"/>
        </w:trPr>
        <w:tc>
          <w:tcPr>
            <w:tcW w:w="7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107,169</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126,199</w:t>
            </w:r>
          </w:p>
        </w:tc>
        <w:tc>
          <w:tcPr>
            <w:tcW w:w="0" w:type="dxa"/>
            <w:vAlign w:val="bottom"/>
          </w:tcPr>
          <w:p>
            <w:pPr>
              <w:spacing w:after="0"/>
              <w:rPr>
                <w:sz w:val="1"/>
                <w:szCs w:val="1"/>
                <w:color w:val="auto"/>
              </w:rPr>
            </w:pPr>
          </w:p>
        </w:tc>
      </w:tr>
      <w:tr>
        <w:trPr>
          <w:trHeight w:val="35"/>
        </w:trPr>
        <w:tc>
          <w:tcPr>
            <w:tcW w:w="7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members’ capital</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120,245</w:t>
            </w:r>
          </w:p>
        </w:tc>
        <w:tc>
          <w:tcPr>
            <w:tcW w:w="78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141,660</w:t>
            </w:r>
          </w:p>
        </w:tc>
        <w:tc>
          <w:tcPr>
            <w:tcW w:w="0" w:type="dxa"/>
            <w:vAlign w:val="bottom"/>
          </w:tcPr>
          <w:p>
            <w:pPr>
              <w:spacing w:after="0"/>
              <w:rPr>
                <w:sz w:val="1"/>
                <w:szCs w:val="1"/>
                <w:color w:val="auto"/>
              </w:rPr>
            </w:pPr>
          </w:p>
        </w:tc>
      </w:tr>
      <w:tr>
        <w:trPr>
          <w:trHeight w:val="24"/>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354"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20" w:type="dxa"/>
            <w:vAlign w:val="bottom"/>
            <w:gridSpan w:val="6"/>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35"/>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Land sales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87,100</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w:t>
            </w:r>
          </w:p>
        </w:tc>
        <w:tc>
          <w:tcPr>
            <w:tcW w:w="0" w:type="dxa"/>
            <w:vAlign w:val="bottom"/>
          </w:tcPr>
          <w:p>
            <w:pPr>
              <w:spacing w:after="0"/>
              <w:rPr>
                <w:sz w:val="1"/>
                <w:szCs w:val="1"/>
                <w:color w:val="auto"/>
              </w:rPr>
            </w:pPr>
          </w:p>
        </w:tc>
      </w:tr>
      <w:tr>
        <w:trPr>
          <w:trHeight w:val="553"/>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Cost of land sales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(18,660)</w:t>
            </w:r>
          </w:p>
        </w:tc>
        <w:tc>
          <w:tcPr>
            <w:tcW w:w="0" w:type="dxa"/>
            <w:vAlign w:val="bottom"/>
          </w:tcPr>
          <w:p>
            <w:pPr>
              <w:spacing w:after="0"/>
              <w:rPr>
                <w:sz w:val="1"/>
                <w:szCs w:val="1"/>
                <w:color w:val="auto"/>
              </w:rPr>
            </w:pPr>
          </w:p>
        </w:tc>
      </w:tr>
      <w:tr>
        <w:trPr>
          <w:trHeight w:val="34"/>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profit (loss)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12,273</w:t>
            </w:r>
          </w:p>
        </w:tc>
        <w:tc>
          <w:tcPr>
            <w:tcW w:w="0" w:type="dxa"/>
            <w:vAlign w:val="bottom"/>
          </w:tcPr>
          <w:p>
            <w:pPr>
              <w:spacing w:after="0"/>
              <w:rPr>
                <w:sz w:val="1"/>
                <w:szCs w:val="1"/>
                <w:color w:val="auto"/>
              </w:rPr>
            </w:pPr>
          </w:p>
        </w:tc>
      </w:tr>
      <w:tr>
        <w:trPr>
          <w:trHeight w:val="35"/>
        </w:trPr>
        <w:tc>
          <w:tcPr>
            <w:tcW w:w="66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0" w:type="dxa"/>
            <w:vAlign w:val="bottom"/>
          </w:tcPr>
          <w:p>
            <w:pPr>
              <w:spacing w:after="0"/>
              <w:rPr>
                <w:sz w:val="1"/>
                <w:szCs w:val="1"/>
                <w:color w:val="auto"/>
              </w:rPr>
            </w:pP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5"/>
        </w:trPr>
        <w:tc>
          <w:tcPr>
            <w:tcW w:w="66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2"/>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38,364</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35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Members’ Capital</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w w:val="99"/>
              </w:rPr>
              <w:t>Limoneira EA1 Land,</w:t>
            </w:r>
          </w:p>
        </w:tc>
        <w:tc>
          <w:tcPr>
            <w:tcW w:w="400" w:type="dxa"/>
            <w:vAlign w:val="bottom"/>
          </w:tcPr>
          <w:p>
            <w:pPr>
              <w:spacing w:after="0"/>
              <w:rPr>
                <w:sz w:val="19"/>
                <w:szCs w:val="19"/>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Lewis</w:t>
            </w:r>
          </w:p>
        </w:tc>
        <w:tc>
          <w:tcPr>
            <w:tcW w:w="160" w:type="dxa"/>
            <w:vAlign w:val="bottom"/>
          </w:tcPr>
          <w:p>
            <w:pPr>
              <w:spacing w:after="0"/>
              <w:rPr>
                <w:sz w:val="19"/>
                <w:szCs w:val="19"/>
                <w:color w:val="auto"/>
              </w:rPr>
            </w:pPr>
          </w:p>
        </w:tc>
        <w:tc>
          <w:tcPr>
            <w:tcW w:w="1640" w:type="dxa"/>
            <w:vAlign w:val="bottom"/>
            <w:vMerge w:val="restart"/>
          </w:tcPr>
          <w:p>
            <w:pPr>
              <w:jc w:val="right"/>
              <w:ind w:right="60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198"/>
        </w:trPr>
        <w:tc>
          <w:tcPr>
            <w:tcW w:w="5600" w:type="dxa"/>
            <w:vAlign w:val="bottom"/>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92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20"/>
                <w:szCs w:val="20"/>
                <w:color w:val="auto"/>
                <w:w w:val="99"/>
              </w:rPr>
              <w:t>Santa Paula Member,</w:t>
            </w:r>
          </w:p>
        </w:tc>
        <w:tc>
          <w:tcPr>
            <w:tcW w:w="16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LLC</w:t>
            </w:r>
          </w:p>
        </w:tc>
        <w:tc>
          <w:tcPr>
            <w:tcW w:w="400" w:type="dxa"/>
            <w:vAlign w:val="bottom"/>
          </w:tcPr>
          <w:p>
            <w:pPr>
              <w:spacing w:after="0"/>
              <w:rPr>
                <w:sz w:val="21"/>
                <w:szCs w:val="21"/>
                <w:color w:val="auto"/>
              </w:rPr>
            </w:pPr>
          </w:p>
        </w:tc>
        <w:tc>
          <w:tcPr>
            <w:tcW w:w="1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20"/>
                <w:szCs w:val="20"/>
                <w:color w:val="auto"/>
              </w:rPr>
              <w:t>LLC</w:t>
            </w:r>
          </w:p>
        </w:tc>
        <w:tc>
          <w:tcPr>
            <w:tcW w:w="160" w:type="dxa"/>
            <w:vAlign w:val="bottom"/>
          </w:tcPr>
          <w:p>
            <w:pPr>
              <w:spacing w:after="0"/>
              <w:rPr>
                <w:sz w:val="21"/>
                <w:szCs w:val="21"/>
                <w:color w:val="auto"/>
              </w:rPr>
            </w:pPr>
          </w:p>
        </w:tc>
        <w:tc>
          <w:tcPr>
            <w:tcW w:w="1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Members' Capital</w:t>
            </w:r>
          </w:p>
        </w:tc>
        <w:tc>
          <w:tcPr>
            <w:tcW w:w="0" w:type="dxa"/>
            <w:vAlign w:val="bottom"/>
          </w:tcPr>
          <w:p>
            <w:pPr>
              <w:spacing w:after="0"/>
              <w:rPr>
                <w:sz w:val="1"/>
                <w:szCs w:val="1"/>
                <w:color w:val="auto"/>
              </w:rPr>
            </w:pPr>
          </w:p>
        </w:tc>
      </w:tr>
      <w:tr>
        <w:trPr>
          <w:trHeight w:val="60"/>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Balance at October 31, 2022</w:t>
            </w: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52,431</w:t>
            </w:r>
          </w:p>
        </w:tc>
        <w:tc>
          <w:tcPr>
            <w:tcW w:w="80" w:type="dxa"/>
            <w:vAlign w:val="bottom"/>
          </w:tcPr>
          <w:p>
            <w:pPr>
              <w:spacing w:after="0"/>
              <w:rPr>
                <w:sz w:val="24"/>
                <w:szCs w:val="24"/>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106,065</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42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w:t>
            </w:r>
          </w:p>
        </w:tc>
        <w:tc>
          <w:tcPr>
            <w:tcW w:w="0" w:type="dxa"/>
            <w:vAlign w:val="bottom"/>
          </w:tcPr>
          <w:p>
            <w:pPr>
              <w:spacing w:after="0"/>
              <w:rPr>
                <w:sz w:val="1"/>
                <w:szCs w:val="1"/>
                <w:color w:val="auto"/>
              </w:rPr>
            </w:pPr>
          </w:p>
        </w:tc>
      </w:tr>
      <w:tr>
        <w:trPr>
          <w:trHeight w:val="34"/>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2023</w:t>
            </w: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117,835</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42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Distributions</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38,364</w:t>
            </w:r>
          </w:p>
        </w:tc>
        <w:tc>
          <w:tcPr>
            <w:tcW w:w="0" w:type="dxa"/>
            <w:vAlign w:val="bottom"/>
          </w:tcPr>
          <w:p>
            <w:pPr>
              <w:spacing w:after="0"/>
              <w:rPr>
                <w:sz w:val="1"/>
                <w:szCs w:val="1"/>
                <w:color w:val="auto"/>
              </w:rPr>
            </w:pPr>
          </w:p>
        </w:tc>
      </w:tr>
      <w:tr>
        <w:trPr>
          <w:trHeight w:val="34"/>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2024</w:t>
            </w: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126,199</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42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Distributions</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0" w:type="dxa"/>
            <w:vAlign w:val="bottom"/>
          </w:tcPr>
          <w:p>
            <w:pPr>
              <w:spacing w:after="0"/>
              <w:rPr>
                <w:sz w:val="1"/>
                <w:szCs w:val="1"/>
                <w:color w:val="auto"/>
              </w:rPr>
            </w:pPr>
          </w:p>
        </w:tc>
      </w:tr>
      <w:tr>
        <w:trPr>
          <w:trHeight w:val="297"/>
        </w:trPr>
        <w:tc>
          <w:tcPr>
            <w:tcW w:w="5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0" w:type="dxa"/>
            <w:vAlign w:val="bottom"/>
          </w:tcPr>
          <w:p>
            <w:pPr>
              <w:spacing w:after="0"/>
              <w:rPr>
                <w:sz w:val="1"/>
                <w:szCs w:val="1"/>
                <w:color w:val="auto"/>
              </w:rPr>
            </w:pPr>
          </w:p>
        </w:tc>
      </w:tr>
      <w:tr>
        <w:trPr>
          <w:trHeight w:val="34"/>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2025</w:t>
            </w: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54,076</w:t>
            </w:r>
          </w:p>
        </w:tc>
        <w:tc>
          <w:tcPr>
            <w:tcW w:w="8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107,169</w:t>
            </w:r>
          </w:p>
        </w:tc>
        <w:tc>
          <w:tcPr>
            <w:tcW w:w="0" w:type="dxa"/>
            <w:vAlign w:val="bottom"/>
          </w:tcPr>
          <w:p>
            <w:pPr>
              <w:spacing w:after="0"/>
              <w:rPr>
                <w:sz w:val="1"/>
                <w:szCs w:val="1"/>
                <w:color w:val="auto"/>
              </w:rPr>
            </w:pPr>
          </w:p>
        </w:tc>
      </w:tr>
      <w:tr>
        <w:trPr>
          <w:trHeight w:val="34"/>
        </w:trPr>
        <w:tc>
          <w:tcPr>
            <w:tcW w:w="5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35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20" w:type="dxa"/>
            <w:vAlign w:val="bottom"/>
            <w:gridSpan w:val="6"/>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34"/>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38,364</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(used in) operating activities: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Land held for development and sale</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6,242</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from affiliates</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Refundable deposits and other assets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Contract assets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97"/>
        </w:trPr>
        <w:tc>
          <w:tcPr>
            <w:tcW w:w="67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Unearned revenue</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18,184</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1"/>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to Members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Borrowings from line of credit</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11,100</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Principal repayments on line of credit</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(15,600)</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Payment of deferred loan costs</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(4,570)</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13,614</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beginning</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ending</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31,227</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66,851</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1"/>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 (including amounts capitalized to</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Project)</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w:t>
            </w:r>
          </w:p>
        </w:tc>
        <w:tc>
          <w:tcPr>
            <w:tcW w:w="0" w:type="dxa"/>
            <w:vAlign w:val="bottom"/>
          </w:tcPr>
          <w:p>
            <w:pPr>
              <w:spacing w:after="0"/>
              <w:rPr>
                <w:sz w:val="1"/>
                <w:szCs w:val="1"/>
                <w:color w:val="auto"/>
              </w:rPr>
            </w:pPr>
          </w:p>
        </w:tc>
      </w:tr>
      <w:tr>
        <w:trPr>
          <w:trHeight w:val="35"/>
        </w:trPr>
        <w:tc>
          <w:tcPr>
            <w:tcW w:w="67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00" w:type="dxa"/>
            <w:vAlign w:val="bottom"/>
            <w:gridSpan w:val="6"/>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35"/>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00" w:type="dxa"/>
            <w:vAlign w:val="bottom"/>
            <w:vMerge w:val="continue"/>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31,227</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66,851</w:t>
            </w:r>
          </w:p>
        </w:tc>
        <w:tc>
          <w:tcPr>
            <w:tcW w:w="10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12,863</w:t>
            </w:r>
          </w:p>
        </w:tc>
        <w:tc>
          <w:tcPr>
            <w:tcW w:w="0" w:type="dxa"/>
            <w:vAlign w:val="bottom"/>
          </w:tcPr>
          <w:p>
            <w:pPr>
              <w:spacing w:after="0"/>
              <w:rPr>
                <w:sz w:val="1"/>
                <w:szCs w:val="1"/>
                <w:color w:val="auto"/>
              </w:rPr>
            </w:pPr>
          </w:p>
        </w:tc>
      </w:tr>
      <w:tr>
        <w:trPr>
          <w:trHeight w:val="297"/>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0" w:type="dxa"/>
            <w:vAlign w:val="bottom"/>
          </w:tcPr>
          <w:p>
            <w:pPr>
              <w:spacing w:after="0"/>
              <w:rPr>
                <w:sz w:val="1"/>
                <w:szCs w:val="1"/>
                <w:color w:val="auto"/>
              </w:rPr>
            </w:pPr>
          </w:p>
        </w:tc>
      </w:tr>
      <w:tr>
        <w:trPr>
          <w:trHeight w:val="34"/>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cash equivalents and restricted cash</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00" w:type="dxa"/>
            <w:vAlign w:val="bottom"/>
            <w:vMerge w:val="continue"/>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31,227</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66,851</w:t>
            </w:r>
          </w:p>
        </w:tc>
        <w:tc>
          <w:tcPr>
            <w:tcW w:w="10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ectPr>
          <w:pgSz w:w="11900" w:h="16838" w:orient="portrait"/>
          <w:cols w:equalWidth="0" w:num="1">
            <w:col w:w="11240"/>
          </w:cols>
          <w:pgMar w:left="320" w:top="111" w:right="339"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11" w:right="339" w:bottom="188"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960" w:firstLine="8"/>
        <w:spacing w:after="0" w:line="528" w:lineRule="auto"/>
        <w:tabs>
          <w:tab w:leader="none" w:pos="324"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 Organization and Business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Limoneira Lewis Community Builders, LLC (“Limoneira Lewis” or the “Company”), a Delaware Limited Liability Company, is a joint venture between Lewis Santa Paula Member, LLC (“Lewis”) and Limoneira EA1 Land, LLC (“Limoneira”) (together, the “Members”) for the primary purpose of developing a 501 acre area of land in Santa Paula, California into residential properties (the “Project”). Limoneira Lewis was formed on November 3, 2015 and began operations on November 10, 2015 in conjunction with the contribution of land and related entitlements for an agreed-upon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Capital contributions are made by the Members for funding of Project Costs pursuant to terms of the LLC Agreement. Through October 31, 2025, the Members’ capital contributions include the Members’ initial capital contributions representing the value of the contributed property and Pre-Assignment Expenses and additional contributions totaling $82,799,000 in the aggregate.</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March 3, 2008, Limoneira entered into a Development Agreement with the City of Santa Paula (the “City”) to develop the property which was transferred to the Company on November 10, 2015. The Development Agreement was amended and restated on February 26, 2015, and further amended through March 23, 2024. The amended Development Agreement currently provides for up to 2,050 total residential units (inclusive of units planned for development on land held outside the Company), approximately 8.3 acres for educational facilities, and approximately 225 acres of park, green space, open space, and agricultural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780" w:firstLine="8"/>
        <w:spacing w:after="0" w:line="495" w:lineRule="auto"/>
        <w:tabs>
          <w:tab w:leader="none" w:pos="324"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(continued) Distributions</w:t>
      </w:r>
    </w:p>
    <w:p>
      <w:pPr>
        <w:spacing w:after="0" w:line="255" w:lineRule="auto"/>
        <w:rPr>
          <w:sz w:val="20"/>
          <w:szCs w:val="20"/>
          <w:color w:val="auto"/>
        </w:rPr>
      </w:pPr>
      <w:r>
        <w:rPr>
          <w:rFonts w:ascii="Times New Roman" w:cs="Times New Roman" w:eastAsia="Times New Roman" w:hAnsi="Times New Roman"/>
          <w:sz w:val="20"/>
          <w:szCs w:val="20"/>
          <w:color w:val="auto"/>
        </w:rPr>
        <w:t>Pursuant to the LLC Agreement, as amended by the Members, distributions of Net Cash Flow, as defined, shall be distributed to the Members in the following order of priority (using terms as defined in the LLC Agreement):</w:t>
      </w:r>
    </w:p>
    <w:p>
      <w:pPr>
        <w:spacing w:after="0" w:line="200" w:lineRule="exact"/>
        <w:rPr>
          <w:sz w:val="20"/>
          <w:szCs w:val="20"/>
          <w:color w:val="auto"/>
        </w:rPr>
      </w:pPr>
    </w:p>
    <w:p>
      <w:pPr>
        <w:jc w:val="both"/>
        <w:ind w:firstLine="332"/>
        <w:spacing w:after="0" w:line="247" w:lineRule="auto"/>
        <w:tabs>
          <w:tab w:leader="none" w:pos="6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Members in proportion to, and to the extent of, their respective Additional Capital Contribution IRR Deficiencies, representing a 12% return, compounded annually, provided the aggregate amount to be distributed to the Members pursuant to this Section 4.1(a) shall not exceed Ninety-Five Million Dollars ($95,000,000);</w:t>
      </w:r>
    </w:p>
    <w:p>
      <w:pPr>
        <w:spacing w:after="0" w:line="194" w:lineRule="exact"/>
        <w:rPr>
          <w:rFonts w:ascii="Times New Roman" w:cs="Times New Roman" w:eastAsia="Times New Roman" w:hAnsi="Times New Roman"/>
          <w:sz w:val="20"/>
          <w:szCs w:val="20"/>
          <w:color w:val="auto"/>
        </w:rPr>
      </w:pPr>
    </w:p>
    <w:p>
      <w:pPr>
        <w:jc w:val="both"/>
        <w:ind w:firstLine="332"/>
        <w:spacing w:after="0" w:line="247" w:lineRule="auto"/>
        <w:tabs>
          <w:tab w:leader="none" w:pos="63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forty-eight percent (48%) to Limoneira and fifty-two percent (52%) to Lewis until the Company has made aggregate distributions to the Members pursuant to this Section 4.1(b) in an amount equal to Fifty-Eight Million Eight Hundred Fifty Thousand Dollars ($58,850,000);</w:t>
      </w:r>
    </w:p>
    <w:p>
      <w:pPr>
        <w:spacing w:after="0" w:line="194" w:lineRule="exact"/>
        <w:rPr>
          <w:rFonts w:ascii="Times New Roman" w:cs="Times New Roman" w:eastAsia="Times New Roman" w:hAnsi="Times New Roman"/>
          <w:sz w:val="20"/>
          <w:szCs w:val="20"/>
          <w:color w:val="auto"/>
        </w:rPr>
      </w:pPr>
    </w:p>
    <w:p>
      <w:pPr>
        <w:ind w:firstLine="332"/>
        <w:spacing w:after="0" w:line="269" w:lineRule="auto"/>
        <w:tabs>
          <w:tab w:leader="none" w:pos="5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one hundred percent (100%) to Limoneira until the Company has made aggregate distributions to Limoneira pursuant to this Section 4.1(c) in an amount equal to Three Million Seven Hundred Thousand Dollars ($3,700,000);</w:t>
      </w:r>
    </w:p>
    <w:p>
      <w:pPr>
        <w:spacing w:after="0" w:line="172" w:lineRule="exact"/>
        <w:rPr>
          <w:rFonts w:ascii="Times New Roman" w:cs="Times New Roman" w:eastAsia="Times New Roman" w:hAnsi="Times New Roman"/>
          <w:sz w:val="20"/>
          <w:szCs w:val="20"/>
          <w:color w:val="auto"/>
        </w:rPr>
      </w:pPr>
    </w:p>
    <w:p>
      <w:pPr>
        <w:ind w:right="20" w:firstLine="332"/>
        <w:spacing w:after="0" w:line="269" w:lineRule="auto"/>
        <w:tabs>
          <w:tab w:leader="none" w:pos="6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one hundred percent (100%) to Lewis until the Company has made aggregate distributions to Lewis pursuant to this Section 4.1(d) in an amount equal to Four Million Eight Thousand Three Hundred Thirty-Three Dollars ($4,008,333);</w:t>
      </w:r>
    </w:p>
    <w:p>
      <w:pPr>
        <w:spacing w:after="0" w:line="172" w:lineRule="exact"/>
        <w:rPr>
          <w:rFonts w:ascii="Times New Roman" w:cs="Times New Roman" w:eastAsia="Times New Roman" w:hAnsi="Times New Roman"/>
          <w:sz w:val="20"/>
          <w:szCs w:val="20"/>
          <w:color w:val="auto"/>
        </w:rPr>
      </w:pPr>
    </w:p>
    <w:p>
      <w:pPr>
        <w:jc w:val="both"/>
        <w:ind w:firstLine="332"/>
        <w:spacing w:after="0" w:line="247" w:lineRule="auto"/>
        <w:tabs>
          <w:tab w:leader="none" w:pos="5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Fifth, to the Members in proportion to, and to the extent of, their respective Additional Capital Contribution IRR Deficiencies (if any), until each Member's Additional Capital Contribution IRR Deficiency is reduced to zero (0), representing a 12% return, compounded annually;</w:t>
      </w:r>
    </w:p>
    <w:p>
      <w:pPr>
        <w:spacing w:after="0" w:line="194" w:lineRule="exact"/>
        <w:rPr>
          <w:rFonts w:ascii="Times New Roman" w:cs="Times New Roman" w:eastAsia="Times New Roman" w:hAnsi="Times New Roman"/>
          <w:sz w:val="20"/>
          <w:szCs w:val="20"/>
          <w:color w:val="auto"/>
        </w:rPr>
      </w:pPr>
    </w:p>
    <w:p>
      <w:pPr>
        <w:ind w:firstLine="332"/>
        <w:spacing w:after="0" w:line="269" w:lineRule="auto"/>
        <w:tabs>
          <w:tab w:leader="none" w:pos="58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Sixth, forty-eight percent (48%) to Limoneira and fifty-two percent (52%) to Lewis until Lewis' Initial Capital Contribution IRR Deficiency is reduced to zero (0), representing a 12% return, compounded annually;</w:t>
      </w:r>
    </w:p>
    <w:p>
      <w:pPr>
        <w:spacing w:after="0" w:line="172" w:lineRule="exact"/>
        <w:rPr>
          <w:rFonts w:ascii="Times New Roman" w:cs="Times New Roman" w:eastAsia="Times New Roman" w:hAnsi="Times New Roman"/>
          <w:sz w:val="20"/>
          <w:szCs w:val="20"/>
          <w:color w:val="auto"/>
        </w:rPr>
      </w:pPr>
    </w:p>
    <w:p>
      <w:pPr>
        <w:ind w:right="20" w:firstLine="332"/>
        <w:spacing w:after="0" w:line="269" w:lineRule="auto"/>
        <w:tabs>
          <w:tab w:leader="none" w:pos="6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Seventh, twenty-five percent (25%) to Limoneira and seventy-five percent (75%) to Lewis until the Company has made aggregate distributions to the Members pursuant to this Section 4.1(g) in an amount equal to Ten Million Dollars ($10,000,000);</w:t>
      </w:r>
    </w:p>
    <w:p>
      <w:pPr>
        <w:spacing w:after="0" w:line="172" w:lineRule="exact"/>
        <w:rPr>
          <w:rFonts w:ascii="Times New Roman" w:cs="Times New Roman" w:eastAsia="Times New Roman" w:hAnsi="Times New Roman"/>
          <w:sz w:val="20"/>
          <w:szCs w:val="20"/>
          <w:color w:val="auto"/>
        </w:rPr>
      </w:pPr>
    </w:p>
    <w:p>
      <w:pPr>
        <w:ind w:firstLine="332"/>
        <w:spacing w:after="0" w:line="255" w:lineRule="auto"/>
        <w:tabs>
          <w:tab w:leader="none" w:pos="6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Eighth, sixty percent (60%) to Limoneira and forty percent (40%) to Lewis until the Company has made aggregate distributions to the Members pursuant to this Section 4.1(h) in an amount equal to Twenty Million Dollars ($20,000,000);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780" w:firstLine="8"/>
        <w:spacing w:after="0" w:line="513" w:lineRule="auto"/>
        <w:tabs>
          <w:tab w:leader="none" w:pos="324"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 (continued) Distributions (continued)</w:t>
      </w:r>
    </w:p>
    <w:p>
      <w:pPr>
        <w:spacing w:after="0" w:line="1" w:lineRule="exact"/>
        <w:rPr>
          <w:rFonts w:ascii="Times New Roman" w:cs="Times New Roman" w:eastAsia="Times New Roman" w:hAnsi="Times New Roman"/>
          <w:sz w:val="19"/>
          <w:szCs w:val="19"/>
          <w:b w:val="1"/>
          <w:bCs w:val="1"/>
          <w:color w:val="auto"/>
        </w:rPr>
      </w:pPr>
    </w:p>
    <w:p>
      <w:pPr>
        <w:ind w:right="20" w:firstLine="332"/>
        <w:spacing w:after="0" w:line="269" w:lineRule="auto"/>
        <w:tabs>
          <w:tab w:leader="none" w:pos="5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Ninth, fifty percent (50%) to Limoneira and fifty percent (50%) to Lewis until the Company has made aggregate distributions to the Members pursuant to this Section 4.1(i) in an amount equal to Twenty Million Dollars ($20,000,000);</w:t>
      </w:r>
    </w:p>
    <w:p>
      <w:pPr>
        <w:spacing w:after="0" w:line="172" w:lineRule="exact"/>
        <w:rPr>
          <w:rFonts w:ascii="Times New Roman" w:cs="Times New Roman" w:eastAsia="Times New Roman" w:hAnsi="Times New Roman"/>
          <w:sz w:val="20"/>
          <w:szCs w:val="20"/>
          <w:color w:val="auto"/>
        </w:rPr>
      </w:pPr>
    </w:p>
    <w:p>
      <w:pPr>
        <w:ind w:firstLine="332"/>
        <w:spacing w:after="0" w:line="269" w:lineRule="auto"/>
        <w:tabs>
          <w:tab w:leader="none" w:pos="57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Tenth, seventy-eight percent (78%) to Limoneira and twenty-two percent (22%) to Lewis until the Company has made aggregate distributions to the Members pursuant to this Section 4.1(j) in an amount equal to Twenty-Five Million Dollars ($25,000,000);</w:t>
      </w:r>
    </w:p>
    <w:p>
      <w:pPr>
        <w:spacing w:after="0" w:line="172" w:lineRule="exact"/>
        <w:rPr>
          <w:rFonts w:ascii="Times New Roman" w:cs="Times New Roman" w:eastAsia="Times New Roman" w:hAnsi="Times New Roman"/>
          <w:sz w:val="20"/>
          <w:szCs w:val="20"/>
          <w:color w:val="auto"/>
        </w:rPr>
      </w:pPr>
    </w:p>
    <w:p>
      <w:pPr>
        <w:ind w:firstLine="332"/>
        <w:spacing w:after="0" w:line="255" w:lineRule="auto"/>
        <w:tabs>
          <w:tab w:leader="none" w:pos="60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Eleventh, ninety-five percent (95%) to Limoneira and five percent (5%) to Lewis until the Company has made aggregate distributions to the Members pursuant to this Section 4.1(k) in an amount equal to Twenty Million Dollars ($20,000,000); and</w:t>
      </w:r>
    </w:p>
    <w:p>
      <w:pPr>
        <w:spacing w:after="0" w:line="199" w:lineRule="exact"/>
        <w:rPr>
          <w:rFonts w:ascii="Times New Roman" w:cs="Times New Roman" w:eastAsia="Times New Roman" w:hAnsi="Times New Roman"/>
          <w:sz w:val="20"/>
          <w:szCs w:val="20"/>
          <w:color w:val="auto"/>
        </w:rPr>
      </w:pPr>
    </w:p>
    <w:p>
      <w:pPr>
        <w:ind w:left="560" w:hanging="228"/>
        <w:spacing w:after="0"/>
        <w:tabs>
          <w:tab w:leader="none" w:pos="5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seventy percent (70%) to Limoneira and thirty percent (30%) to Lewis.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Pursuant to the LLC Agreement, as amended, distributions of Net Cash Flow may also be affected by certain Net Cash Flow Override provisions based on the status of an affiliated joint venture project between the Members formed in September 2022, LLCB II (Note 7). Pursuant to these provisions, if either (i) LLCB II is dissolved prior to the date (if any) that LLCB II obtains the Site Specific Entitlements, as defined, or (ii) there is a Material Adverse Impact, as defined, after LLCB II obtains the Site Specific Entitlements, then the first $4,000,000 of Net Cash Flow of the Company available for distribution to the Members shall be distributed to Lewis prior to any other distributions being made to the Members under the distribution priorities above. The LLC Agreement also states that Lewis shall have the right to elect to dissolve LLCB II in accordance with the terms of the operating agreement of LLCB II thereby triggering the application of these Net Cash Flow Override provisions without regard to any fiduciary or other duties owed to Limoneira other than the covenant of good faith and fair dealing.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Allocations of Income and Loss</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Net income and loss each period is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 The allocations of income and loss reflected herein assume that no Net Cash Flow Override provisions have been triggered as of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7320" w:firstLine="8"/>
        <w:spacing w:after="0" w:line="495" w:lineRule="auto"/>
        <w:tabs>
          <w:tab w:leader="none" w:pos="202"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w:t>
      </w: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2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Acreage, square footage, number of units or lots, and other similar non-financial measures included in these notes to the financial statements are presented on an unaudited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All highly liquid investments with a remaining maturity of three months or less when purchased are considered to be cash equivalents. As of October 31, 2023, restricted cash balances of $1,011,000 relate to contractual escrow holdbacks for remaining seller improvements to be completed by the Company related to one of the previous year land sales. The seller improvements were completed during the year ended October 31, 2024, and all restricted amounts were released. No other cash balances held by the Company during the periods presented were legally restricted as to use.</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of demand deposits with a financial institution. The Company’s cash balances from time to time exceed federally insurable limits. However, the Company believes there is minimal credit risk relative to its cash balances.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 Held for Development and Sale and Cost of Land Sales</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insurance policies and other similar costs which do not extend beyond the projected development period of the related project components.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1"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2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Cost of land sales is determined based on an allocation of costs to individual land parcels sold based on specific identification, if practicable, or an allocation based on a method which approximates relative fair value in accordance with ASC 970, </w:t>
      </w:r>
      <w:r>
        <w:rPr>
          <w:rFonts w:ascii="Times New Roman" w:cs="Times New Roman" w:eastAsia="Times New Roman" w:hAnsi="Times New Roman"/>
          <w:sz w:val="20"/>
          <w:szCs w:val="20"/>
          <w:i w:val="1"/>
          <w:iCs w:val="1"/>
          <w:color w:val="auto"/>
        </w:rPr>
        <w:t>Real Estate - General</w:t>
      </w:r>
      <w:r>
        <w:rPr>
          <w:rFonts w:ascii="Times New Roman" w:cs="Times New Roman" w:eastAsia="Times New Roman" w:hAnsi="Times New Roman"/>
          <w:sz w:val="20"/>
          <w:szCs w:val="20"/>
          <w:color w:val="auto"/>
        </w:rPr>
        <w:t>.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 Due to uncertainties in the estimation process and other factors beyond our control, actual development costs could differ from those estimated.</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Land held for development and sale is carried at cost. The Company tests its land held for development and sale for impairment in accordance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whenever events or changes in circumstances indicate that the carrying value of its project may not be recoverable. Such events or changes in circumstances may include, among others, a significant adverse change in the business climate that could affect the value of the project, an accumulation of costs significantly in excess of the amount originally expected, or current period operating or cash flow loss combined with a history of operating or cash flow losses or a forecast that demonstrates continuing losses.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If such indicators of impairment are identified, the project is tested for recoverability by comparing the carrying amount of the asset to the undiscounted future net cash flows expected to be generated from the project. If the carrying value of the project is determined to not be recoverable, an impairment charge is recognized equal to the amount by which the carrying value exceeds its estimated fair value. Fair value is determined based on estimated future cash flows discounted for inherent risks associated with the project, or other valuation techniques.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at a point in time or over 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Company’s land sales contracts to homebuilders also generally provide for additional variable consideration in the form of a master-planned community benefit fee (or otherwise titled fee) based on a percentage of the sales prices of homes built and sold on the land (“price participation”) as well as the ability to receive future profit participation payments on profitability above specified thresholds achieved on sales of the homes by the homebuilder (“profit participation”). The Company’s performance obligations related to these amounts are generally satisfied as of or in advance of when such price and profit participation payments are received, which may result in the recognition of a contract asset for the estimated future variable consideration expected to be received. In determining the amount of revenue to recognize related to price and profit participation,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 The amount and timing of revenue and cash flows related to price and profit participation payments are impacted by the ultimate timing and sales prices of homes sold by homebuilders.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land sales contracts may also contain other forms of variable consideration including adjustments to transaction price based on specified factors, such as the final cost of development obligations assumed by the customer in the transaction. To the extent the Company expects it will have to refund a portion of consideration received from a customer, it records a refund liability based on the expected amount to be refunded to the customer.</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of Credit</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line of credit was recorded at amortized cost. Loan costs associated with obtaining or extending the line of credit were deferred and recognized as a component of interest cost over the term of the line of credit and presented as a reduction of the line of credit balance on the accompanying balance sheets. In periods where there were no balances outstanding on the line of credit, unamortized loan costs were reclassified to other assets. Interest costs are capitalized to the Project during periods in which development activities are ongoing. The line of credit was terminated during the year ending October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a limited liability company, the Company is subject to certain minimal taxes and fees; however, no provision for income taxes has been made in the accompanying financial statements as the Members are individually responsible for reporting their respective share of the Company’s income or loss.</w:t>
      </w: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 xml:space="preserve">Based on its evaluation under ASC 740, </w:t>
      </w:r>
      <w:r>
        <w:rPr>
          <w:rFonts w:ascii="Times New Roman" w:cs="Times New Roman" w:eastAsia="Times New Roman" w:hAnsi="Times New Roman"/>
          <w:sz w:val="21"/>
          <w:szCs w:val="21"/>
          <w:i w:val="1"/>
          <w:iCs w:val="1"/>
          <w:color w:val="auto"/>
        </w:rPr>
        <w:t>Income Taxes,</w:t>
      </w:r>
      <w:r>
        <w:rPr>
          <w:rFonts w:ascii="Times New Roman" w:cs="Times New Roman" w:eastAsia="Times New Roman" w:hAnsi="Times New Roman"/>
          <w:sz w:val="20"/>
          <w:szCs w:val="20"/>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Expenses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income and expenses are recorded in the period earned or incurred. Selling costs and costs related to marketing of the community are generally recorded to sales and marketing expenses as incurred. Interest income from the Company cash accounts is recorded as earned.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Comprehensive Income and Loss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all periods presented, comprehensive income is the same as net income reported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300" w:firstLine="8"/>
        <w:spacing w:after="0" w:line="502" w:lineRule="auto"/>
        <w:tabs>
          <w:tab w:leader="none" w:pos="202"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Use of Estimates</w:t>
      </w:r>
    </w:p>
    <w:p>
      <w:pPr>
        <w:jc w:val="both"/>
        <w:ind w:right="20"/>
        <w:spacing w:after="0"/>
        <w:rPr>
          <w:sz w:val="20"/>
          <w:szCs w:val="20"/>
          <w:color w:val="auto"/>
        </w:rPr>
      </w:pPr>
      <w:r>
        <w:rPr>
          <w:rFonts w:ascii="Times New Roman" w:cs="Times New Roman" w:eastAsia="Times New Roman" w:hAnsi="Times New Roman"/>
          <w:sz w:val="20"/>
          <w:szCs w:val="20"/>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Land Held for Development and Sale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 related to the Company’s land held for development and sale for the years ended October 31, 2025 and 2024 is as follows: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34"/>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940" w:type="dxa"/>
            <w:vAlign w:val="bottom"/>
            <w:vMerge w:val="continue"/>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67,282,000</w:t>
            </w:r>
          </w:p>
        </w:tc>
        <w:tc>
          <w:tcPr>
            <w:tcW w:w="80" w:type="dxa"/>
            <w:vAlign w:val="bottom"/>
          </w:tcPr>
          <w:p>
            <w:pPr>
              <w:spacing w:after="0"/>
              <w:rPr>
                <w:sz w:val="22"/>
                <w:szCs w:val="22"/>
                <w:color w:val="auto"/>
              </w:rPr>
            </w:pP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105,979,000</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Additional costs incurred</w:t>
            </w:r>
          </w:p>
        </w:tc>
        <w:tc>
          <w:tcPr>
            <w:tcW w:w="4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16,818,000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16,471,000</w:t>
            </w:r>
          </w:p>
        </w:tc>
        <w:tc>
          <w:tcPr>
            <w:tcW w:w="0" w:type="dxa"/>
            <w:vAlign w:val="bottom"/>
          </w:tcPr>
          <w:p>
            <w:pPr>
              <w:spacing w:after="0"/>
              <w:rPr>
                <w:sz w:val="1"/>
                <w:szCs w:val="1"/>
                <w:color w:val="auto"/>
              </w:rPr>
            </w:pPr>
          </w:p>
        </w:tc>
      </w:tr>
      <w:tr>
        <w:trPr>
          <w:trHeight w:val="336"/>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CFD and other reimbursements</w:t>
            </w:r>
            <w:r>
              <w:rPr>
                <w:rFonts w:ascii="Times New Roman" w:cs="Times New Roman" w:eastAsia="Times New Roman" w:hAnsi="Times New Roman"/>
                <w:sz w:val="25"/>
                <w:szCs w:val="25"/>
                <w:color w:val="auto"/>
                <w:vertAlign w:val="superscript"/>
              </w:rPr>
              <w:t>1</w:t>
            </w:r>
          </w:p>
        </w:tc>
        <w:tc>
          <w:tcPr>
            <w:tcW w:w="4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(4,810,000)</w:t>
            </w:r>
          </w:p>
        </w:tc>
        <w:tc>
          <w:tcPr>
            <w:tcW w:w="0" w:type="dxa"/>
            <w:vAlign w:val="bottom"/>
          </w:tcPr>
          <w:p>
            <w:pPr>
              <w:spacing w:after="0"/>
              <w:rPr>
                <w:sz w:val="1"/>
                <w:szCs w:val="1"/>
                <w:color w:val="auto"/>
              </w:rPr>
            </w:pPr>
          </w:p>
        </w:tc>
      </w:tr>
      <w:tr>
        <w:trPr>
          <w:trHeight w:val="258"/>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Cost of land sales</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(1,669,000)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(50,358,000)</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82,431,000</w:t>
            </w:r>
          </w:p>
        </w:tc>
        <w:tc>
          <w:tcPr>
            <w:tcW w:w="80" w:type="dxa"/>
            <w:vAlign w:val="bottom"/>
          </w:tcPr>
          <w:p>
            <w:pPr>
              <w:spacing w:after="0"/>
              <w:rPr>
                <w:sz w:val="24"/>
                <w:szCs w:val="24"/>
                <w:color w:val="auto"/>
              </w:rPr>
            </w:pP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67,282,000</w:t>
            </w:r>
          </w:p>
        </w:tc>
        <w:tc>
          <w:tcPr>
            <w:tcW w:w="0" w:type="dxa"/>
            <w:vAlign w:val="bottom"/>
          </w:tcPr>
          <w:p>
            <w:pPr>
              <w:spacing w:after="0"/>
              <w:rPr>
                <w:sz w:val="1"/>
                <w:szCs w:val="1"/>
                <w:color w:val="auto"/>
              </w:rPr>
            </w:pPr>
          </w:p>
        </w:tc>
      </w:tr>
      <w:tr>
        <w:trPr>
          <w:trHeight w:val="35"/>
        </w:trPr>
        <w:tc>
          <w:tcPr>
            <w:tcW w:w="69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00" w:hanging="92"/>
        <w:spacing w:after="0"/>
        <w:tabs>
          <w:tab w:leader="none" w:pos="100"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rPr>
        <w:t>Represents reimbursements from CFDs, the City of Santa Paula or other third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impairment charges were recorded related to land held for development and sale through October 31, 2025.</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During the year ended October 31, 2025, there were no new land sale transactions. During the year ended October 31, 2024, the Company closed on the sale of 554 lots in a single land sale transaction with a homebuilder and recognized total land sale revenues of $87,100,000 including price and profit participation revenues. During the year ended October 31, 2023, the Company closed on the sale of 121 lots in land sale transactions with two homebuilders and recognized total land sale revenues of $30,933,000, including price and profit participation revenues.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Included in land sales revenues for the years ended October 31, 2025, 2024 and 2023 were price participation revenues of $13,000, $4,409,000 and $1,160,000. As of October 31, 2025 and 2024, $2,172,000 and $2,526,000 of contract assets were recorded representing estimated future variable consideration to be received related to price participation revenues. Additionally, land sales revenues for the years ended October 31, 2025, 2024 and 2023 included revenues from profit participation arrangements totaling $0, $0 and $1,381,000.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Land Held for Development and Sale (continued)</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October 31, 2025 and 2024, there were $3,874,000 and $3,576,000, respectively, in refund liabilities which were classified in accounts payable and accrued liabilities on the accompanying balance sheet related to variable consideration amounts received by the Company which were expected to be returned or otherwise for which a revenue constraint was applied as a result of uncertainty as to whether such amounts would need to be returned. During the year ended October 31, 2025, the refund liability was increased by $298,000 as a result of cost estimate increases related to post-close buyer improvements, which resulted in a reduction to land sale revenues.</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of October 31, 2025 and 2024, unearned revenue of $4,765,000 and $6,322,000, respectively, represents the remaining contract liability for certain specified post-close seller development obligations related to the land sale transaction that closed during the year ended October 31, 2024. Of the amount recorded as unearned revenue as of October 31, 2024 for prior period sales, the Company recognized $1,557,000 during the year ended October 31, 2025. The original aggregate amount of the transaction price allocated to these development obligations was $7,840,000. The Company currently estimates that these development obligations will be completed over a period through 2026. During the periods presented, the Company did not have any other contracts with customers or related performance obligations with an original expected duration of greater than one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2025 and 2024, the Company had no deposits related to future lot sale transactions.</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The Company expects to be reimbursed for certain infrastructure costs it incurs related to the Project from the proceeds of bonds to be issued from one or more community facilities districts (“CFDs”). During the years ended October 31, 2025, 2024, and 2023, the Company received $0, $4,810,000, and $0 and, respectively, in total CFD reimbursement proceeds. Through October 31, 2025, the Company had received $37,160,000 in net CFD reimbursements. As of October 31, 2025, there were $40,000,000 in total bonds issued and outstanding by the CFDs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associated with the Project. These bond obligations are not recorded as liabilities of the Company as the estimated payments associated with</w:t>
      </w:r>
    </w:p>
    <w:p>
      <w:pPr>
        <w:spacing w:after="0" w:line="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bonds are not fixed and determinable. Additionally, the Company is not liable to satisfy shortfalls in annual debt service obligations and has not pledged assets or provided other credit enhancements in support of the bond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1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Accounts Payable and Accrued Liabilities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and accrued liabilities includes the following as of October 31, 2025 and 2024:</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7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34"/>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100" w:type="dxa"/>
            <w:vAlign w:val="bottom"/>
            <w:vMerge w:val="continue"/>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165,000</w:t>
            </w:r>
          </w:p>
        </w:tc>
        <w:tc>
          <w:tcPr>
            <w:tcW w:w="24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1,514,000</w:t>
            </w:r>
          </w:p>
        </w:tc>
        <w:tc>
          <w:tcPr>
            <w:tcW w:w="0" w:type="dxa"/>
            <w:vAlign w:val="bottom"/>
          </w:tcPr>
          <w:p>
            <w:pPr>
              <w:spacing w:after="0"/>
              <w:rPr>
                <w:sz w:val="1"/>
                <w:szCs w:val="1"/>
                <w:color w:val="auto"/>
              </w:rPr>
            </w:pP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Retentions payable</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1,217,000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1,282,000</w:t>
            </w:r>
          </w:p>
        </w:tc>
        <w:tc>
          <w:tcPr>
            <w:tcW w:w="0" w:type="dxa"/>
            <w:vAlign w:val="bottom"/>
          </w:tcPr>
          <w:p>
            <w:pPr>
              <w:spacing w:after="0"/>
              <w:rPr>
                <w:sz w:val="1"/>
                <w:szCs w:val="1"/>
                <w:color w:val="auto"/>
              </w:rPr>
            </w:pP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Refund liabilities</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3,874,000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3,576,000</w:t>
            </w:r>
          </w:p>
        </w:tc>
        <w:tc>
          <w:tcPr>
            <w:tcW w:w="0" w:type="dxa"/>
            <w:vAlign w:val="bottom"/>
          </w:tcPr>
          <w:p>
            <w:pPr>
              <w:spacing w:after="0"/>
              <w:rPr>
                <w:sz w:val="1"/>
                <w:szCs w:val="1"/>
                <w:color w:val="auto"/>
              </w:rPr>
            </w:pP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2,645,000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2,613,000</w:t>
            </w:r>
          </w:p>
        </w:tc>
        <w:tc>
          <w:tcPr>
            <w:tcW w:w="0" w:type="dxa"/>
            <w:vAlign w:val="bottom"/>
          </w:tcPr>
          <w:p>
            <w:pPr>
              <w:spacing w:after="0"/>
              <w:rPr>
                <w:sz w:val="1"/>
                <w:szCs w:val="1"/>
                <w:color w:val="auto"/>
              </w:rPr>
            </w:pPr>
          </w:p>
        </w:tc>
      </w:tr>
      <w:tr>
        <w:trPr>
          <w:trHeight w:val="35"/>
        </w:trPr>
        <w:tc>
          <w:tcPr>
            <w:tcW w:w="7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7100" w:type="dxa"/>
            <w:vAlign w:val="bottom"/>
          </w:tcPr>
          <w:p>
            <w:pPr>
              <w:spacing w:after="0"/>
              <w:rPr>
                <w:sz w:val="24"/>
                <w:szCs w:val="24"/>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7,901,000</w:t>
            </w:r>
          </w:p>
        </w:tc>
        <w:tc>
          <w:tcPr>
            <w:tcW w:w="240" w:type="dxa"/>
            <w:vAlign w:val="bottom"/>
          </w:tcPr>
          <w:p>
            <w:pPr>
              <w:spacing w:after="0"/>
              <w:rPr>
                <w:sz w:val="24"/>
                <w:szCs w:val="24"/>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8,985,000</w:t>
            </w:r>
          </w:p>
        </w:tc>
        <w:tc>
          <w:tcPr>
            <w:tcW w:w="0" w:type="dxa"/>
            <w:vAlign w:val="bottom"/>
          </w:tcPr>
          <w:p>
            <w:pPr>
              <w:spacing w:after="0"/>
              <w:rPr>
                <w:sz w:val="1"/>
                <w:szCs w:val="1"/>
                <w:color w:val="auto"/>
              </w:rPr>
            </w:pPr>
          </w:p>
        </w:tc>
      </w:tr>
      <w:tr>
        <w:trPr>
          <w:trHeight w:val="34"/>
        </w:trPr>
        <w:tc>
          <w:tcPr>
            <w:tcW w:w="7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Line of Credit</w:t>
      </w:r>
    </w:p>
    <w:p>
      <w:pPr>
        <w:spacing w:after="0" w:line="2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February 2018, the Company entered into an unsecured revolving line of credit facility with a third-party lender to provide development financing for the Project. The Company exercised its available one-year extension option on the line of credit, which reduced the maximum borrowing amount from $45,000,000 to $35,000,000 and extended the maturity to February 22, 2024. Upon its maturity, the Company entered into a short-term extension of the line of credit through its final maturity on August 22, 2024. The line of credit bore interest, payable monthly, at an annual rate of the BSBY Daily Floating Rate plus 2.85%, plus an unused commitment fee of 0.20% per year, payable quarterly.</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Loan costs amortized as interest costs during the years ended October 31, 2025 and 2024 totaled $0 and $62,000, respectively, all of which were capitalized to the Project. During the years ended October 31, 2025, 2024, and 2023, the Company recorded interest and unused commitment fees on the line of credit of $0, $40,000, and $1,012,000, respectively, all of which were capitalized to the Project.</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line of credit was guaranteed by Limoneira and certain owners of Lewis. The loan also required compliance with certain financial covenants, including liquid asset and tangible net worth requirements of the guarantors, all of which were in compliance through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Disclosures</w:t>
      </w:r>
    </w:p>
    <w:p>
      <w:pPr>
        <w:spacing w:after="0" w:line="2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ASC Topic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color w:val="auto"/>
        </w:rPr>
        <w:t xml:space="preserve"> provides a framework for measuring fair value and has established a fair value hierarchy which prioritizes the inputs used in measuring fair value. The hierarchy is summarized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Fair value determined based on quoted prices in active markets for identical assets.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2 – Fair value determined using significant observable inputs, such as those principally derived from or corroborated by observable market data, by correlation or other means.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Fair value determined using significant unobservable inputs, such as pricing models, discounted cash flows, or similar techniques.</w:t>
      </w:r>
    </w:p>
    <w:p>
      <w:pPr>
        <w:spacing w:after="0" w:line="24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no recurring or nonrecurring fair value measurements made in the periods presented in the accompanying financial statements through October 31, 2025. Additionally, there were no financial liabilities held as of October 31, 2025 or 2024 other than accounts payable and other accrued liabilities in the ordinary course of business whose fair values approximated cost.</w:t>
      </w:r>
    </w:p>
    <w:p>
      <w:pPr>
        <w:spacing w:after="0" w:line="197" w:lineRule="exact"/>
        <w:rPr>
          <w:sz w:val="20"/>
          <w:szCs w:val="20"/>
          <w:color w:val="auto"/>
        </w:rPr>
      </w:pPr>
    </w:p>
    <w:p>
      <w:pPr>
        <w:ind w:right="8300" w:firstLine="14"/>
        <w:spacing w:after="0" w:line="528" w:lineRule="auto"/>
        <w:tabs>
          <w:tab w:leader="none" w:pos="204"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 Party Transactions Cost Reimbursements to Members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2025, 2024, and 2023, $2,041,000, $2,145,000, and $1,812,000, respectively, of such costs were incurred by the Members on behalf of the Company, all of which were capitalized to the Project. During the years ended October 31, 2025, 2024, and 2023, certain additional reimbursable employee costs of $137,000, $46,000, and $56,000, respectively, were incurred by the Company for employees of the Manager providing services for the Project which were recorded as sales and marketing expenses. As of October 31, 2025 and 2024, $410,000, and $154,000, respectively, of such cost reimbursements remained payable by the Company to the Members, which are included in due to affiliates on the accompanying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1"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7. Related Party Transactions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Retained Land and Infrastructure Cost Reimbursements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conjunction with Limoneira’s initial contribution of land to the Company, certain additional land (referred to as the “Retained Land”) was legally conveyed to the Company for which Limoneira retained beneficial ownership. The land was transferred back to Limoneira in August 2018 for no consideration upon recording of a revised tract map that subdivided the Retained Property as a legal parcel.</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As of October 31, 2025 and 2024, estimated such reimbursements from Limoneira totaled $3,444,000, which is classified as due from affiliates on the accompanying balance sheet and is net of related future CFD proceeds attributable to Limoneira.</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September 28, 2022, affiliates of Lewis and Limoneira formed a new joint venture (“LLCB II”) to acquire the Retained Property from Limoneira for the intended purpose of pursuing entitlements and developing multifamily residential units.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Although there can be no assurance, the Company is not aware of any material environmental liability that could have a material adverse effect on its financial condition or results of operations. However, identification of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 (continued)</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Currently, there are no guarantees by any of the Members or their affiliates in place on any of the obligations of the Company. The Company is required to complete development obligations related to the Project pursuant to the Development Agreement as well as pursuant to the terms of contracts with individual homebuilders and other parties, including providing performance bonds for certain improvement obligations. As of October 31, 2025, the Company had $25,100,000 of performance bonds outstanding. If any such performance bonds are called, the Company would be obligated to reimburse the issuer of the performance bond. The Company does not believe that a material amount of any currently outstanding performance bonds will be called. As of October 31, 2025, the Company had remaining commitments to subcontractors or other parties related to its land development activities totaling $31,600,000.</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9. Subsequent Events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has evaluated events subsequent to October 31, 2025 through December 16, 2025, the date the financial statements were available to be issued, for their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lvl w:ilvl="1">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lvl w:ilvl="1">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lvl w:ilvl="1">
      <w:lvlJc w:val="left"/>
      <w:lvlText w:val="\endash "/>
      <w:numFmt w:val="bullet"/>
      <w:start w:val="1"/>
    </w:lvl>
  </w:abstractNum>
  <w:abstractNum w:abstractNumId="35">
    <w:nsid w:val="39386575"/>
    <w:multiLevelType w:val="hybridMultilevel"/>
    <w:lvl w:ilvl="0">
      <w:lvlJc w:val="left"/>
      <w:lvlText w:val="%1."/>
      <w:numFmt w:val="decimal"/>
      <w:start w:val="2"/>
    </w:lvl>
  </w:abstractNum>
  <w:abstractNum w:abstractNumId="36">
    <w:nsid w:val="1CF10FD8"/>
    <w:multiLevelType w:val="hybridMultilevel"/>
    <w:lvl w:ilvl="0">
      <w:lvlJc w:val="left"/>
      <w:lvlText w:val="%1."/>
      <w:numFmt w:val="decimal"/>
      <w:start w:val="2"/>
    </w:lvl>
  </w:abstractNum>
  <w:abstractNum w:abstractNumId="37">
    <w:nsid w:val="180115BE"/>
    <w:multiLevelType w:val="hybridMultilevel"/>
    <w:lvl w:ilvl="0">
      <w:lvlJc w:val="left"/>
      <w:lvlText w:val="%1."/>
      <w:numFmt w:val="decimal"/>
      <w:start w:val="2"/>
    </w:lvl>
  </w:abstractNum>
  <w:abstractNum w:abstractNumId="38">
    <w:nsid w:val="235BA861"/>
    <w:multiLevelType w:val="hybridMultilevel"/>
    <w:lvl w:ilvl="0">
      <w:lvlJc w:val="left"/>
      <w:lvlText w:val="%1."/>
      <w:numFmt w:val="decimal"/>
      <w:start w:val="2"/>
    </w:lvl>
  </w:abstractNum>
  <w:abstractNum w:abstractNumId="39">
    <w:nsid w:val="47398C89"/>
    <w:multiLevelType w:val="hybridMultilevel"/>
    <w:lvl w:ilvl="0">
      <w:lvlJc w:val="left"/>
      <w:lvlText w:val="%1."/>
      <w:numFmt w:val="decimal"/>
      <w:start w:val="2"/>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2"/>
    </w:lvl>
  </w:abstractNum>
  <w:abstractNum w:abstractNumId="42">
    <w:nsid w:val="741226BB"/>
    <w:multiLevelType w:val="hybridMultilevel"/>
    <w:lvl w:ilvl="0">
      <w:lvlJc w:val="left"/>
      <w:lvlText w:val="%1."/>
      <w:numFmt w:val="decimal"/>
      <w:start w:val="2"/>
    </w:lvl>
  </w:abstractNum>
  <w:abstractNum w:abstractNumId="43">
    <w:nsid w:val="D34B6A8"/>
    <w:multiLevelType w:val="hybridMultilevel"/>
    <w:lvl w:ilvl="0">
      <w:lvlJc w:val="left"/>
      <w:lvlText w:val="(%1)"/>
      <w:numFmt w:val="lowerLetter"/>
      <w:start w:val="4"/>
    </w:lvl>
  </w:abstractNum>
  <w:abstractNum w:abstractNumId="44">
    <w:nsid w:val="10233C99"/>
    <w:multiLevelType w:val="hybridMultilevel"/>
    <w:lvl w:ilvl="0">
      <w:lvlJc w:val="left"/>
      <w:lvlText w:val="%1."/>
      <w:numFmt w:val="decimal"/>
      <w:start w:val="2"/>
    </w:lvl>
  </w:abstractNum>
  <w:abstractNum w:abstractNumId="45">
    <w:nsid w:val="3F6AB60F"/>
    <w:multiLevelType w:val="hybridMultilevel"/>
    <w:lvl w:ilvl="0">
      <w:lvlJc w:val="left"/>
      <w:lvlText w:val="%1."/>
      <w:numFmt w:val="decimal"/>
      <w:start w:val="3"/>
    </w:lvl>
  </w:abstractNum>
  <w:abstractNum w:abstractNumId="46">
    <w:nsid w:val="61574095"/>
    <w:multiLevelType w:val="hybridMultilevel"/>
    <w:lvl w:ilvl="0">
      <w:lvlJc w:val="left"/>
      <w:lvlText w:val="%1."/>
      <w:numFmt w:val="decimal"/>
      <w:start w:val="3"/>
    </w:lvl>
  </w:abstractNum>
  <w:abstractNum w:abstractNumId="47">
    <w:nsid w:val="7E0C57B1"/>
    <w:multiLevelType w:val="hybridMultilevel"/>
    <w:lvl w:ilvl="0">
      <w:lvlJc w:val="left"/>
      <w:lvlText w:val="%1."/>
      <w:numFmt w:val="decimal"/>
      <w:start w:val="7"/>
    </w:lvl>
  </w:abstractNum>
  <w:abstractNum w:abstractNumId="48">
    <w:nsid w:val="77AE35EB"/>
    <w:multiLevelType w:val="hybridMultilevel"/>
    <w:lvl w:ilvl="0">
      <w:lvlJc w:val="left"/>
      <w:lvlText w:val="%1."/>
      <w:numFmt w:val="decimal"/>
      <w:start w:val="7"/>
    </w:lvl>
  </w:abstractNum>
  <w:abstractNum w:abstractNumId="49">
    <w:nsid w:val="579BE4F1"/>
    <w:multiLevelType w:val="hybridMultilevel"/>
    <w:lvl w:ilvl="0">
      <w:lvlJc w:val="left"/>
      <w:lvlText w:val="%1."/>
      <w:numFmt w:val="decimal"/>
      <w:start w:val="7"/>
    </w:lvl>
  </w:abstractNum>
  <w:abstractNum w:abstractNumId="50">
    <w:nsid w:val="310C50B3"/>
    <w:multiLevelType w:val="hybridMultilevel"/>
    <w:lvl w:ilvl="0">
      <w:lvlJc w:val="left"/>
      <w:lvlText w:val="1"/>
      <w:numFmt w:val="bullet"/>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6"/>
    </w:lvl>
  </w:abstractNum>
  <w:abstractNum w:abstractNumId="53">
    <w:nsid w:val="25A70BF7"/>
    <w:multiLevelType w:val="hybridMultilevel"/>
    <w:lvl w:ilvl="0">
      <w:lvlJc w:val="left"/>
      <w:lvlText w:val="%1."/>
      <w:numFmt w:val="decimal"/>
      <w:start w:val="17"/>
    </w:lvl>
  </w:abstractNum>
  <w:abstractNum w:abstractNumId="54">
    <w:nsid w:val="1DBABF00"/>
    <w:multiLevelType w:val="hybridMultilevel"/>
    <w:lvl w:ilvl="0">
      <w:lvlJc w:val="left"/>
      <w:lvlText w:val="%1."/>
      <w:numFmt w:val="decimal"/>
      <w:start w:val="18"/>
    </w:lvl>
  </w:abstractNum>
  <w:abstractNum w:abstractNumId="55">
    <w:nsid w:val="4AD084E9"/>
    <w:multiLevelType w:val="hybridMultilevel"/>
    <w:lvl w:ilvl="0">
      <w:lvlJc w:val="left"/>
      <w:lvlText w:val="%1."/>
      <w:numFmt w:val="decimal"/>
      <w:start w:val="18"/>
    </w:lvl>
  </w:abstractNum>
  <w:abstractNum w:abstractNumId="56">
    <w:nsid w:val="1F48EAA1"/>
    <w:multiLevelType w:val="hybridMultilevel"/>
    <w:lvl w:ilvl="0">
      <w:lvlJc w:val="left"/>
      <w:lvlText w:val="%1."/>
      <w:numFmt w:val="decimal"/>
      <w:start w:val="18"/>
    </w:lvl>
  </w:abstractNum>
  <w:abstractNum w:abstractNumId="57">
    <w:nsid w:val="1381823A"/>
    <w:multiLevelType w:val="hybridMultilevel"/>
    <w:lvl w:ilvl="0">
      <w:lvlJc w:val="left"/>
      <w:lvlText w:val="(%1)"/>
      <w:numFmt w:val="lowerLetter"/>
      <w:start w:val="2"/>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5">
    <w:nsid w:val="6B94764"/>
    <w:multiLevelType w:val="hybridMultilevel"/>
    <w:lvl w:ilvl="0">
      <w:lvlJc w:val="left"/>
      <w:lvlText w:val="-"/>
      <w:numFmt w:val="bullet"/>
      <w:start w:val="1"/>
    </w:lvl>
    <w:lvl w:ilvl="1">
      <w:lvlJc w:val="left"/>
      <w:lvlText w:val="%2"/>
      <w:numFmt w:val="decimal"/>
      <w:start w:val="1"/>
    </w:lvl>
    <w:lvl w:ilvl="2">
      <w:lvlJc w:val="left"/>
      <w:lvlText w:val="%3."/>
      <w:numFmt w:val="lowerLetter"/>
      <w:start w:val="8"/>
    </w:lvl>
  </w:abstractNum>
  <w:abstractNum w:abstractNumId="66">
    <w:nsid w:val="42C296B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7">
    <w:nsid w:val="168E121F"/>
    <w:multiLevelType w:val="hybridMultilevel"/>
    <w:lvl w:ilvl="0">
      <w:lvlJc w:val="left"/>
      <w:lvlText w:val="-"/>
      <w:numFmt w:val="bullet"/>
      <w:start w:val="1"/>
    </w:lvl>
    <w:lvl w:ilvl="1">
      <w:lvlJc w:val="left"/>
      <w:lvlText w:val="%2."/>
      <w:numFmt w:val="decimal"/>
      <w:start w:val="5"/>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decimal"/>
      <w:start w:val="1"/>
    </w:lvl>
    <w:lvl w:ilvl="1">
      <w:lvlJc w:val="left"/>
      <w:lvlText w:val="(%2)"/>
      <w:numFmt w:val="lowerLetter"/>
      <w:start w:val="9"/>
    </w:lvl>
  </w:abstractNum>
  <w:abstractNum w:abstractNumId="73">
    <w:nsid w:val="51D9C564"/>
    <w:multiLevelType w:val="hybridMultilevel"/>
    <w:lvl w:ilvl="0">
      <w:lvlJc w:val="left"/>
      <w:lvlText w:val="%1."/>
      <w:numFmt w:val="decimal"/>
      <w:start w:val="2"/>
    </w:lvl>
  </w:abstractNum>
  <w:abstractNum w:abstractNumId="74">
    <w:nsid w:val="613EFDC5"/>
    <w:multiLevelType w:val="hybridMultilevel"/>
    <w:lvl w:ilvl="0">
      <w:lvlJc w:val="left"/>
      <w:lvlText w:val="%1."/>
      <w:numFmt w:val="decimal"/>
      <w:start w:val="2"/>
    </w:lvl>
  </w:abstractNum>
  <w:abstractNum w:abstractNumId="75">
    <w:nsid w:val="BF72B14"/>
    <w:multiLevelType w:val="hybridMultilevel"/>
    <w:lvl w:ilvl="0">
      <w:lvlJc w:val="left"/>
      <w:lvlText w:val="1"/>
      <w:numFmt w:val="bullet"/>
      <w:start w:val="1"/>
    </w:lvl>
  </w:abstractNum>
  <w:abstractNum w:abstractNumId="76">
    <w:nsid w:val="11447B7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1" Type="http://schemas.openxmlformats.org/officeDocument/2006/relationships/image" Target="media/image109.png"/><Relationship Id="rId148"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16" Type="http://schemas.openxmlformats.org/officeDocument/2006/relationships/hyperlink" Target="https://www.sec.gov/Archives/edgar/data/1342423/000114420410007241/v173157_ex3-6.htm" TargetMode="External"/><Relationship Id="rId117" Type="http://schemas.openxmlformats.org/officeDocument/2006/relationships/hyperlink" Target="https://www.sec.gov/Archives/edgar/data/1342423/000114420410007241/v173157_ex3-1.htm" TargetMode="External"/><Relationship Id="rId118" Type="http://schemas.openxmlformats.org/officeDocument/2006/relationships/hyperlink" Target="https://www.sec.gov/Archives/edgar/data/1342423/000114420410007241/v173157_ex3-7.htm" TargetMode="External"/><Relationship Id="rId119" Type="http://schemas.openxmlformats.org/officeDocument/2006/relationships/hyperlink" Target="https://www.sec.gov/Archives/edgar/data/1342423/000114420410017415/v178900_ex3-9.htm" TargetMode="External"/><Relationship Id="rId120" Type="http://schemas.openxmlformats.org/officeDocument/2006/relationships/hyperlink" Target="https://www.sec.gov/Archives/edgar/data/1342423/000114420417018212/v463210_ex3-1.htm" TargetMode="External"/><Relationship Id="rId121" Type="http://schemas.openxmlformats.org/officeDocument/2006/relationships/hyperlink" Target="https://www.sec.gov/Archives/edgar/data/1342423/000110465924040501/tm249848d1_ex3-1.htm" TargetMode="External"/><Relationship Id="rId122" Type="http://schemas.openxmlformats.org/officeDocument/2006/relationships/hyperlink" Target="https://www.sec.gov/Archives/edgar/data/1342423/000110465921130485/tm2131208d1_ex3-1.htm" TargetMode="External"/><Relationship Id="rId123" Type="http://schemas.openxmlformats.org/officeDocument/2006/relationships/hyperlink" Target="https://www.sec.gov/Archives/edgar/data/1342423/000114420410007241/v173157_ex3-8.htm" TargetMode="External"/><Relationship Id="rId124" Type="http://schemas.openxmlformats.org/officeDocument/2006/relationships/hyperlink" Target="https://www.sec.gov/Archives/edgar/data/1342423/000114420410007241/v173157_ex3-4.htm" TargetMode="External"/><Relationship Id="rId125" Type="http://schemas.openxmlformats.org/officeDocument/2006/relationships/hyperlink" Target="https://www.sec.gov/Archives/edgar/data/1342423/000114420410007241/v173157_ex3-5.htm" TargetMode="External"/><Relationship Id="rId126" Type="http://schemas.openxmlformats.org/officeDocument/2006/relationships/hyperlink" Target="https://www.sec.gov/Archives/edgar/data/1342423/000114420414017379/v372494_ex3-1.htm" TargetMode="External"/><Relationship Id="rId127" Type="http://schemas.openxmlformats.org/officeDocument/2006/relationships/hyperlink" Target="https://www.sec.gov/Archives/edgar/data/1342423/000134242322000038/lmnr-103122ex47.htm" TargetMode="External"/><Relationship Id="rId128" Type="http://schemas.openxmlformats.org/officeDocument/2006/relationships/hyperlink" Target="https://www.sec.gov/Archives/edgar/data/1342423/000114420410046536/v195082_ex10-1.htm" TargetMode="External"/><Relationship Id="rId129" Type="http://schemas.openxmlformats.org/officeDocument/2006/relationships/hyperlink" Target="https://www.sec.gov/Archives/edgar/data/1342423/000114420410046536/v195082_ex10-2.htm" TargetMode="External"/><Relationship Id="rId130" Type="http://schemas.openxmlformats.org/officeDocument/2006/relationships/hyperlink" Target="https://www.sec.gov/Archives/edgar/data/1342423/000114420410017415/v178900_ex10-24.htm" TargetMode="External"/><Relationship Id="rId132" Type="http://schemas.openxmlformats.org/officeDocument/2006/relationships/hyperlink" Target="https://www.sec.gov/Archives/edgar/data/1342423/000114420414017379/v372494_ex10-1.htm" TargetMode="External"/><Relationship Id="rId133" Type="http://schemas.openxmlformats.org/officeDocument/2006/relationships/hyperlink" Target="https://www.sec.gov/Archives/edgar/data/1342423/000114420415054410/v420019_ex10-1.htm" TargetMode="External"/><Relationship Id="rId134" Type="http://schemas.openxmlformats.org/officeDocument/2006/relationships/hyperlink" Target="https://www.sec.gov/Archives/edgar/data/1342423/000114420415065962/v424649_ex10-1.htm" TargetMode="External"/><Relationship Id="rId135" Type="http://schemas.openxmlformats.org/officeDocument/2006/relationships/hyperlink" Target="https://www.sec.gov/Archives/edgar/data/1342423/000114420415065962/v424649_ex10-3.htm" TargetMode="External"/><Relationship Id="rId136" Type="http://schemas.openxmlformats.org/officeDocument/2006/relationships/hyperlink" Target="https://www.sec.gov/Archives/edgar/data/1342423/000110465922084701/tm2221856d1_ex10-2.htm" TargetMode="External"/><Relationship Id="rId137" Type="http://schemas.openxmlformats.org/officeDocument/2006/relationships/hyperlink" Target="https://www.sec.gov/Archives/edgar/data/1342423/000110465924040501/tm249848d1_ex10-1.htm" TargetMode="External"/><Relationship Id="rId138" Type="http://schemas.openxmlformats.org/officeDocument/2006/relationships/hyperlink" Target="https://www.sec.gov/Archives/edgar/data/1342423/000110465922084701/tm2221856d1_ex10-3.htm" TargetMode="External"/><Relationship Id="rId139" Type="http://schemas.openxmlformats.org/officeDocument/2006/relationships/hyperlink" Target="https://www.sec.gov/Archives/edgar/data/1342423/000110465922084701/tm2221856d1_ex10-4.htm" TargetMode="External"/><Relationship Id="rId140" Type="http://schemas.openxmlformats.org/officeDocument/2006/relationships/hyperlink" Target="https://www.sec.gov/Archives/edgar/data/1342423/000110465922084701/tm2221856d1_ex10-5.htm" TargetMode="External"/><Relationship Id="rId141" Type="http://schemas.openxmlformats.org/officeDocument/2006/relationships/hyperlink" Target="https://www.sec.gov/Archives/edgar/data/1342423/000110465922111762/tm2228916d1_ex10-1.htm" TargetMode="External"/><Relationship Id="rId142" Type="http://schemas.openxmlformats.org/officeDocument/2006/relationships/hyperlink" Target="https://www.sec.gov/Archives/edgar/data/1342423/000110465922111762/tm2228916d1_ex10-2.htm" TargetMode="External"/><Relationship Id="rId143" Type="http://schemas.openxmlformats.org/officeDocument/2006/relationships/hyperlink" Target="https://www.sec.gov/Archives/edgar/data/1342423/000110465922112694/tm2229209d2_ex10-1.htm" TargetMode="External"/><Relationship Id="rId144" Type="http://schemas.openxmlformats.org/officeDocument/2006/relationships/hyperlink" Target="https://www.sec.gov/Archives/edgar/data/1342423/000110465922111555/tm2228945d1_ex10-2.htm" TargetMode="External"/><Relationship Id="rId145" Type="http://schemas.openxmlformats.org/officeDocument/2006/relationships/hyperlink" Target="https://www.sec.gov/Archives/edgar/data/1342423/000134242324000026/lmnr73124exhibit101.htm" TargetMode="External"/><Relationship Id="rId146" Type="http://schemas.openxmlformats.org/officeDocument/2006/relationships/hyperlink" Target="https://www.sec.gov/Archives/edgar/data/1342423/000134242324000026/lmnr73124exhibit102.htm" TargetMode="External"/><Relationship Id="rId147" Type="http://schemas.openxmlformats.org/officeDocument/2006/relationships/hyperlink" Target="https://www.sec.gov/Archives/edgar/data/1342423/000134242323000010/lmnr13123exhibit107.htm" TargetMode="External"/><Relationship Id="rId149" Type="http://schemas.openxmlformats.org/officeDocument/2006/relationships/hyperlink" Target="https://www.sec.gov/Archives/edgar/data/1342423/000110465923113864/tm2329759d1_ex10-1.htm" TargetMode="External"/><Relationship Id="rId150" Type="http://schemas.openxmlformats.org/officeDocument/2006/relationships/hyperlink" Target="https://www.sec.gov/Archives/edgar/data/1342423/000110465924082326/tm2420113d1_ex10-1.htm" TargetMode="External"/><Relationship Id="rId151" Type="http://schemas.openxmlformats.org/officeDocument/2006/relationships/hyperlink" Target="https://www.sec.gov/Archives/edgar/data/1342423/000110465924092145/tm2422511d1_ex10-1.htm" TargetMode="External"/><Relationship Id="rId152" Type="http://schemas.openxmlformats.org/officeDocument/2006/relationships/hyperlink" Target="https://www.sec.gov/Archives/edgar/data/1342423/000110465924092145/tm2422511d1_ex10-2.htm" TargetMode="External"/><Relationship Id="rId153" Type="http://schemas.openxmlformats.org/officeDocument/2006/relationships/hyperlink" Target="https://www.sec.gov/Archives/edgar/data/1342423/000134242324000035/lmnr103124ex1032.htm" TargetMode="External"/><Relationship Id="rId154" Type="http://schemas.openxmlformats.org/officeDocument/2006/relationships/hyperlink" Target="https://www.sec.gov/Archives/edgar/data/1342423/000134242324000035/lmnr103124ex1033.htm" TargetMode="External"/><Relationship Id="rId155" Type="http://schemas.openxmlformats.org/officeDocument/2006/relationships/hyperlink" Target="https://www.sec.gov/Archives/edgar/data/1342423/000110465925057828/tm2517481d1_ex10-1.htm" TargetMode="External"/><Relationship Id="rId156" Type="http://schemas.openxmlformats.org/officeDocument/2006/relationships/hyperlink" Target="https://www.sec.gov/Archives/edgar/data/1342423/000110465923126652/tm2333025d1_ex3-1.htm" TargetMode="External"/><Relationship Id="rId157" Type="http://schemas.openxmlformats.org/officeDocument/2006/relationships/hyperlink" Target="https://www.sec.gov/Archives/edgar/data/1342423/000110465925065035/tm2519605d1_ex10-1.htm" TargetMode="External"/><Relationship Id="rId158" Type="http://schemas.openxmlformats.org/officeDocument/2006/relationships/hyperlink" Target="https://www.sec.gov/Archives/edgar/data/1342423/000110465925065035/tm2519605d1_ex10-2.htm" TargetMode="External"/><Relationship Id="rId159" Type="http://schemas.openxmlformats.org/officeDocument/2006/relationships/hyperlink" Target="https://www.sec.gov/Archives/edgar/data/1342423/000110465925065035/tm2519605d1_ex10-3.htm" TargetMode="External"/><Relationship Id="rId160" Type="http://schemas.openxmlformats.org/officeDocument/2006/relationships/hyperlink" Target="https://www.sec.gov/Archives/edgar/data/1342423/000110465925121572/tm2533597d1_ex10-1.htm" TargetMode="External"/><Relationship Id="rId161" Type="http://schemas.openxmlformats.org/officeDocument/2006/relationships/hyperlink" Target="https://www.sec.gov/Archives/edgar/data/1342423/000110465925110919/tm2530989d1_ex10-1.htm" TargetMode="External"/><Relationship Id="rId162" Type="http://schemas.openxmlformats.org/officeDocument/2006/relationships/hyperlink" Target="https://www.sec.gov/Archives/edgar/data/1342423/000110465925110919/tm2530989d1_ex10-2.htm" TargetMode="External"/><Relationship Id="rId163" Type="http://schemas.openxmlformats.org/officeDocument/2006/relationships/hyperlink" Target="https://www.sec.gov/Archives/edgar/data/1342423/000110465925110919/tm2530989d1_ex10-3.htm" TargetMode="External"/><Relationship Id="rId164" Type="http://schemas.openxmlformats.org/officeDocument/2006/relationships/hyperlink" Target="https://www.sec.gov/Archives/edgar/data/1342423/000110465925110919/tm2530989d1_ex10-4.htm" TargetMode="External"/><Relationship Id="rId165" Type="http://schemas.openxmlformats.org/officeDocument/2006/relationships/hyperlink" Target="https://www.sec.gov/Archives/edgar/data/1342423/000134242324000035/lmnr103124ex1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2025-12-23T16:15:11Z</dcterms:created>
  <dcterms:modified xsi:type="dcterms:W3CDTF">2025-12-23T16:15:11Z</dcterms:modified>
</cp:coreProperties>
</file>