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33020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-172085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98" w:lineRule="exact"/>
        <w:rPr>
          <w:sz w:val="24"/>
          <w:szCs w:val="24"/>
          <w:color w:val="auto"/>
        </w:rPr>
      </w:pPr>
    </w:p>
    <w:p>
      <w:pPr>
        <w:ind w:left="3740" w:right="3020" w:hanging="3714"/>
        <w:spacing w:after="0" w:line="336" w:lineRule="auto"/>
        <w:tabs>
          <w:tab w:leader="none" w:pos="301"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25"/>
          <w:szCs w:val="25"/>
          <w:b w:val="1"/>
          <w:bCs w:val="1"/>
          <w:color w:val="auto"/>
        </w:rPr>
        <w:t>October 31,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860"/>
        <w:spacing w:after="0"/>
        <w:tabs>
          <w:tab w:leader="none" w:pos="66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001-34755</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-289560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8890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5" w:lineRule="exact"/>
        <w:rPr>
          <w:sz w:val="24"/>
          <w:szCs w:val="24"/>
          <w:color w:val="auto"/>
        </w:rPr>
      </w:pPr>
    </w:p>
    <w:p>
      <w:pPr>
        <w:ind w:left="2480"/>
        <w:spacing w:after="0"/>
        <w:tabs>
          <w:tab w:leader="none" w:pos="80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77-0260692</w:t>
      </w:r>
    </w:p>
    <w:p>
      <w:pPr>
        <w:spacing w:after="0" w:line="34" w:lineRule="exact"/>
        <w:rPr>
          <w:sz w:val="24"/>
          <w:szCs w:val="24"/>
          <w:color w:val="auto"/>
        </w:rPr>
      </w:pPr>
    </w:p>
    <w:p>
      <w:pPr>
        <w:ind w:left="880"/>
        <w:spacing w:after="0"/>
        <w:tabs>
          <w:tab w:leader="none" w:pos="7080" w:val="left"/>
        </w:tabs>
        <w:rPr>
          <w:sz w:val="20"/>
          <w:szCs w:val="20"/>
          <w:color w:val="auto"/>
        </w:rPr>
      </w:pPr>
      <w:r>
        <w:rPr>
          <w:rFonts w:ascii="Times New Roman" w:cs="Times New Roman" w:eastAsia="Times New Roman" w:hAnsi="Times New Roman"/>
          <w:sz w:val="16"/>
          <w:szCs w:val="16"/>
          <w:color w:val="auto"/>
        </w:rPr>
        <w:t>(State or other jurisdiction of incorporation or organization)</w:t>
      </w:r>
      <w:r>
        <w:rPr>
          <w:sz w:val="20"/>
          <w:szCs w:val="20"/>
          <w:color w:val="auto"/>
        </w:rPr>
        <w:tab/>
      </w:r>
      <w:r>
        <w:rPr>
          <w:rFonts w:ascii="Times New Roman" w:cs="Times New Roman" w:eastAsia="Times New Roman" w:hAnsi="Times New Roman"/>
          <w:sz w:val="16"/>
          <w:szCs w:val="16"/>
          <w:color w:val="auto"/>
        </w:rPr>
        <w:t>(I.R.S. Employer Identification Number)</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1141 Cummings Road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Santa Paula, CA 93060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525-5541</w:t>
      </w:r>
    </w:p>
    <w:p>
      <w:pPr>
        <w:spacing w:after="0" w:line="11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40" w:type="dxa"/>
            <w:vAlign w:val="bottom"/>
            <w:gridSpan w:val="5"/>
          </w:tcPr>
          <w:p>
            <w:pPr>
              <w:jc w:val="center"/>
              <w:ind w:right="26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60" w:type="dxa"/>
            <w:vAlign w:val="bottom"/>
          </w:tcPr>
          <w:p>
            <w:pPr>
              <w:spacing w:after="0"/>
              <w:rPr>
                <w:sz w:val="18"/>
                <w:szCs w:val="18"/>
                <w:color w:val="auto"/>
              </w:rPr>
            </w:pPr>
          </w:p>
        </w:tc>
        <w:tc>
          <w:tcPr>
            <w:tcW w:w="336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w w:val="99"/>
              </w:rPr>
              <w:t>Trading symbol</w:t>
            </w:r>
          </w:p>
        </w:tc>
        <w:tc>
          <w:tcPr>
            <w:tcW w:w="368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gridSpan w:val="3"/>
          </w:tcPr>
          <w:p>
            <w:pPr>
              <w:jc w:val="center"/>
              <w:ind w:right="160"/>
              <w:spacing w:after="0" w:line="183" w:lineRule="exact"/>
              <w:rPr>
                <w:sz w:val="20"/>
                <w:szCs w:val="20"/>
                <w:color w:val="auto"/>
              </w:rPr>
            </w:pPr>
            <w:r>
              <w:rPr>
                <w:rFonts w:ascii="Times New Roman" w:cs="Times New Roman" w:eastAsia="Times New Roman" w:hAnsi="Times New Roman"/>
                <w:sz w:val="16"/>
                <w:szCs w:val="16"/>
                <w:b w:val="1"/>
                <w:bCs w:val="1"/>
                <w:color w:val="auto"/>
              </w:rPr>
              <w:t>Common Stock, par value $0.01</w:t>
            </w:r>
          </w:p>
        </w:tc>
        <w:tc>
          <w:tcPr>
            <w:tcW w:w="1580" w:type="dxa"/>
            <w:vAlign w:val="bottom"/>
          </w:tcPr>
          <w:p>
            <w:pPr>
              <w:spacing w:after="0"/>
              <w:rPr>
                <w:sz w:val="15"/>
                <w:szCs w:val="15"/>
                <w:color w:val="auto"/>
              </w:rPr>
            </w:pPr>
          </w:p>
        </w:tc>
        <w:tc>
          <w:tcPr>
            <w:tcW w:w="178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LMNR</w:t>
            </w:r>
          </w:p>
        </w:tc>
        <w:tc>
          <w:tcPr>
            <w:tcW w:w="680" w:type="dxa"/>
            <w:vAlign w:val="bottom"/>
          </w:tcPr>
          <w:p>
            <w:pPr>
              <w:spacing w:after="0"/>
              <w:rPr>
                <w:sz w:val="15"/>
                <w:szCs w:val="15"/>
                <w:color w:val="auto"/>
              </w:rPr>
            </w:pPr>
          </w:p>
        </w:tc>
        <w:tc>
          <w:tcPr>
            <w:tcW w:w="30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83" w:lineRule="exact"/>
        <w:rPr>
          <w:sz w:val="24"/>
          <w:szCs w:val="24"/>
          <w:color w:val="auto"/>
        </w:rPr>
      </w:pPr>
    </w:p>
    <w:p>
      <w:pPr>
        <w:ind w:left="660" w:right="1900"/>
        <w:spacing w:after="0" w:line="28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jc w:val="both"/>
        <w:ind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jc w:val="both"/>
        <w:ind w:firstLine="648"/>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2"/>
        </w:trPr>
        <w:tc>
          <w:tcPr>
            <w:tcW w:w="21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2200" w:type="dxa"/>
            <w:vAlign w:val="bottom"/>
            <w:vMerge w:val="restart"/>
          </w:tcPr>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2440" w:type="dxa"/>
            <w:vAlign w:val="bottom"/>
            <w:vMerge w:val="restart"/>
          </w:tcPr>
          <w:p>
            <w:pPr>
              <w:ind w:left="4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21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Smaller reporting</w:t>
            </w:r>
          </w:p>
        </w:tc>
        <w:tc>
          <w:tcPr>
            <w:tcW w:w="1700" w:type="dxa"/>
            <w:vAlign w:val="bottom"/>
          </w:tcPr>
          <w:p>
            <w:pPr>
              <w:jc w:val="center"/>
              <w:ind w:left="479"/>
              <w:spacing w:after="0" w:line="162" w:lineRule="exact"/>
              <w:rPr>
                <w:sz w:val="20"/>
                <w:szCs w:val="20"/>
                <w:color w:val="auto"/>
              </w:rPr>
            </w:pPr>
            <w:r>
              <w:rPr>
                <w:rFonts w:ascii="Times New Roman" w:cs="Times New Roman" w:eastAsia="Times New Roman" w:hAnsi="Times New Roman"/>
                <w:sz w:val="16"/>
                <w:szCs w:val="16"/>
                <w:color w:val="auto"/>
              </w:rPr>
              <w:t>Emerging growth</w:t>
            </w:r>
          </w:p>
        </w:tc>
        <w:tc>
          <w:tcPr>
            <w:tcW w:w="0" w:type="dxa"/>
            <w:vAlign w:val="bottom"/>
          </w:tcPr>
          <w:p>
            <w:pPr>
              <w:spacing w:after="0"/>
              <w:rPr>
                <w:sz w:val="1"/>
                <w:szCs w:val="1"/>
                <w:color w:val="auto"/>
              </w:rPr>
            </w:pPr>
          </w:p>
        </w:tc>
      </w:tr>
      <w:tr>
        <w:trPr>
          <w:trHeight w:val="272"/>
        </w:trPr>
        <w:tc>
          <w:tcPr>
            <w:tcW w:w="2180" w:type="dxa"/>
            <w:vAlign w:val="bottom"/>
            <w:vMerge w:val="continue"/>
          </w:tcPr>
          <w:p>
            <w:pPr>
              <w:spacing w:after="0"/>
              <w:rPr>
                <w:sz w:val="23"/>
                <w:szCs w:val="23"/>
                <w:color w:val="auto"/>
              </w:rPr>
            </w:pPr>
          </w:p>
        </w:tc>
        <w:tc>
          <w:tcPr>
            <w:tcW w:w="2200" w:type="dxa"/>
            <w:vAlign w:val="bottom"/>
            <w:vMerge w:val="continue"/>
          </w:tcPr>
          <w:p>
            <w:pPr>
              <w:spacing w:after="0"/>
              <w:rPr>
                <w:sz w:val="23"/>
                <w:szCs w:val="23"/>
                <w:color w:val="auto"/>
              </w:rPr>
            </w:pPr>
          </w:p>
        </w:tc>
        <w:tc>
          <w:tcPr>
            <w:tcW w:w="2440" w:type="dxa"/>
            <w:vAlign w:val="bottom"/>
            <w:vMerge w:val="continue"/>
          </w:tcPr>
          <w:p>
            <w:pPr>
              <w:spacing w:after="0"/>
              <w:rPr>
                <w:sz w:val="23"/>
                <w:szCs w:val="23"/>
                <w:color w:val="auto"/>
              </w:rPr>
            </w:pPr>
          </w:p>
        </w:tc>
        <w:tc>
          <w:tcPr>
            <w:tcW w:w="2140" w:type="dxa"/>
            <w:vAlign w:val="bottom"/>
          </w:tcPr>
          <w:p>
            <w:pPr>
              <w:jc w:val="center"/>
              <w:ind w:right="39"/>
              <w:spacing w:after="0" w:line="184" w:lineRule="exact"/>
              <w:rPr>
                <w:sz w:val="20"/>
                <w:szCs w:val="20"/>
                <w:color w:val="auto"/>
              </w:rPr>
            </w:pPr>
            <w:r>
              <w:rPr>
                <w:rFonts w:ascii="Times New Roman" w:cs="Times New Roman" w:eastAsia="Times New Roman" w:hAnsi="Times New Roman"/>
                <w:sz w:val="16"/>
                <w:szCs w:val="16"/>
                <w:color w:val="auto"/>
                <w:w w:val="99"/>
              </w:rPr>
              <w:t xml:space="preserve">company </w:t>
            </w:r>
            <w:r>
              <w:rPr>
                <w:rFonts w:ascii="MS PGothic" w:cs="MS PGothic" w:eastAsia="MS PGothic" w:hAnsi="MS PGothic"/>
                <w:sz w:val="16"/>
                <w:szCs w:val="16"/>
                <w:color w:val="auto"/>
                <w:w w:val="99"/>
              </w:rPr>
              <w:t>☐</w:t>
            </w:r>
          </w:p>
        </w:tc>
        <w:tc>
          <w:tcPr>
            <w:tcW w:w="1700" w:type="dxa"/>
            <w:vAlign w:val="bottom"/>
          </w:tcPr>
          <w:p>
            <w:pPr>
              <w:jc w:val="center"/>
              <w:ind w:left="479"/>
              <w:spacing w:after="0" w:line="184" w:lineRule="exact"/>
              <w:rPr>
                <w:sz w:val="20"/>
                <w:szCs w:val="20"/>
                <w:color w:val="auto"/>
              </w:rPr>
            </w:pPr>
            <w:r>
              <w:rPr>
                <w:rFonts w:ascii="Times New Roman" w:cs="Times New Roman" w:eastAsia="Times New Roman" w:hAnsi="Times New Roman"/>
                <w:sz w:val="16"/>
                <w:szCs w:val="16"/>
                <w:color w:val="auto"/>
                <w:w w:val="99"/>
              </w:rPr>
              <w:t xml:space="preserve">company </w:t>
            </w: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bl>
    <w:p>
      <w:pPr>
        <w:spacing w:after="0" w:line="132" w:lineRule="exact"/>
        <w:rPr>
          <w:sz w:val="24"/>
          <w:szCs w:val="24"/>
          <w:color w:val="auto"/>
        </w:rPr>
      </w:pPr>
    </w:p>
    <w:p>
      <w:pPr>
        <w:ind w:right="20"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2" w:lineRule="exact"/>
        <w:rPr>
          <w:sz w:val="24"/>
          <w:szCs w:val="24"/>
          <w:color w:val="auto"/>
        </w:rPr>
      </w:pPr>
    </w:p>
    <w:p>
      <w:pPr>
        <w:ind w:left="66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0"/>
          <w:szCs w:val="20"/>
          <w:color w:val="auto"/>
        </w:rPr>
      </w:pPr>
    </w:p>
    <w:p>
      <w:pPr>
        <w:jc w:val="both"/>
        <w:ind w:firstLine="648"/>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Based on the closing price as reported on the NASDAQ Global Market, the aggregate market value of the registrant’s Common Stock held by non-affiliates on April 30, 2023 (the last business day of the registrant’s most recently completed second fiscal quarter) was approximately $204.0 million. Shares of Common Stock held by each executive officer and director and by each stockholder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2023 was 17,994,110.</w:t>
      </w:r>
    </w:p>
    <w:p>
      <w:pPr>
        <w:spacing w:after="0" w:line="8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for the 2024 Annual Meeting of Stockholders, which we intend to hold on March 26, 2024, are incorporated by reference into Part III of this Annual Report on Form 10-K. The definitive Proxy Statement will be filed within 120 days after 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6"/>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8"/>
          </w:tcPr>
          <w:p>
            <w:pPr>
              <w:jc w:val="center"/>
              <w:ind w:right="1560"/>
              <w:spacing w:after="0"/>
              <w:rPr>
                <w:sz w:val="20"/>
                <w:szCs w:val="20"/>
                <w:color w:val="auto"/>
              </w:rPr>
            </w:pPr>
            <w:r>
              <w:rPr>
                <w:rFonts w:ascii="Times New Roman" w:cs="Times New Roman" w:eastAsia="Times New Roman" w:hAnsi="Times New Roman"/>
                <w:sz w:val="22"/>
                <w:szCs w:val="22"/>
                <w:b w:val="1"/>
                <w:bCs w:val="1"/>
                <w:color w:val="auto"/>
                <w:w w:val="97"/>
              </w:rPr>
              <w:t>LIMONEIRA COMPANY</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8"/>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87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 Business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020" w:type="dxa"/>
            <w:vAlign w:val="bottom"/>
            <w:gridSpan w:val="18"/>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Properties</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3. Legal Proceedings</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7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6. Reserved</w:t>
            </w: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2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1600" w:type="dxa"/>
            <w:vAlign w:val="bottom"/>
            <w:gridSpan w:val="3"/>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2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600" w:type="dxa"/>
            <w:vAlign w:val="bottom"/>
            <w:gridSpan w:val="3"/>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2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6160" w:type="dxa"/>
            <w:vAlign w:val="bottom"/>
            <w:gridSpan w:val="12"/>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82</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Item 9B. Other Information</w:t>
            </w:r>
          </w:p>
        </w:tc>
        <w:tc>
          <w:tcPr>
            <w:tcW w:w="6160" w:type="dxa"/>
            <w:vAlign w:val="bottom"/>
            <w:gridSpan w:val="12"/>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5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3040" w:type="dxa"/>
            <w:vAlign w:val="bottom"/>
            <w:gridSpan w:val="5"/>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7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PART III</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7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3880" w:type="dxa"/>
            <w:vAlign w:val="bottom"/>
            <w:gridSpan w:val="7"/>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3880" w:type="dxa"/>
            <w:vAlign w:val="bottom"/>
            <w:gridSpan w:val="7"/>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9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6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9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14. Principal Accounting Fees and Services</w:t>
            </w:r>
          </w:p>
        </w:tc>
        <w:tc>
          <w:tcPr>
            <w:tcW w:w="5100" w:type="dxa"/>
            <w:vAlign w:val="bottom"/>
            <w:gridSpan w:val="10"/>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7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Part IV</w:t>
            </w:r>
          </w:p>
        </w:tc>
        <w:tc>
          <w:tcPr>
            <w:tcW w:w="24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2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Item 16. Form 10-K Summary</w:t>
            </w:r>
          </w:p>
        </w:tc>
        <w:tc>
          <w:tcPr>
            <w:tcW w:w="4820" w:type="dxa"/>
            <w:vAlign w:val="bottom"/>
            <w:gridSpan w:val="9"/>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87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4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r>
      <w:tr>
        <w:trPr>
          <w:trHeight w:val="851"/>
        </w:trPr>
        <w:tc>
          <w:tcPr>
            <w:tcW w:w="40" w:type="dxa"/>
            <w:vAlign w:val="bottom"/>
          </w:tcPr>
          <w:p>
            <w:pPr>
              <w:spacing w:after="0"/>
              <w:rPr>
                <w:sz w:val="24"/>
                <w:szCs w:val="24"/>
                <w:color w:val="auto"/>
              </w:rPr>
            </w:pPr>
          </w:p>
        </w:tc>
        <w:tc>
          <w:tcPr>
            <w:tcW w:w="1100" w:type="dxa"/>
            <w:vAlign w:val="bottom"/>
            <w:tcBorders>
              <w:top w:val="single" w:sz="8" w:color="0000FF"/>
            </w:tcBorders>
            <w:gridSpan w:val="6"/>
          </w:tcPr>
          <w:p>
            <w:pPr>
              <w:spacing w:after="0"/>
              <w:rPr>
                <w:sz w:val="24"/>
                <w:szCs w:val="24"/>
                <w:color w:val="auto"/>
              </w:rPr>
            </w:pPr>
          </w:p>
        </w:tc>
        <w:tc>
          <w:tcPr>
            <w:tcW w:w="4600" w:type="dxa"/>
            <w:vAlign w:val="bottom"/>
            <w:tcBorders>
              <w:top w:val="single" w:sz="8" w:color="CCEEFF"/>
            </w:tcBorders>
            <w:gridSpan w:val="17"/>
          </w:tcPr>
          <w:p>
            <w:pPr>
              <w:jc w:val="center"/>
              <w:ind w:left="4270"/>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24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statements which, to the extent that they do not recite historical fact, constitute forward-looking statements. These statements can be identified by the fact that they do not relate strictly to historical or current facts and may include the words “may,” “will,” “could,” “should,” “would,” “believe,” “expect,” “anticipate,” “estimate,” “intend,” “plan” or other words or expressions of similar meaning. We have based these forward-looking statements on our current expectations about future events. The forward-looking statements include statements that reflect management’s beliefs, plans, objectives, goals, expectations, anticipations and intentions with respect to our financial condition, results of operations, future performance and business, including statements relating to our business strategy and our current and future development plans.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risks and uncertainties that could cause our actual financial condition, results of operations and future performance to differ materially from those expressed or implied in this Annual Report include:</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executing the Company's business plans and strategies and managing the risks involved in the foregoing;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related to the COVID-19 pandemic and our Company's responses to the pandemic;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rules, quotas, tariffs and import laws;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responses to industry volume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from disease, insects and other pests;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water supplies or changes in water allocations;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global supply chain;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raw materials supplies and pricing;</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supply and pricing;</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impact of inflation;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for development activities;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for residential and commercial real estate development;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and economic crises;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conflict;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strikes, shortages or work stoppages;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rate movements;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covenants under our loan agreements;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important intellectual property rights;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factors disclosed in our public filings with the Securities and Exchange Commission (the “SEC”).</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this Annual Report contains industry data related to our business and the markets in which we operate. This data includes projections that are based on a number of assumptions. If these assumptions turn out to be incorrect, actual results could differ from the projections or estimates. We urge you to carefully review this Annual Report, particularly the section entitled “Risk Factors,” for a complete discussion of the risks of an investment in our common stock.</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 of activity, performance or achievements. Many factors discussed in this Annual Report, some of which are beyond our control, will be important in determining our future performance. Consequently, actual results may differ materially from those that might be anticipated from forward-looking statements. In light of these and other uncertainties, you should not regard the inclusion of a forward-looking statement in this Annual Report as a representation by us that our plans and objectives will be achieved, and you should not place undue reliance on such forward-looking statements. We undertake no obligation to publicly update or revise any forward-looking statements, whether as a result of new information, future events or otherwise, except as required by law.</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All references to “we,” “us,” “our,” “our Company,” “the Company,” or “Limoneira” in this Annual Report mean Limoneira Company, a Delaware corporation, and its consolidated subsidiaries.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Our business and operations are described below. For detailed financial information with respect to our business and our operations, see our consolidated financial statements and the related notes to consolidated financial statements, which are included in Item 8 in this Annual Report. In addition, general information concerning our Company can be found on our website at www.limoneira.com. All of our filings with the SEC, including but not limited to, Annual Reports on Form 10-K, Quarterly Reports on Form 10-Q, Current Reports on Form 8-K, and any amendments thereto, are available free of charge on our website as soon as reasonably practicable after such material is electronically filed with or furnished to the SEC. The contents of our website referred to above are not incorporated into this Annual Report. Further, any references to our website are intended to be interactive textual references only.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primarily an agribusiness company founded and based in Santa Paula, California, committed to responsibly using and managing our approximately 11,100 acres of land, water resources and other assets to maximize long-term stockholder value. Our current operations consist of fruit production, sales and marketing, rental operations, real estate and capital investment activities.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Agribusiness activities are performed through these four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111760</wp:posOffset>
            </wp:positionV>
            <wp:extent cx="5143500" cy="857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California’s oldest citrus growers. According to Sunkist Growers, Inc., we are one of the largest growers of lemons in the United States and, according to the California Avocado Commission, one of the largest growers of avocados in the United States. In addition to growing lemons and avocados, we grow oranges and other crops. We have agricultural plantings throughout Ventura and San Luis Obispo in California and Yuma County in Arizona, La Serena, Chile and Jujuy, Argentina, which collectively consist of approximately 3,500 acres of lemons, 1,200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 We use ground water from the San Joaquin Valley Basin and water from local water and irrigation districts in Tulare County, which is in California’s San Joaquin Valley. We used ground water from the Cadiz Valley Basin in California's San Bernardino County.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two real estate development projects in California. These projects include multi-family housing, single-family homes and apartments of approximately 800 units in various stages of planning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Fiscal Year 2023 Highlights and Recent Developments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10, 2022, we entered into a Purchase and Sale Agreement, as amended (the “Agreement”), with PGIM Real Estate Finance, LLC (“PGIM”) to sell 3,537 acres of land and citrus orchards in Tulare County, California (the “Northern Properties”) for an adjusted purchase price of approximately $100.0 million. The agreement became effective on January 25, 2023, when the Board of Directors (the “Board”) approved the Agreement, binding us to sell the Northern Properties and the transaction closed on January 31, 2023. We received net cash proceeds of approximately $98.4 million and recorded a gain of approximately $40.0 million. The proceeds were used primarily to pay down debt.</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2023, we entered into a Farm Management Agreement (the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we entered into a Grower Packing and Marketing Agreement to provide packing, marketing and selling services for lemons harvested on the Northern Properties for a minimum five-year term, subject to certain benchmarking standards.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31, 2023, the Company made funding contributions of $2.5 million to fully fund and settle the plan obligations of the Limoneira Company Retirement Plan.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30, 2022, we sold our Sevilla property, received net proceeds of $2.6 million and recorded an immaterial loss in the first quarter of fiscal year 2023.</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18, 2023, we entered into a Confidential Settlement Agreement and Release (the “Settlement Agreement”) with Southern California Edison and Edison International to formally resolve any and all claims related to the Thomas Fire in fiscal year 2018. Under the terms of the Settlement Agreement, the Company was awarded a total settlement of $9.0 million. On May 19, 2023, the Company received approximately $6.1 million, net of legal and related costs.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we determined that citrus farming operations were economically unviable on 670 acres of leased agricultural land at the Cadiz Ranch. As a result, we ceased farming operations, disposed of the related property, plant and equipment and recorded a loss on disposal of assets of $9.0 million in the second quarter of fiscal year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we engaged with YMIDD and the United States Bureau of Reclamation in a fallowing and forbearance program at our Associated Citrus Packers, Inc. (“Associated”) ranch in Yuma, Arizona. We expect to receive approximately $1.3 million annually, paid in quarterly installments, for fallowing approximately 600 acres out of 1,300 acres of farmland through calendar year 2025.</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Limoneira Lewis Community Builders, LLC (“LLCB”) closed on lot sales representing 121 residential units and we recorded equity in earnings of investments of $5.1 million for fiscal year 2023.</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2023, we announced the commencement of a strategic review process to explore potential alternatives aimed at maximizing stockholder value. Potential strategic alternatives could include, but not be limited to, a sale of all or parts of the Company and its assets, a merger or other transaction. The Board has not set a timetable for completion of the review and no transaction or other outcome is guaranteed to take place. At this time, we cannot predict the impact that such strategic alternatives might have on our business, operations or financial condition.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19, 2023, we declared a cash dividend of $0.075 per common share to be paid on January 12, 2024, in the aggregate amount of approximately $1.3 million to stockholders of record as of January 2,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has had an adverse impact on the industries and markets in which we conduct business. In particular, the United States lemon market saw a significant decline in volume, with lemon demand falling since widespread shelter in place orders were issued in March 2020, resulting in a significant market oversupply. The export market for fresh produce also significantly declined due to the COVID-19 pandemic impacts.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The decline in demand for our products beginning the second quarter of fiscal year 2020 has negatively impacted our sales and profitability for the last four fiscal years. The COVID-19 pandemic may continue to impact our sales and profitability in future periods. The duration of these trends and the magnitude of such impacts cannot be estimated at this time, as they are influenced by a number of factors, many of which are outside management’s control, including, but not limited, to those presented in Item 1A. Risk Factors of this Annual Report.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economic uncertainty as a result of the COVID-19 pandemic over the past four fiscal years, we have taken actions to improve our current liquidity position, including strategically selling certain assets, temporarily postponing capital expenditures and substantially reducing discretionary spending.</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continued uncertainty around the breadth and duration of our business disruptions related to the COVID-19 pandemic, as well as its impact on the U.S. economy and the ongoing business operations of our customers. The ongoing impact of the COVID-19 pandemic on our results of operations, financial condition, or liquidity for fiscal year 2024 and beyond cannot be estimated at this point. The following discussions are subject to the future effects of the COVID-19 pandemic on our ongoing business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other crops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Agribusiness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3429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808990</wp:posOffset>
            </wp:positionV>
            <wp:extent cx="5863590" cy="4063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Farming</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Lemons. </w:t>
      </w:r>
      <w:r>
        <w:rPr>
          <w:rFonts w:ascii="Times New Roman" w:cs="Times New Roman" w:eastAsia="Times New Roman" w:hAnsi="Times New Roman"/>
          <w:sz w:val="18"/>
          <w:szCs w:val="18"/>
          <w:color w:val="auto"/>
        </w:rPr>
        <w:t>We market and sell lemons directly to our food service, wholesale and retail customers throughout the United States, Canada, Asia, Australia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other international markets. We are one of the largest lemon growers in the United States with approximately 3,500 acres of lemons planted primarily in Ventura County, California and in Yuma County, Arizona. Ventura County is California’s top lemon producing county. Approximately 55% of our lemons are grown in Ventura County and 24% are grown in Yuma County. We also grow approximately 21% of our lemons near La Serena, Chile.</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many varieties of lemons, with the Lisbon, Eureka and Genoa being the predominant varieties marketed on a worldwide basis. Approximately 96% of our lemon plantings are of the Lisbon, Eureka and Genoa varieties and approximately 4% are of other varieties such as sweet Meyer lemons and Proprietary Seedless lemons. California-grown lemons are available throughout the year, with peak production periods occurring from January through August. The storage life of fresh lemons generally ranges from one to 18 weeks, depending upon the maturity of the fruit, the growing methods used and the handling conditions in the distribution chain.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Avocados. </w:t>
      </w:r>
      <w:r>
        <w:rPr>
          <w:rFonts w:ascii="Times New Roman" w:cs="Times New Roman" w:eastAsia="Times New Roman" w:hAnsi="Times New Roman"/>
          <w:sz w:val="18"/>
          <w:szCs w:val="18"/>
          <w:color w:val="auto"/>
        </w:rPr>
        <w:t>We are one of the largest avocado growers in the United States with approximately 1,200 acres of avocados planted throughout Ventura County.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California-grown avocados have peak production periods occurring between February and July. Because of superior eating quality, the Hass avocado has contributed greatly to the avocado’s growing popularity through its retail, restaurant and other food service uses. Approximately 95% of our avocado plantings are of the Hass variety. The storage life of fresh avocados generally ranges from one to four weeks, depending upon the maturity of the fruit, the growing methods used and the handling conditions in the distribution chain.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fiscal year 2021, the Company sold the majority of its avocado production to Calavo Growers, Inc. (“Calavo”), a packing and marketing company listed on the NASDAQ Global Select Market under the symbol CVGW. In February 2022, the Company terminated its Avocado Marketing Agreement and the associated Letter Agreement Regarding Fruit Commitment with Calavo to pursue opportunities with other packing and marketing companies.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Primarily related to differing soil conditions, the care of avocado trees is intensive. The need for more production per acre to compete with foreign sources of supply has required us to take an important lead in the practice of dense planting (typically four times the number of avocado trees per acre versus traditional avocado plantings) and mulching composition to help trees acclimate under conditions that more closely resemble those found in the tropics, a better climate for avocado growth.</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Agribusiness. </w:t>
      </w:r>
      <w:r>
        <w:rPr>
          <w:rFonts w:ascii="Times New Roman" w:cs="Times New Roman" w:eastAsia="Times New Roman" w:hAnsi="Times New Roman"/>
          <w:sz w:val="18"/>
          <w:szCs w:val="18"/>
          <w:color w:val="auto"/>
        </w:rPr>
        <w:t>We have approximately 100 acres of oranges planted near La Serena, Chile. Approximately 72% of our orange plantings are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Navel variety and approximately 28% are of the Valencia variety. We have approximately 400 acres of wine grapes. Additionally, we provide farm management services, which include farming, management and operations services mainly related to the Northern Properties.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Northern Properties sale, we utilized third-party packinghouses to process and pack our oranges. A portion of our oranges was marketed and sold under the Sunkist brand by Sunkist and orders were processed by Sunkist-member packinghouses. As an agricultural cooperative, Sunkist coordinated the sales and marketing of the oranges and specialty citrus and orders were processed by Sunkist-member packinghouses for direct shipment to customers.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market our wine grapes utilizing processors that are not members of agricultural cooperatives. Our wine grapes are harvested and sold to various wine producers.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Plantings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agricultural plantings on properties located in the United States, Chile and Argentina. The following is a description of our agriculture properties: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Ranch Name</w:t>
            </w: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County / State or</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Lemons</w:t>
            </w: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Avocados</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Oranges</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Wine Grapes</w:t>
            </w: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0" w:type="dxa"/>
            <w:vAlign w:val="bottom"/>
          </w:tcPr>
          <w:p>
            <w:pPr>
              <w:spacing w:after="0"/>
              <w:rPr>
                <w:sz w:val="1"/>
                <w:szCs w:val="1"/>
                <w:color w:val="auto"/>
              </w:rPr>
            </w:pPr>
          </w:p>
        </w:tc>
      </w:tr>
      <w:tr>
        <w:trPr>
          <w:trHeight w:val="243"/>
        </w:trPr>
        <w:tc>
          <w:tcPr>
            <w:tcW w:w="2460" w:type="dxa"/>
            <w:vAlign w:val="bottom"/>
            <w:gridSpan w:val="2"/>
            <w:vMerge w:val="continue"/>
          </w:tcPr>
          <w:p>
            <w:pPr>
              <w:spacing w:after="0"/>
              <w:rPr>
                <w:sz w:val="21"/>
                <w:szCs w:val="21"/>
                <w:color w:val="auto"/>
              </w:rPr>
            </w:pPr>
          </w:p>
        </w:tc>
        <w:tc>
          <w:tcPr>
            <w:tcW w:w="18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1160" w:type="dxa"/>
            <w:vAlign w:val="bottom"/>
            <w:gridSpan w:val="2"/>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Limoneira/Olivelands</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Ventura, CA</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 Campana</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 Farm</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Rancho La Cuesta</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Limco Del Mar</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Ventura, CA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Windfall Farms</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Luis Obispo,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Associated Citrus Packers</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Yuma, AZ</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Pan de Azucar &amp; San Pablo</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 Serena, Chile</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Clara</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Jujuy, Argentina</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agribusiness land</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Counties, CA</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2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Limoneira/Olivelands Ranch</w:t>
      </w:r>
      <w:r>
        <w:rPr>
          <w:rFonts w:ascii="Times New Roman" w:cs="Times New Roman" w:eastAsia="Times New Roman" w:hAnsi="Times New Roman"/>
          <w:sz w:val="18"/>
          <w:szCs w:val="18"/>
          <w:color w:val="auto"/>
        </w:rPr>
        <w:t xml:space="preserve"> is the original site of our Company. Our headquarters, lemon packing operations and storage facilities are located on this property.</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acres in the table above includes corporate and lemon packing facilities, land leased to other agricultural businesses, rental units, roads, creeks, hillsides and other open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Our orchards can maintain production for many years. For financial reporting purposes, we depreciate our orchards from 20 to 40 years depending on the fruit variety with the majority of our orchards depreciated over 20 to 30 years. We regularly evaluate our orchards’ production and growing costs and based on these and other factors, we may decide to redevelop certain orchards. In addition, we may acquire agricultural property with existing productive orchards or without productive orchards, which would require new orchard plantings. The fruit varieties that we grow are typically non-producing for approximately the first four to five years after the year of planting. Orchards may continue producing fruit longer than their depreciable lives. The following table presents the number of acres planted by fruit variety and approximate age of our orchards: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Age of Orchards</w:t>
            </w:r>
          </w:p>
        </w:tc>
        <w:tc>
          <w:tcPr>
            <w:tcW w:w="1300" w:type="dxa"/>
            <w:vAlign w:val="bottom"/>
            <w:tcBorders>
              <w:bottom w:val="single" w:sz="8" w:color="auto"/>
            </w:tcBorders>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0-5 Years</w:t>
            </w: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6-25 Years</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Over 25 Years</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Wine grapes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Lemon Packing and Sales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one of the oldest continuous lemon packing operations in North America. We pack and sell lemons grown by us as well as lemons grown by others, the operations of which are included in our financial statements under the lemon packing segment. Lemons delivered to our packinghouses in Santa Paula, California and Yuma, Arizona are sized, graded, cooled, ripened and packed for delivery to customers. Our ability to accurately estimate the size, grade and timing of the delivery of the annual lemon crop has a substantial impact on both our costs and the sales price we receive for the fruit.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costs related to our lemon packing operation is fixed. We invest considerable time and research into refining and improving our lemon packing through innovation and are continuously searching for new techniques to refine how premium lemons are delivered to our consumers. Our strategy for growing the profitability of our lemon packing operations calls for optimizing the percentage of a crop that goes to the fresh market, or fresh utilization, and procuring a larger percentage of the California and Arizona lemon crop.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Operations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rental operations include our residential and commercial rentals, leased land operations and organic recycling.</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and maintain 238 residential housing units located in Ventura County in California that we lease to employees, former employees and outside tenants. We also own several commercial office buildings. These properties generate reliable cash flows that we use to partially fund the operating costs of our business. As of October 31, 2023, we lease approximately 400 acres of our land to third-party agricultural tenants who grow a variety of row crops. Our leased land business provides us with a profitable method to diversify the use of our land. We also partner with one of our tenants and have an organic recycling facility on our land in Ventura County. Effective November 1, 2021, we also lease our 1,200-acre Santa Clara ranch in Argentina.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Development Summary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real estate investments in California agricultural and developable real estate. Our current real estate developments include developable land parcels, multi-family housing and single-family homes with approximately 800 units in various stages of planning and development. The following is a summary of each of the strategic real estate investment properties in which we own an interest: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East Area I - Santa Paula, California. </w:t>
      </w:r>
      <w:r>
        <w:rPr>
          <w:rFonts w:ascii="Times New Roman" w:cs="Times New Roman" w:eastAsia="Times New Roman" w:hAnsi="Times New Roman"/>
          <w:sz w:val="18"/>
          <w:szCs w:val="18"/>
          <w:color w:val="auto"/>
        </w:rPr>
        <w:t>East Area I consists of 523 acres that we historically used as agricultural land and is located in Santa Paula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approximately ten miles from the City of Ventura and the Pacific Ocean. This property was formerly known as our Teague McKevett Ranch. East Area I is the location for our master planned community of commercial and residential properties, named </w:t>
      </w:r>
      <w:r>
        <w:rPr>
          <w:rFonts w:ascii="Times New Roman" w:cs="Times New Roman" w:eastAsia="Times New Roman" w:hAnsi="Times New Roman"/>
          <w:sz w:val="18"/>
          <w:szCs w:val="18"/>
          <w:i w:val="1"/>
          <w:iCs w:val="1"/>
          <w:color w:val="auto"/>
        </w:rPr>
        <w:t>Harvest at Limoneira</w:t>
      </w:r>
      <w:r>
        <w:rPr>
          <w:rFonts w:ascii="Times New Roman" w:cs="Times New Roman" w:eastAsia="Times New Roman" w:hAnsi="Times New Roman"/>
          <w:sz w:val="18"/>
          <w:szCs w:val="18"/>
          <w:color w:val="auto"/>
        </w:rPr>
        <w:t>, designed to satisfy expected demand in a region that we believe will have few other developments in this coming decade.</w:t>
      </w:r>
    </w:p>
    <w:p>
      <w:pPr>
        <w:spacing w:after="0" w:line="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November 2015, we entered into a joint venture with the Lewis Group of Companies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The first phase of the project broke ground to commence mass grading in November 2017. Approved project plans include approximately 1,500 residential units and site improvements. A total of 707 residential units have closed from the project's inception to October 31, 2023.</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we entered into another joint venture with Lewis for the development of our 17-acre East Area I Retained Property (“Retained Property”), which is located within the East Area I property. We formed LLCB II, LLC as the development entity, contributed our Retained Property to the joint venture and sold a 50% interest to Lewis for approximately $8.0 million. In connection with the closing, we amended LLCB’s Limited Liability Company Agreement to provide that LLCB is to include the processing of final approval for additional residential units to be developed and constructed on the Retained Property.</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joint venture partners will share in capital contributions to fund project costs until loan proceeds and/or revenues are sufficient to fund the projects. Since inception, each partner has made funding contributions of $21.4 million to LLCB and $0.5 million to LLCB II. We expect to receive approximately $123.0 million from LLCB, LLCB II and East Area II over the next seven years of the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80645</wp:posOffset>
            </wp:positionV>
            <wp:extent cx="6000750" cy="3429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0" cy="342900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East Area II - Santa Paula, California. </w:t>
      </w:r>
      <w:r>
        <w:rPr>
          <w:rFonts w:ascii="Times New Roman" w:cs="Times New Roman" w:eastAsia="Times New Roman" w:hAnsi="Times New Roman"/>
          <w:sz w:val="18"/>
          <w:szCs w:val="18"/>
          <w:color w:val="auto"/>
        </w:rPr>
        <w:t>Our design associates and we are in the process of formulating plans for East Area II, a parcel of approximately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acres adjacent to East Area I. In July 2021, we entered into a non-binding letter of intent to sell approximately 25 acres of our East Area II property in five staged purchases to an investment company for the purpose of constructing a medical campus consisting of medical office buildings and an acute care hospital. Completion of the transaction is subject to the execution of a purchase and sale agreement and resolution of certain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83820</wp:posOffset>
            </wp:positionV>
            <wp:extent cx="4286250" cy="3000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862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Santa Maria - Santa Barbara County, California. </w:t>
      </w:r>
      <w:r>
        <w:rPr>
          <w:rFonts w:ascii="Times New Roman" w:cs="Times New Roman" w:eastAsia="Times New Roman" w:hAnsi="Times New Roman"/>
          <w:sz w:val="18"/>
          <w:szCs w:val="18"/>
          <w:color w:val="auto"/>
        </w:rPr>
        <w:t>In fiscal year 2020, we entered into an agreement to sell our Sevilla property for $2.7 million,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closed in the first quarter of fiscal year 2023.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Competitive Strengths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agricultural operations dating back to 1893, we are one of California’s oldest citrus growers and one of the largest growers of lemons and avocados in the United States. Consequently, we have developed significant experience with a variety of crops, mainly lemons and avocados. The following is a brief list of what we believe are our significant competitive strengths with respect to our agribusiness operations:</w:t>
      </w:r>
    </w:p>
    <w:p>
      <w:pPr>
        <w:spacing w:after="0" w:line="108" w:lineRule="exact"/>
        <w:rPr>
          <w:sz w:val="20"/>
          <w:szCs w:val="20"/>
          <w:color w:val="auto"/>
        </w:rPr>
      </w:pPr>
    </w:p>
    <w:p>
      <w:pPr>
        <w:ind w:left="82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agricultural properties in Ventura County are located near the Pacific Ocean, which provides an ideal environment for growing lemons, avocados and row crops. Our agricultural properties in Yuma, Arizona, are also located in an area that is well-suited for growing citrus crops.</w:t>
      </w:r>
    </w:p>
    <w:p>
      <w:pPr>
        <w:spacing w:after="0" w:line="13"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higher percentage of our crops goes to the fresh market, which is commonly referred to as fresh utilization, than that of other growers and packers with which we compete.</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contiguous and nearby land resources that permit us to efficiently use our agricultural land and resources.</w:t>
      </w:r>
    </w:p>
    <w:p>
      <w:pPr>
        <w:spacing w:after="0" w:line="90"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but one of our properties, we are not dependent on State or Federal water projects to support our agribusiness or real estate development operations.</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majority of our agricultural land and take a long view on our fruit production practices.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amount of our agribusiness property was acquired many years ago, which results in a low-cost basis and associated expenses.</w:t>
      </w:r>
    </w:p>
    <w:p>
      <w:pPr>
        <w:spacing w:after="0" w:line="90"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fresh lemons and lemon packing segments, our integrated business model with respect to growing, packing, marketing and selling citrus allows us to better serve our customers.</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lemon packing operations provide marketing opportunities with other citrus companies and their respective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2" w:name="page13"/>
    <w:bookmarkEnd w:id="12"/>
    <w:p>
      <w:pPr>
        <w:jc w:val="both"/>
        <w:ind w:left="820" w:hanging="488"/>
        <w:spacing w:after="0" w:line="255"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investments in ground-based solar projects that provide us with tangible and intangible non-revenue generating benefits. The electricity generated by these investments provides us with a significant portion of the electricity required to operate our packinghouse and cold storage facilities located in Santa Paula, California. Additionally, these investments support our sustainable agricultural practices, reduce our dependence on fossil-based electricity generation and lower our carbon footprint. Moreover, electricity that we generate and do not use is conveyed back to the utility companies. Finally, over time, we expect that our customers and the end consumers of our fruit will value the investments that we have made in renewable energy as a part of our packing operations, which we believe may help us differentiate our products from similar commodities.</w:t>
      </w:r>
    </w:p>
    <w:p>
      <w:pPr>
        <w:spacing w:after="0" w:line="40"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various other investments in water rights and mutual water companies. We own shares in the following mutual water companies: Farmers Irrigation Co., Canyon Irrigation Co., San Cayetano Mutual Water Co. and Middle Road Mutual Water Co. Additionally, we acquired water rights in the adjudicated Santa Paula Basin (aquifer), the YMIDD and in Chile.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real estate development operations, we believe our competitive advantages are as follows:</w:t>
      </w:r>
    </w:p>
    <w:p>
      <w:pPr>
        <w:spacing w:after="0" w:line="144" w:lineRule="exact"/>
        <w:rPr>
          <w:sz w:val="20"/>
          <w:szCs w:val="20"/>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entitlements to build approximately 1,500 residential units in our East Area I development.</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partnered with an experienced and financially strong land developer for our East Area I residential master plan development.</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our agricultural and real estate investment properties are unique and carry longer-term development potential.</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East Area II property has approximately 30 acres of land commercially zoned, which is adjacent to our East Area I property.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agribusiness and real estate development company that generates revenue and annual cash flows to support investments in agricultural efficiencies and real estate development activities. As our agricultural and non-strategic real estate development investments are monetized, we intend to use the cash flow to reduce existing debt, invest in farming efficiencies and expand packing capacities through our One World of Citrus Asset Lighter Business Model. We will also use more third-party grower and supplier fruit to reduce the impact of pricing volatility and rising farming costs.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asset-lighter model will enable us to achieve revenue and cash flow growth by reducing investment risk in North and South America, generating more stable and higher growth in cash flow and earnings, and improving our annual return on invested 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key elements of our business strategy.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agribusiness operations, key elements of our strategy are:</w:t>
      </w:r>
    </w:p>
    <w:p>
      <w:pPr>
        <w:spacing w:after="0" w:line="15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our One World of Citrus Asset Lighter Business Model in three main channels:</w:t>
      </w:r>
    </w:p>
    <w:p>
      <w:pPr>
        <w:spacing w:after="0" w:line="10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Growing, packing, marketing and distributing fruit grown on our properties;</w:t>
      </w:r>
    </w:p>
    <w:p>
      <w:pPr>
        <w:spacing w:after="0" w:line="84" w:lineRule="exact"/>
        <w:rPr>
          <w:rFonts w:ascii="Arial" w:cs="Arial" w:eastAsia="Arial" w:hAnsi="Arial"/>
          <w:sz w:val="22"/>
          <w:szCs w:val="22"/>
          <w:color w:val="auto"/>
        </w:rPr>
      </w:pPr>
    </w:p>
    <w:p>
      <w:pPr>
        <w:ind w:left="1300" w:hanging="320"/>
        <w:spacing w:after="0"/>
        <w:tabs>
          <w:tab w:leader="none" w:pos="1300" w:val="left"/>
        </w:tabs>
        <w:numPr>
          <w:ilvl w:val="1"/>
          <w:numId w:val="7"/>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Utilizing third-party grower fruit by packing, marketing and distributing their fruit through Limoneira channels; and</w:t>
      </w:r>
    </w:p>
    <w:p>
      <w:pPr>
        <w:spacing w:after="0" w:line="71" w:lineRule="exact"/>
        <w:rPr>
          <w:rFonts w:ascii="Arial" w:cs="Arial" w:eastAsia="Arial" w:hAnsi="Arial"/>
          <w:sz w:val="22"/>
          <w:szCs w:val="22"/>
          <w:color w:val="auto"/>
        </w:rPr>
      </w:pPr>
    </w:p>
    <w:p>
      <w:pPr>
        <w:ind w:left="1300" w:hanging="320"/>
        <w:spacing w:after="0"/>
        <w:tabs>
          <w:tab w:leader="none" w:pos="1300" w:val="left"/>
        </w:tabs>
        <w:numPr>
          <w:ilvl w:val="1"/>
          <w:numId w:val="7"/>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Marketing and distributing brokered fruit.</w:t>
      </w:r>
    </w:p>
    <w:p>
      <w:pPr>
        <w:spacing w:after="0" w:line="13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intend to strategically sell certain assets to reduce existing debt, increase farming efficiencies and expand packing capabilities. Increased volume of fruit sales is expected to be fueled by sourcing from third-party growers and suppliers, thus mitigating the volatility that commodity pricing has on growers.</w:t>
      </w:r>
    </w:p>
    <w:p>
      <w:pPr>
        <w:spacing w:after="0" w:line="106"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Sources of Lemon Supply. </w:t>
      </w:r>
      <w:r>
        <w:rPr>
          <w:rFonts w:ascii="Times New Roman" w:cs="Times New Roman" w:eastAsia="Times New Roman" w:hAnsi="Times New Roman"/>
          <w:sz w:val="18"/>
          <w:szCs w:val="18"/>
          <w:color w:val="auto"/>
        </w:rPr>
        <w:t>Peak lemon production occurs at different times of the year depending on geographic region.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lemon production in California and Arizona and lemons we acquire from domestic third-party growers and suppliers, we have expanded our lemon supply sources to international markets such as Mexico, Chile and Argentina. Increases in lemons procured from third-party growers and suppliers and international sources improve our ability to provide our customers with fresh lemons throughout the year.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 w:name="page14"/>
    <w:bookmarkEnd w:id="13"/>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the Volume of our Lemon Packing Operations</w:t>
      </w:r>
      <w:r>
        <w:rPr>
          <w:rFonts w:ascii="Times New Roman" w:cs="Times New Roman" w:eastAsia="Times New Roman" w:hAnsi="Times New Roman"/>
          <w:sz w:val="18"/>
          <w:szCs w:val="18"/>
          <w:color w:val="auto"/>
        </w:rPr>
        <w:t>. We regularly monitor our costs for redundancies and opportunities for cost reductions.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regard, cost per carton is a function of throughput. We continually seek to acquire additional lemons from third-party growers and suppliers to pack through our packing facilities. Third-party growers and suppliers are only added if we determine their fruit is of good quality and can be cost effective for both the grower and us. Of most importance is the overall fresh utilization rate for our fruit, which is directly related to quality.</w:t>
      </w:r>
    </w:p>
    <w:p>
      <w:pPr>
        <w:spacing w:after="0" w:line="3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International Sales and Marketing of Lemons</w:t>
      </w:r>
      <w:r>
        <w:rPr>
          <w:rFonts w:ascii="Times New Roman" w:cs="Times New Roman" w:eastAsia="Times New Roman" w:hAnsi="Times New Roman"/>
          <w:sz w:val="18"/>
          <w:szCs w:val="18"/>
          <w:color w:val="auto"/>
        </w:rPr>
        <w:t>. We estimate that we currently have approximately 15% of the fresh lemon market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and a larger share of the United States lemon export market. We intend to explore opportunities to expand our international sales and marketing of lemons. We have the ability to supply a wide range of customers and markets and, because we produce high quality lemons, we can export our lemons to international customers, which many of our competitors are unable to supply.</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Opportunistically Expand our Plantings of Avocados</w:t>
      </w:r>
      <w:r>
        <w:rPr>
          <w:rFonts w:ascii="Times New Roman" w:cs="Times New Roman" w:eastAsia="Times New Roman" w:hAnsi="Times New Roman"/>
          <w:sz w:val="18"/>
          <w:szCs w:val="18"/>
          <w:color w:val="auto"/>
        </w:rPr>
        <w:t>. Our plantings of avocados have been profitable and have been pursued to diversify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line. Agricultural land that we believe is not suitable for lemons is typically planted with avocados or other crops. While we expand our avocado plantings, we expect to do so on an opportunistic basis in locations that we believe offer a record of historical profitability.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rental operations and real estate development activities, key elements of our strategy include the following:</w:t>
      </w:r>
    </w:p>
    <w:p>
      <w:pPr>
        <w:spacing w:after="0" w:line="156" w:lineRule="exact"/>
        <w:rPr>
          <w:sz w:val="20"/>
          <w:szCs w:val="20"/>
          <w:color w:val="auto"/>
        </w:rPr>
      </w:pPr>
    </w:p>
    <w:p>
      <w:pPr>
        <w:ind w:left="66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Rental and Housing Units</w:t>
      </w:r>
      <w:r>
        <w:rPr>
          <w:rFonts w:ascii="Times New Roman" w:cs="Times New Roman" w:eastAsia="Times New Roman" w:hAnsi="Times New Roman"/>
          <w:sz w:val="18"/>
          <w:szCs w:val="18"/>
          <w:color w:val="auto"/>
        </w:rPr>
        <w:t>. Our housing, commercial and land rental operations provide us with a consistent, dependable source of cash flow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helps to fund our overall activities. Additionally, we believe our housing rental operation allows us to offer a unique benefit to our employees.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Opportunistically Lease Land to Third-Party Crop Farmers</w:t>
      </w:r>
      <w:r>
        <w:rPr>
          <w:rFonts w:ascii="Times New Roman" w:cs="Times New Roman" w:eastAsia="Times New Roman" w:hAnsi="Times New Roman"/>
          <w:sz w:val="18"/>
          <w:szCs w:val="18"/>
          <w:color w:val="auto"/>
        </w:rPr>
        <w:t>. We regularly monitor the profitability of our fruit-producing acreage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per acre returns. When we determine that leasing the land to third-party row crop farmers would be more profitable than farming the land, we intend to seek third-party row crop tenants.</w:t>
      </w:r>
    </w:p>
    <w:p>
      <w:pPr>
        <w:spacing w:after="0" w:line="2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Selectively and Responsibly Develop our Agricultural Land</w:t>
      </w:r>
      <w:r>
        <w:rPr>
          <w:rFonts w:ascii="Times New Roman" w:cs="Times New Roman" w:eastAsia="Times New Roman" w:hAnsi="Times New Roman"/>
          <w:sz w:val="18"/>
          <w:szCs w:val="18"/>
          <w:color w:val="auto"/>
        </w:rPr>
        <w:t>. We recognize that long-term strategies are required for successful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activities. We thus intend to maintain our position as a responsible agricultural landowner and major employer in Ventura County while focusing our real estate development activities on those agricultural land parcels that we believe offer the best opportunities to demonstrate our long-term vision for our community.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and sell our lemons directly to our food service, wholesale and retail customers in the United States, Canada, Asia, Australia, Europe and certain other international markets. We sold lemons to approximately 190 U.S. and international customers during fiscal year 2023. We sell our avocados and oranges to third-party packinghouses and our wine grapes to wine producers.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agribusiness crop markets are intensely competitive, but no single producer has any significant market power over any market segments, as is consistent with the production of most agricultural commodities. Generally, there are a large number of global producers that sell through joint marketing organizations and cooperatives. Fruit is also sold to independent packers, both public and private, who then sell to their own customer base. Customers are typically large retail chains, food service companies, industrial manufacturers and distributors who sell and deliver to smaller customers in local markets throughout the world. In the purest sense, our largest competitors in our agribusiness segments are other citrus and avocado producers in California, Mexico, Chile, Argentina and Florida, a number of which are members of cooperatives such as Sunkist or have selling relationships with third-party packinghouses similar to that of Limoneira. Our lemons and oranges also compete with other fruits and vegetables for the share of consumer expenditures devoted to fresh fruit and vegetables: apples, pears, melons, pineapples and other tropical fruit. Avocado products compete in the supermarket with hummus products and other dips and salsas. For our specific crops, the size of the U.S. market is approximately $586 million for lemons, both fresh and juice, approximately $500 million for avocados, and approximately $1.5 billion for oranges, both fresh and juice. Competition in the various agribusiness markets is affected by reliability of supply, product quality, brand recognition and perception, price and the ability to satisfy changing customer preferences through innovative product offerings.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sale and leasing of residential, commercial and industrial real estate is very competitive, with competition coming from numerous and varied sources throughout California. Our greatest direct competition for each of our current real estate development properties in Ventura County comes from other residential and commercial developments in nearby areas.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 and Raw Materials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fresh lemons and lemon packing segments, paper is considered a material raw product for our business because most of our products are packed in cardboard cartons for shipment. Paper is readily available and we have numerous suppliers for such material. In our agribusiness division, petroleum-based products such as herbicides and pesticides are considered raw materials and we have numerous suppliers for these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numerous trademarks and brands under which we market and sell our fruits, particularly lemons, domestically and internationally, many of which have been owned for decades. The material brands of Limoneira lemons include, but are not limited to, One World of Citrus®, Santa®, Paula®, Bridal Veil®, Fountain®, Golden Bowl® and Level®. These trademarks are owned by us and registered with the United States Patent and Trademark Office. We also acquired certain lemon brands with acquisitions, including Kiva®, Kachina®, Oxnard Lemon and Trapani Fresh.</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with any agribusiness enterprise, our agribusiness operations are predominantly seasonal in nature. The harvest and sale of our lemons, avocados, oranges and other crops occurs in all quarters, but is generally more concentrated during our third quarter. Our lemons are generally grown and marketed throughout the year, our avocados are primarily sold from January through August and our wine grapes are primarily sold in September and October.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Matters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agribusiness and real estate development divisions are subject to a broad range of evolving federal, state and local environmental laws and regulations. For example, the growing, packing, storing and distributing of our products is extensively regulated by various federal and state agencies. The California State Department of Food and Agriculture oversees our packing and processing of lemons and conducts tests for fruit quality and packaging standards. We are also subject to laws and regulations that govern the use of pesticides and other potentially hazardous substances and the treatment, handling, storage and disposal of materials and waste and the remediation of contaminated properties. Advertising of our products is subject to regulation by the Federal Trade Commission and our operations are subject to certain health and safety regulations, including those issued under the Occupational Safety and Health Act.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for necessary permits and licenses. Our failure to comply with applicable laws and regulations or obtain any necessary permits and licenses could subject us to civil remedies including fines, injunctions, recalls or seizures, as well as potential criminal sanctions. These remedies can increase costs, decrease revenues and lead to additional charges to earnings, which may have a material adverse effect on our business, results of operations and financial condition.</w:t>
      </w:r>
    </w:p>
    <w:p>
      <w:pPr>
        <w:spacing w:after="0" w:line="106" w:lineRule="exact"/>
        <w:rPr>
          <w:sz w:val="20"/>
          <w:szCs w:val="20"/>
          <w:color w:val="auto"/>
        </w:rPr>
      </w:pPr>
    </w:p>
    <w:p>
      <w:pPr>
        <w:ind w:right="1520"/>
        <w:spacing w:after="0" w:line="422" w:lineRule="auto"/>
        <w:rPr>
          <w:sz w:val="20"/>
          <w:szCs w:val="20"/>
          <w:color w:val="auto"/>
        </w:rPr>
      </w:pPr>
      <w:r>
        <w:rPr>
          <w:rFonts w:ascii="Times New Roman" w:cs="Times New Roman" w:eastAsia="Times New Roman" w:hAnsi="Times New Roman"/>
          <w:sz w:val="18"/>
          <w:szCs w:val="18"/>
          <w:color w:val="auto"/>
        </w:rPr>
        <w:t xml:space="preserve">For a discussion of the various risks we face from regulation and compliance matters, see Item 1A. Risk Factors of this Annual Report. </w:t>
      </w:r>
      <w:r>
        <w:rPr>
          <w:rFonts w:ascii="Times New Roman" w:cs="Times New Roman" w:eastAsia="Times New Roman" w:hAnsi="Times New Roman"/>
          <w:sz w:val="18"/>
          <w:szCs w:val="18"/>
          <w:b w:val="1"/>
          <w:bCs w:val="1"/>
          <w:color w:val="auto"/>
        </w:rPr>
        <w:t>Human Capital Resources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2023, we had 257 employees, of which 100 were salaried and 157 were hourly. None of our employees are subject to a collective bargaining agreement. We believe that our relations with our employees are good.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an environment of diversity, inclusion and belonging fosters innovation, strengthens our global workforce, and drives our ability to serve customers. Our global presence is strengthened by having a workforce that reflects the diversity of the customers we serve and by maintaining an environment in which such diversity contributes to our mission.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Limoneira is committed to protecting the human rights, safety and dignity of the people who contribute to the success of our business. We are committed to improving the lives of all our stakeholders by helping to provide access to our products and increasing the diversity of our workforce. We also seek to support the welfare of the people who produce, process and harvest the products we sell. We have several diversity, inclusion and belonging efforts and programs to better ensure that we are supporting our employees.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Limoneira’s overall culture emphasizes the health and safety of our employees and the customers we serve. Limoneira has an Illness and Injury Prevention Plan (IIPP), a Safety Guide and conforms to and follows regulations and guidelines set forth by OSHA in all facilities and operations. Where a particular jurisdiction's guidelines, such as Cal/OSHA, are different from the OSHA standard, Limoneira adheres to the most extensive guidelines. We have excellent results from our safety programs compared to similar companies within our industry.</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strive to be a great place for our employees to work and live. We offer competitive pay and best-in-class benefits, including a 401k plan with matching contribution opportunities, comprehensive paid healthcare plans, wellness programs and tuition reimbursement.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and maintain 238 residential housing units located in Ventura County, California. We lease these housing units to employees, former employees and outside tenants. Our residential units provide affordable housing to many of our employees, including our agribusiness employees. Employees live close to their work, which reduces traffic and commuting times. This unique employment benefit helps us maintain a dependable, long-term employee base. We partner with some local schools to provide transportation for residents.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Approach</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our evaluation of potential strategic alternatives to enhance value for stockholders will be successful; and there may be negative impacts on our business and stock price as a result of the process of exploring strategic alternatives.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 2023, the Company announced the commencement of a process to explore strategic alternatives, which could include, but not be limited to, a sale of all or parts of the Company, merger or other transaction. The Board has not set a timetable for the completion of this review process and there can be no assurance that it will result in any transaction or outcome. Whether the process will result in any additional transactions, our ability to complete any transaction, and if our Board decides to pursue one or more transactions, will depend on numerous factors, some of which are beyond our control. Such factors include the interest of potential acquirers or strategic partners in a potential transaction, the value potential acquirers or strategic partners attribute to our businesses and their respective prospects, market conditions, interest rates and industry trends.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 price may be adversely affected if the evaluation does not result in additional transactions or if one or more transactions are consummated on terms that investors view as unfavorable to us. Even if one or more additional transactions are completed, there can be no assurance that any such transactions will be successful or have a positive effect on stockholder value. Our Board may also determine that no additional transaction is in the best interest of our stockholders. In addition, our financial results and operations could be adversely affected by the strategic process and by the uncertainty regarding its outcome.</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attention of management and our Board could be diverted from our core business operations. We have diverted capital and other resources to the process that otherwise could have been used in our business operations, and we will continue to do so until the process is completed.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incur substantial expenses associated with identifying and evaluating potential strategic alternatives, including those related to employee retention payments, equity compensation, severance pay and legal, accounting and financial advisor fees. In addition, the process could lead us to lose or fail to attract, retain and motivate key employees, and to lose or fail to attract customers or business partners. Furthermore, it could expose us to litigation. The public announcement of a strategic alternative may also yield a negative impact on operating results if prospective or existing service providers are reluctant to commit to new or renewal contracts or if existing customers decide to move their business to a competitor.</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intend to disclose developments or provide updates on the progress or status of the strategic process until our Board deems further disclosure is appropriate or required. Accordingly, speculation regarding any developments related to the review of strategic alternatives and perceived uncertainties related to the future of the Company could cause our stock price to fluctuate significantly.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Risks Related to Our Agribusiness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weather conditions, natural disasters, including earthquakes and wildfires, and other natural conditions, including the effects of climate change, could impose significant costs and losses on our business.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Fresh produce is vulnerable to adverse weather conditions, including windstorms, floods, drought and temperature extremes, which are quite common and may occur with higher frequency or be less predictable in the future due to the effects of climate change. Unfavorable growing conditions can reduce both crop size and crop quality. In extreme cases, entire harvests may be lost in some geographic areas. We purchase crop insurance for certain crops which partially mitigates our exposure.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crops are subject to damage from frosts and freezes, and this has happened periodically in the past. In some cases, the fruit is damaged or ruined; in the case of extended periods of cold, the trees can also be damaged or killed.</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a significant portion of our agricultural plantings and our corporate headquarters are located in a region of California that is prone to natural disasters such as earthquakes and wildfires. For example, in December 2017, high winds and the related Southern California wildfires caused a brief power outage at our Santa Paula, California packinghouse and destroyed 14 of our farm worker housing units. While our orchards did not suffer significant damage in the wildfire, the potential for significant damage to a substantial amount of our plantings from a natural disaster in the future continues to exist. Furthermore, if a natural disaster or other event occurs that prevents us from using all or a significant portion of our corporate headquarters, as a result of a power outage or otherwise, or that damages critical infrastructure, it may be difficult or, in certain cases, impossible for us to continue our business for a substantial amount of time.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foregoing reasons, adverse weather conditions, natural disasters, including earthquakes and wildfires, or other natural conditions, including the effects of climate change, could severely disrupt our operations, and have a material adverse effect on our business, results of operations, financial condition and prospects.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agricultural plantings are potentially subject to damage from disease and pests, which could impose losses on our business and the prevention of which could impose significant additional costs on us.</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Fresh produce is vulnerable to crop disease and to pests (e.g., Mediterranean Fruit Fly and the Asian Citrus Psyllid (“ACP”)), which may vary in severity and effect, depending on the stage of production at the time of infection or infestation, the type of treatment applied and climatic conditions.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ACP is an aphid-like insect that is a serious pest to all citrus plants because it can transmit the disease Huanglongbing (“HLB”) when it feeds on the plants' leaves and trees. ACP is a federal action quarantine pest subject to interstate and international quarantine restrictions by the United States Department of Agriculture (“USDA”), including a prohibition on the movement of nursery stock out of quarantine areas and a requirement that all citrus fruit be cleaned of leaves and stems prior to movement out of the quarantine area. Due to the discovery of ACP in our orchards, we have experienced costs related to the quarantine and treatment of ACP.</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2023, two HLB-positive citrus trees were detected on one residential property in the City of Santa Paula, California. In October 2023, the California Department of Food and Agriculture declared a mandatory five-mile-radius quarantine area, which includes approximately 1,100 acres of Limoneira-owned lemon orchards. The quarantine area restricts the movement of citrus fruit, trees and related plant material subject to certain protocols. Additional costs to spray insecticides on our orchards within the quarantine area are estimated to be $0.3 million to $0.4 million in fiscal year 2024. There can be no assurance that HLB will not be detected on Limoneira orchards in the future.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to control these diseases and other infestations vary depending on the severity of the damage and the extent of the plantings affected. Moreover, there can be no assurance that available technologies to control such infestations will continue to be effective. These infestations can increase costs, decrease revenues and lead to additional charges to earnings, which may have a material adverse effect on our business, results of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marketing and selling our lemons directly to our food service, wholesale and retail customers may not continue to be successful.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Directly obtaining and retaining customers, particularly chain stores and other large customers, is highly competitive, and the prices or other terms of our sales arrangements may not be sufficient to retain existing business, maintain current levels of profitability or obtain new business. Industry consolidation (horizontally and vertically) and other factors have increased the buying leverage of the major grocery retailers in our markets, which may put further downward pressure on our pricing and volume and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are sensitive to fluctuations in market supply and prices and demand for our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supply often causes severe price competition in our industry. Growing conditions in various parts of the world, particularly weather conditions such as windstorms, floods, droughts and freezes, as well as diseases and pests, are primary factors affecting market prices because of their influence on the supply and quality of product. The COVID-19 pandemic also reduced the demand for our products resulting in excess supply.</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Fresh produce is highly perishable and generally must be brought to market and sold soon after harvest. Some items, such as avocados and oranges, must be sold more quickly, while other items, such as lemons, can be held in cold storage for longer periods of time. The selling price received for each type of produce depends on all of these factors, including the availability and quality of the produce item in the market and the availability and quality of competing types of produce.</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general public perceptions regarding the quality, safety or health risks associated with particular food products could reduce demand and prices for some of our products. To the extent that consumer preferences evolve away from products that we produce for health or other reasons, and we are unable to modify our products or to develop products that satisfy new consumer preferences, there will be a decreased demand for our products. However, even if market prices are unfavorable, produce items which are ready to be, or have been, harvested must be brought to market promptly. A decrease in the selling price received for our products due to the factors described above could have a material adverse effect on our business, results of operations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earnings may be subject to seasonal variability.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earnings may be affected by seasonal factors, including:</w:t>
      </w:r>
    </w:p>
    <w:p>
      <w:pPr>
        <w:spacing w:after="0" w:line="158" w:lineRule="exact"/>
        <w:rPr>
          <w:sz w:val="20"/>
          <w:szCs w:val="20"/>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supplies and consumer demand;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process products during critical harvest periods; and</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effects of ripening and perishability.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commodity or raw product costs, such as fuel and paper, could adversely affect our operating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negatively impacted our operating results in the past, and there can be no assurance that they will not adversely affect our operating results in the future.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of various commodities can significantly affect our costs. The cost of petroleum-based products is volatile and there can be no assurance that there will not be further increases in such costs in the future. If the price of oil rises, the costs of our herbicides and pesticides can be significantly impacted.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paper is also significant to us because some of our products are packed in cardboard boxes for shipment. If the price of paper increases and we are not able to effectively pass these price increases along to our customers, then our operating income will decrease. Increased costs for paper have negatively impacted our operating income in the past, and there can be no assurance that these increased costs will not adversely affect our operating results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personnel and benefits costs could adversely affect our operating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primarily utilize labor contractors to grow, harvest and deliver our fruit to our lemon packinghouse or outside packing facilities. We utilize a combination of employees and labor contractors to process our lemons in our lemon packing facility. Our employees and contractors are in demand by other agribusinesses and other industries. Shortages of labor could delay our harvesting or lemon processing activities or could result in increases in labor costs.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labor contractors and we are subject to government mandated wage and benefit laws and regulations. For example, the State of California, where a substantial number of our labor contractors are located, passed regulations that increased minimum wage rates from $15.00 per hour to $15.50 per hour, effective January 1, 2023, and will increase to $16.00 per hour in 2024 due to a cost-of-living increase provision found in the state's minimum wage law. The State of Arizona wage rates rise each year based on the annual cost of living and increased from $12.80 per hour to $13.85 per hour, effective January 1, 2023, and will increase to $14.35 per hour in 2024. In addition, current or future federal or state healthcare legislation and regulation, including the Affordable Care Act, may increase our medical costs or the medical costs of our labor contractors that could be passed on to us.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immigration laws could impact the ability of Limoneira to harvest its crops.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engage third parties to provide personnel for our harvesting operations. The availability and number of such workers is subject to decrease if there are changes in U.S. immigration laws. The states in which we operate are considering or have already adopted new immigration laws or enforcement programs, and the U.S. Congress and the Department of Homeland Security from time to time consider and may implement changes to federal immigration laws, regulations or enforcement programs. Immigration laws have recently been an area of considerable focus by the Department of Homeland Security, with enforcement operations taking place across the country, resulting in arrests and detentions of unauthorized workers. Termination of a significant number of personnel who are found to be unauthorized workers or the scarcity of available personnel to harvest our agricultural products could cause harvesting costs to increase or could lead to the loss of product that is not timely harvested, which could have a material adverse effect to our citrus grove operations, financial position, results of operations and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sufficient water would severely impact our ability to produce crops or develop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rainfall in Ventura and San Luis Obispo Counties in California is substantially below amounts required to grow crops and therefore we are dependent on our surface water rights and rights to pump water from underground aquifers. Extended periods of drought in California may put additional pressure on the use and availability of water for agricultural uses, and in some cases, governmental authorities have diverted water to other uses. As California has grown in population, there are increasing and multiple pressures on the use and distribution of water, which many view as a finite resource. Lack of available potable water can also limit real estate development.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federal project water in Arizona from the Colorado River through the YMIDD. We also have acquired water rights in Chile.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 experienced above average precipitation during the 2022 - 2023 rainfall season after experiencing three years of below average precipitation and drought conditions. The above average precipitation helped to alleviate the drought conditions in California. As of October 31, 2023, the state was free from moderate drought conditions and Ventura County was free from any drought conditions. We continue to assess the impact drought conditions may have on our California orchards.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2021, the U.S. Bureau of Reclamation (the “Bureau”) declared a Level 1 shortage condition at Lake Mead in the Lower Colorado River Basin for the first time ever, requiring shortage reductions and water savings contributions for states in the southwest. In August 2022, the Bureau announced Lake Mead to operate in a Tier 2 shortage, which further increased water restrictions. As a result, in January 2023, Arizona forfeited approximately 21% of the state's yearly allotment of water from Lake Mead. In August 2023, the Bureau announced Lake Mead will operate in a Tier 1 shortage in 2024, which requires Arizona to forfeit approximately 18% of the state's yearly allotment of water from Lake Mead. In response to these water shortages, we entered into fallowing agreements during fiscal years 2023 and 2022 and continue to assess the impact these reductions may have on our Arizona orchards.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fiscal year 2023, irrigation costs for our agricultural operations were higher than fiscal year 2022. Costs may increase as we pump more water than our historical averages and federal, state and local water delivery infrastructure costs may increase to access these limited water supplies. We have an ongoing plan for irrigation improvements continuing in fiscal year 2024 that includes drilling new wells and upgrading existing wells and irrigation systems.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have access to adequate supplies of water for our agricultural operations as well as our real estate development and rental operations and currently do not anticipate that future drought conditions will have a material impact on our operating results. However, if future drought conditions are worse than prior drought conditions or if regulatory responses to such conditions limit our access to water, our business could be negatively impacted by these conditions and responses in terms of access to water and/or cost of water.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herbicides, pesticides and other potentially hazardous substances in our operations may lead to environmental damage and result in increased costs to us.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herbicides, pesticides and other potentially hazardous substances in the operation of our business. We may have to pay for the costs or damages associated with the improper application, accidental release or use or misuse of such substances. Our insurance may not be adequate to cover such costs or damages or may not continue to be available at a price or under terms that are satisfactory to us. In such cases, payment of such costs or damages could have a material adverse effect on our business, results of operations and financial condition.</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depends on the use of fertilizers, pesticides and other agricultural products. The use and disposal of these products in some jurisdictions are subject to regulation by various agencies. A decision by a regulatory agency to significantly restrict the use of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EPA is undertaking a series of regulatory actions relating to the evaluation and use of pesticides in the food industry. Similarly, in the EU, regulation (EC) No. 1107/2009 fundamentally changed the pesticide approval process to hazard criteria based on the intrinsic properties of the substance. These actions and future actions regarding the availability and use of pesticides could have an adverse effect on us. In addition, if a regulatory agency were to determine that we are not in compliance with a regulation in that agency’s jurisdiction, this could result in substantial penalties and a ban on the sale of part or all of our products in that jurisdiction.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global economic downturn may have an adverse impact on participants in our industry, which cannot be fully predicted.</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full impact of a global economic downturn on customers, vendors and other business partners, such as that seen with the COVID-19 pandemic, cannot be anticipated. For example, major customers or vendors may have financial challenges unrelated to us that could result in a decrease in their business with us or, in extreme cases, cause them to file for bankruptcy protection. Similarly, parties to contracts may be forced to breach their obligations under those contracts. Although we exercise prudent oversight of the credit ratings and financial strength of our major business partners and seek to diversify our risk to any single business partner, there can be no assurance that there will not be a bank, insurance company, supplier, customer or other financial partner that is unable to meet its contractual commitments to us. Similarly, stresses and pressures in the industry may result in impacts on our business partners and competitors, which could have wide-ranging impacts on the future of the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product contamination and product liability claims.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Moreover, claims or liabilities of this sort might not be covered by our insurance or by any rights of indemnity or contribution that we may have against others. We maintain product liability insurance, however we cannot be sure that we will not incur claims or liabilities for which we are not insured or that exceed the amount of our insurance coverage.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transportation risks.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extended interruption in our ability to ship our products could have a material adverse effect on our business, financial condition and results of operations. Similarly, any extended disruption in the distribution of our products or supply chain issues could have a material adverse effect on our business, financial condition and results of operations. While we believe we are adequately insured and would attempt to transport our products by alternative means if we were to experience an interruption due to strike, natural disasters or otherwise, we cannot be sure that we would be able to do so or be successful in doing so in a timely and cost-effective manner.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or rumors relating to LIMONEIRA or our other trademarks and related brands could significantly impact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and institutional recognition of the LIMONEIRA, One World of Citrus®, Santa®, Paula®, Bridal Veil®, Fountain®, Golden Bowl®, Level®, Kiva®, Kachina®, Oxnard Lemon and Trapani Fresh trademarks and related brands and the association of these brands with high quality and safe food products are an integral part of our business. The occurrence of any events or rumors that cause consumers and/or institutions to no longer associate these brands with high quality and safe food products may materially adversely affect the value of our brand names and demand for our products.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could increase our costs of production and increase legal and regulatory expenses.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Growing, packaging, storing and distributing food products are activities subject to extensive federal, state and local regulation, as well as foreign regulation. The U.S. Food and Drug Administration (the “FDA”), the USDA and various state and local public health and agricultural agencies regulate these aspects of our operations. Our business is subject to the FDA Food Safety Modernization Act to ensure food safety. This Act provides direct recall authority to the FDA and includes a number of other provisions designed to enhance food safety, including increased inspections by the FDA of food facilities. The Federal Perishable Agricultural Commodities Act, which specifies standards for the sale, shipment, inspection and rejection of agricultural products, governs our relationships with our fresh food suppliers with respect to the grading and commercial acceptance of product shipments. Import and export controls and similar laws and regulations, in both the United States and elsewhere affect our business. Issues such as health and safety, which may slow or otherwise restrict imports and exports, could adversely affect our business. In addition, the modification of existing laws or regulations or the introduction of new laws or regulations could require us to make material expenditures or otherwise adversely affect the way that we have historically operated our business.</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expand international supply and marketing may not be successful and may subject us to risks associated with doing business in corrupt environments.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intend to expand our lemon supply sources to international markets and explore opportunities to expand our marketing of lemons, we may not be successful in implementing this strategy. Additionally, in many countries outside of the United States, particularly in those with developing economies, it may be common for others to engage in business practices prohibited by laws and regulations applicable to us, such as the Foreign Corrupt Practices Act or similar local anti-bribery laws. These laws generally prohibit companies and their employees, contractors or agents from making improper payments to government officials for the purpose of obtaining or retaining business. Failure to comply with these laws could subject us to civil and criminal penalties that could materially and adversely affect our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infrastructure to have sufficient capacity to handle our annual lemon production needs.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infrastructure that has sufficient capacity for our lemon production needs, but if we lose machinery or facilities due to natural disasters or mechanical failure, we may not be able to operate at a sufficient capacity to meet our lemon production needs. This could have a material adverse effect on our business, which could impact our results of operations and our financial condition.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service our debt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service our debt, we require a certain amount of cash. Our ability to generate cash, make scheduled payments or refinance our obligations depends on our successful financial and operating performance. Our financial and operating performance, cash flow and capital resources depend upon prevailing economic conditions and various financial, business and other factors, many of which are beyond our control. These factors include among others:</w:t>
      </w:r>
    </w:p>
    <w:p>
      <w:pPr>
        <w:spacing w:after="0" w:line="95" w:lineRule="exact"/>
        <w:rPr>
          <w:sz w:val="20"/>
          <w:szCs w:val="20"/>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difficulties, increased operating costs or pricing pressures we may experience;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implementing any strategic projects.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may be forced to reduce or delay capital expenditures, sell material assets or operations, obtain additional capital or restructure our debt. If we are required to take any actions referred to above, it could have a material adverse effect on our business, financial condition and results of operations. In addition, we cannot assure you that we would be able to take any of these actions on terms acceptable to us, or at all, or that these actions would enable us to continue to satisfy our capital requirements or that these actions would be permitted under the terms of our various debt agreements.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our debt instruments restrict or prohibit our ability to engage in or enter into a variety of transactions, which could adversely restrict our financial and operating flexibility and subject us to other risks.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revolving and non-revolving credit and term loan facilities contain various restrictive covenants that limit our ability to take certain actions. In particular, these agreements limit our ability to, among other things:</w:t>
      </w:r>
    </w:p>
    <w:p>
      <w:pPr>
        <w:spacing w:after="0" w:line="94" w:lineRule="exact"/>
        <w:rPr>
          <w:sz w:val="20"/>
          <w:szCs w:val="20"/>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or acquisitions;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on our assets;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types of transactions with affiliates;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substantially all our assets; and</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revolving and non-revolving credit facility with the AgWest Farm Credit Facility contain a financial covenant that requires us to maintain compliance with a specific debt service coverage ratio on an annual basis. In September 2023, Farm Credit West, PCA (the “Lender”) modified the covenant to defer measurement as of October 31, 2023 and resume a debt service coverage ratio of 1.25:1.0 measured as of October 31, 2024. Our failure to comply with this covenant in the future may result in the declaration of an event of default under our AgWest Farm Credit Facility.</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or all of these covenants could have a material adverse effect on our business by limiting our ability to take advantage of financing, merger and acquisition or other corporate opportunities and to fund our operations. Any future debt could also contain financial and other covenants more restrictive than those imposed under our line of credit and term loan facilities. A breach of a covenant or other provision in any credit facility governing our current and future indebtedness could result in a default under that facility and, due to cross-default and cross-acceleration provisions, could result in a default under our other credit facilities. Upon the occurrence of an event of default under any of our credit facilities, the applicable lender(s) could elect to declare all amounts outstanding to be immediately due and payable and, with respect to our revolving credit facility, terminate all commitments to extend further credit. If we were unable to repay those amounts, our lenders could proceed against the collateral granted to them to secure the indebtedness. If the lenders under our current or future indebtedness were to accelerate the payment of the indebtedness, we cannot assure you that our assets or cash flow would be sufficient to repay in full our outstanding indebtedness.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indebtedness levels and the restrictive covenants set forth in agreements governing our indebtedness, we may still incur significant additional indebtedness, including secured and guaranteed indebtedness. Incurring more indebtedness could increase the risks associated with our overall indebtedness.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restrictions in our credit facilities, we may incur significant additional indebtedness. If new debt is added to our current debt levels, the related risks that we now face could increase.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2018, LLCB entered into a $45.0 million unsecured Line of Credit Loan Agreement and Promissory Note (the “Loan”) with Bank of America, N.A. to fund early development activities. Effective as of February 22, 2023, the Loan maturity date was extended to February 22, 2024, and the maximum borrowing amount was reduced to $35.0 million. The Loan contains certain customary default provisions and LLCB may prepay any amounts outstanding under the Loan without penalty. The obligations under the Loan are guaranteed by certain principals from Lewis and us. Defaults by LLCB could increase our indebtedness.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debt is based on variable rates of interest, which could result in higher interest expenses in the event of an increase in the interest rates.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AgWest Farm Credit Facility is subject to variable rates, which generally change as interest rates change. We bear the risk that the rates we are charged by our lender will increase faster than the earnings and cash flow of our business, which could reduce profitability, adversely affect our ability to service our debt, cause us to breach covenants contained in our AgWest Farm Credit Facility, which could materially adversely affect our business, financial condition and results of operations. Our Company’s debt agreement with AgWest Farm Credit used LIBOR as a reference rate, which was converted to the Secure Overnight Financing Rate (“SOFR”) on January 1,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capital and credit market issues affect our liquidity, increase our borrowing costs and may affect the operations of our suppliers and customers.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capital and credit markets have experienced increased volatility and disruption over the past several years, making it more difficult for companies to access those markets. We depend in part on stable, liquid and well-functioning capital and credit markets to fund our operations. Although we believe that our operating cash flows and existing credit facilities will permit us to meet our financing needs for the foreseeable future, there can be no assurance that continued or increased volatility and disruption in the capital and credit markets will not impair our liquidity or increase our costs of borrowing. Our business could also be negatively impacted if our suppliers or customers experience disruptions resulting from tighter capital and credit markets or a slowdown in the general economy.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Real Estate Development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a cyclical industry and are affected by changes in general and local economic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 estate development industry is cyclical and is affected by changes in general and local economic conditions, including:</w:t>
      </w:r>
    </w:p>
    <w:p>
      <w:pPr>
        <w:spacing w:after="0" w:line="158" w:lineRule="exact"/>
        <w:rPr>
          <w:sz w:val="20"/>
          <w:szCs w:val="20"/>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levels;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developed product, whether residential or industrial;</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similar product, whether residential or industrial; and</w:t>
      </w:r>
    </w:p>
    <w:p>
      <w:pPr>
        <w:spacing w:after="0" w:line="90"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state and federal government regulation, including eminent domain laws, which may result in taking for less compensation than the owner believes the property is worth.</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project development and the commitment of financial and other resources occur long before a real estate project comes to market. A real estate project could come to market at a time when the real estate market is depressed. It is also possible in a rural area like ours that no market for the project will develop as projected.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recession in the global economy, or a downturn in national or regional economic conditions, could adversely impact our real estate development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economic instability or tightening in the credit markets could lead to another housing market collapse, which could adversely affect our real estate development operations and those of our equity method investments. Future real estate sales, revenues, financial condition, results of operations and equity in earnings of investments could suffer as a result. Our business is sensitive to economic conditions in California, where our real estate development properties are located.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Higher interest rates and lack of available financing can have significant impacts on the real estate industry.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Higher interest rates generally impact the real estate industry by making it harder for buyers to qualify for financing, which can lead to a decrease in the demand for residential, commercial or industrial sites. Any decrease in demand will negatively impact our proposed developments. In 2023 and 2022, the Board of Governors of the Federal Reserve System took actions in tightening the monetary policy that resulted in higher interest rates prevailing in the marketplace. Market interest rates may continue to increase in the future and the increase may materially and negatively affect us.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land use regulations and require governmental approvals for our developments that could be denied.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In addition, in the past, many states, cities and counties (including Ventura County) have approved various “slow growth” or “urban limit line” measures.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unforeseen regulatory challenges with East Areas I and II occur, we may not be able to develop these projects as planned.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litigation could increase the time and cost of our real estate development efforts.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land use approval processes we must follow to ultimately 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opposition from environmental groups that could cause delays and increase the costs of our real estate development efforts or preclude such development entirely.</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Environmental laws that apply to a given site can vary greatly according to the site’s location and condition, the present and former uses of the site, and the presence or absence of sensitive elements like wetlands and endangered species. Environmental laws and conditions may (i) result in delays, (ii) cause us to incur additional costs for compliance, mitigation and processing land use applications, or (iii) preclude development in specific areas. In addition, in California, third parties have the ability to file litigation challenging the approval of a project, which they usually do by alleging inadequate disclosure and mitigation of the environmental impacts of the project. While we have worked with representatives of various environmental interests and wildlife agencies to minimize and mitigate the impacts of our planned projects, certain groups opposed to development may oppose our projects vigorously, so litigation challenging their approval could occur. Recent concerns over the impact of development on water availability and global warming increases the breadth of potential obstacles that our developments face.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development projects are concentrated entirely in California.</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real estate development projects are located in California, and our business is especially sensitive to the economic conditions within California. Any adverse change in the economic climate of California, and any adverse change in the political or regulatory climate of California or Ventura County, could adversely affect our real estate development activities. Ultimately, our ability to sell or lease lots may decline as a result of weak economic conditions or restrictive regulations.</w:t>
      </w:r>
    </w:p>
    <w:p>
      <w:pPr>
        <w:spacing w:after="0" w:line="1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real estate industry weakens or instability of the mortgage industry and commercial real estate financing exists, it could have an adverse effect on our real estate activities.</w:t>
      </w:r>
    </w:p>
    <w:p>
      <w:pPr>
        <w:spacing w:after="0" w:line="9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residential real estate market weakens or instability of the mortgage industry and commercial real estate financing exists, our residential real estate business could be adversely affected. An excess supply of homes available due to foreclosures or the expectation of deflation in house prices could also have a negative impact on our ability to sell our inventory when it becomes available.</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third-party advisors to assist us in carrying out our real estate development projects and are subject to risks associated with such arrangements.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third-party contractor and consultant arrangements to assist us in operating our real estate development division. These contractual arrangements may not be as effective in providing direct control over this business division. For example, our third-party advisors could fail to take actions required for our real estate development businesses despite their contractual obligation to do so. If the third-party advisors fail to perform under their agreements with us, we may have to rely on legal remedies under the law, which may not be effective. In addition, we cannot assure you that our third-party advisors would always act in our best interests.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land development projects within forecasted time and budget expectations, if at all, our financial results may be negatively affected.</w:t>
      </w:r>
    </w:p>
    <w:p>
      <w:pPr>
        <w:spacing w:after="0" w:line="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develop land and real estate properties as suitable opportunities arise, taking into consideration the general economic climate. New real estate development projects have a number of risks, including the following:</w:t>
      </w:r>
    </w:p>
    <w:p>
      <w:pPr>
        <w:spacing w:after="0" w:line="81" w:lineRule="exact"/>
        <w:rPr>
          <w:sz w:val="20"/>
          <w:szCs w:val="20"/>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 or cost overruns that may increase project costs;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zoning, occupancy and other required governmental permits and authorizations;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incurred for projects that are not pursued to completion;</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floods, fires or other natural disasters that could adversely affect a project;</w:t>
      </w:r>
    </w:p>
    <w:p>
      <w:pPr>
        <w:spacing w:after="0" w:line="90"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design or construction that may result in additional costs to remedy or require all or a portion of a property to be closed during the period required to rectify the situation;</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assessments such as park fees or affordable housing requirements;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restrictions on the nature and size of a project or timing of completion;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adequate building/construction capacity for large development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development project is not completed on time or within budget, our financial results may be negatively affected.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required land use entitlements at reasonable costs, or at all, our operating results would be adversely affected.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performance of our real estate development activities is closely related to our success in obtaining land use entitlements for proposed development projects. Obtaining all of the necessary entitlements to develop a parcel of land is often difficult, costly and may take several years, or more, to complete. In some situations, we may be unable to obtain the necessary entitlements to proceed with a real estate development or may be required to alter our plans for the development. Delays or failures to obtain these entitlements may have a material adverse effect on our financial results.</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a reduction in net income or reduced cash flows if we are unable to obtain reasonably priced financing to support our real estate development projects and land development activities.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real estate development industry is capital intensive, and development requires significant up-front expenditures to develop land and begin real estate construction. Accordingly, we have and may continue to incur substantial indebtedness to finance our real estate development and land development activities. Although we believe that internally generated funds and current and available borrowing capacity will be sufficient to fund our capital and other expenditures, including additional land acquisition, development and construction activities, and the amounts available from such sources, may not be adequate to meet our needs. If such sources were insufficient, we would seek additional capital in the form of debt from a variety of potential sources, including bank financing. The availability of borrowed funds to be used for additional land acquisition, development and construction may be greatly reduced, and the lending community may require increased amounts of equity to be invested in a project by borrowers in connection with new loans. The failure to obtain sufficient capital to fund our planned expenditures could have a material adverse effect on our business and operations and our results of operations in future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risks associated with the real estate joint ventures we entered into in November 2015 and October 2022 with the Lewis Group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Companies including:</w:t>
      </w:r>
    </w:p>
    <w:p>
      <w:pPr>
        <w:spacing w:after="0" w:line="139"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ventures may not perform financially or operationally as expected;</w:t>
      </w:r>
    </w:p>
    <w:p>
      <w:pPr>
        <w:spacing w:after="0" w:line="76"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values, project costs, sales absorption or other assumptions included in the development plans may cause the joint ventures’ operating results to be less than expected;</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ventures may not be able to obtain project loans on acceptable terms;</w:t>
      </w:r>
    </w:p>
    <w:p>
      <w:pPr>
        <w:spacing w:after="0" w:line="90" w:lineRule="exact"/>
        <w:rPr>
          <w:rFonts w:ascii="Times New Roman" w:cs="Times New Roman" w:eastAsia="Times New Roman" w:hAnsi="Times New Roman"/>
          <w:sz w:val="18"/>
          <w:szCs w:val="18"/>
          <w:color w:val="auto"/>
        </w:rPr>
      </w:pPr>
    </w:p>
    <w:p>
      <w:pPr>
        <w:ind w:left="820" w:hanging="488"/>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partners may not be able to provide capital to the joint ventures in the event external financing or project cash flows are not sufficient to finance the joint ventures’ operations;</w:t>
      </w:r>
    </w:p>
    <w:p>
      <w:pPr>
        <w:spacing w:after="0" w:line="1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venture partners may not manage the project properly; and</w:t>
      </w:r>
    </w:p>
    <w:p>
      <w:pPr>
        <w:spacing w:after="0" w:line="76"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occur between the joint venture partners that could affect the operating results of the joint ventures or could result in a sale of a partner’s interest or the joint ventures at undesirable values.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other risks that could impact our ability to develop our 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encounter other difficulties in developing our land, including:</w:t>
      </w:r>
    </w:p>
    <w:p>
      <w:pPr>
        <w:spacing w:after="0" w:line="144" w:lineRule="exact"/>
        <w:rPr>
          <w:sz w:val="20"/>
          <w:szCs w:val="20"/>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risks, such as geological and soil problems, earthquakes, fire, heavy rains and flooding and heavy winds;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trades people;</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contractors, who may be inadequately capitalized;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certain materials;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and Risks Related to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and we cannot assure you that we will maintain our current market share.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Many companies compete in our different businesses. However, only a few well-established companies operate on an international, national and regional basis with one or several product lines. We face strong competition from these and other companies in all our product lines.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factors with respect to our competitors include the following:</w:t>
      </w:r>
    </w:p>
    <w:p>
      <w:pPr>
        <w:spacing w:after="0" w:line="144" w:lineRule="exact"/>
        <w:rPr>
          <w:sz w:val="20"/>
          <w:szCs w:val="20"/>
          <w:color w:val="auto"/>
        </w:rPr>
      </w:pPr>
    </w:p>
    <w:p>
      <w:pPr>
        <w:ind w:left="820" w:hanging="488"/>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have greater operating flexibility and, in certain cases, this may permit them to respond better or more quickly to changes in the industry or to introduce new products and packaging more quickly and with greater marketing support.</w:t>
      </w:r>
    </w:p>
    <w:p>
      <w:pPr>
        <w:spacing w:after="0" w:line="2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pricing or promotional actions of our competitors or whether those actions will have a negative effect on us.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continue to compete effectively with our present and future competitors, and our ability to compete could be materially adversely affected by our debt levels and debt service 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fluctuation may impact the results of our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distribute our products both nationally and internationally. Our international sales are primarily transacted in U.S. dollars. Our results of operations are affected by fluctuations in currency exchange rates in both sourcing and selling locations. In the past, periods of a strong U.S. dollar relative to other currencies have led international customers, particularly in Asia, to find alternative sources of fruit.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personnel and the loss of one or more of those key personnel may materially and adversely affect our prospects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depend heavily on the services of our key management personnel. The loss of any key personnel could materially and adversely affect our results of operations or financial condition. Our success will also depend in part on our ability to attract and retain additional qualified management personnel.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can have a significant adverse effect on our operations.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can have a major impact on our agribusiness operations. The farming operations are most affected by escalating costs, unpredictable revenues (due to an oversupply of certain crops)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and we cannot pass on cost increases caused by general inflation, except to the extent reflected in market conditions and commodity prices.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packing, distribution or other critical functions.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could adversely affect our financial results, stock price and reputation.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of other businesses could pose risks to our operating income.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continue to consider acquisition prospects that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our common stock could be volatile.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There are numerous and varied risks, known and unknown, that may prevent us from achieving our goals. The risks described here are not the only ones we will face. If any of these risks or other risks actually occurs, our business, financial condition, results of operations or future prospects could be materially and adversely affected. In such event, the trading price of our common stock could decline and investors in our common stock could lose all or part of their investment.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overall market and the price of our common stock may fluctuate greatly and we cannot assure you that you will be able to resell shares at or above market price. The trading price of our common stock may be significantly affected by various factors, including:</w:t>
      </w:r>
    </w:p>
    <w:p>
      <w:pPr>
        <w:spacing w:after="0" w:line="81" w:lineRule="exact"/>
        <w:rPr>
          <w:sz w:val="20"/>
          <w:szCs w:val="20"/>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our operating results;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analysts’ perception of the business risks and conditions of our business;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earnings estimates and other performance expectations of financial analysts or investors;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commentary or downgrades of our stock by equity research analysts;</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prices of our peer companies or in stock markets in general; and</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Concentrated ownership of our common stock creates a risk of sudden change in our share price.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2023, directors and members of our executive management team beneficially owned or controlled approximately 3.3% of our common stock. Investors who purchase our common stock may be subject to certain risks due to the concentrated ownership of our common stock. The sale by any of our large stockholders of a significant portion of that stockholder’s holdings could have a material adverse effect on the market price of our common stock. In addition, the registration of any significant amount of additional shares of our common stock will have the immediate effect of increasing the public float of our common stock and any such increase may cause the market price of our common stock to decline or fluctuate significantly.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contain provisions that may delay, defer or prevent a change of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third-party to acquire control of us, even if the change in control would be beneficial to stockholders. These provisions include the following:</w:t>
      </w:r>
    </w:p>
    <w:p>
      <w:pPr>
        <w:spacing w:after="0" w:line="94" w:lineRule="exact"/>
        <w:rPr>
          <w:sz w:val="20"/>
          <w:szCs w:val="20"/>
          <w:color w:val="auto"/>
        </w:rPr>
      </w:pPr>
    </w:p>
    <w:p>
      <w:pPr>
        <w:ind w:left="820" w:hanging="488"/>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with each class serving a staggered three-year term;</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directors by stockholders by a supermajority of two-thirds of the outstanding shares;</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board of directors to authorize the issuance of preferred stock in series without stockholder approval; and</w:t>
      </w:r>
    </w:p>
    <w:p>
      <w:pPr>
        <w:spacing w:after="0" w:line="90"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our stockholders that prevent them from acting by written consent and limitations on calling special meetings.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publicly traded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publicly traded securities, we have incurred, and will continue to incur, significant legal, accounting and other expenses. In addition, the Sarbanes-Oxley Act of 2002, as well as rules promulgated by the SEC and NASDAQ, require us to adopt corporate governance practices applicable to U.S. public companies. These rules and regulations may increase our legal and financial compliance costs, which could adversely affect the trading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our corporate headquarters in Santa Paula, California. We own approximately 4,300 acres of farm land in California, 1,300 acres in Yuma, Arizona, 3,500 acres in La Serena, Chile and 1,200 acres in Jujuy, Argentina. We also lease approximately 100 acres of land and have an interest in a partnership that owns approximately 200 acres of land. The land used for agricultural plantings consists of approximately 3,500 acres of lemons, approximately 1,200 acres of avocados, approximately 100 acres of oranges and approximately 400 acres of other crops. We believe that our properties are generally suitable to meet our production needs for the foreseeable future. Our agribusiness land holdings are summarized below as of October 31, 2023 ($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Ranch Name</w:t>
            </w:r>
          </w:p>
        </w:tc>
        <w:tc>
          <w:tcPr>
            <w:tcW w:w="14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160" w:type="dxa"/>
            <w:vAlign w:val="bottom"/>
          </w:tcPr>
          <w:p>
            <w:pPr>
              <w:spacing w:after="0"/>
              <w:rPr>
                <w:sz w:val="17"/>
                <w:szCs w:val="17"/>
                <w:color w:val="auto"/>
              </w:rPr>
            </w:pP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100" w:type="dxa"/>
            <w:vAlign w:val="bottom"/>
          </w:tcPr>
          <w:p>
            <w:pPr>
              <w:spacing w:after="0"/>
              <w:rPr>
                <w:sz w:val="17"/>
                <w:szCs w:val="17"/>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Acquisition Date</w:t>
            </w:r>
          </w:p>
        </w:tc>
        <w:tc>
          <w:tcPr>
            <w:tcW w:w="160" w:type="dxa"/>
            <w:vAlign w:val="bottom"/>
          </w:tcPr>
          <w:p>
            <w:pPr>
              <w:spacing w:after="0"/>
              <w:rPr>
                <w:sz w:val="17"/>
                <w:szCs w:val="17"/>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0" w:type="dxa"/>
            <w:vAlign w:val="bottom"/>
          </w:tcPr>
          <w:p>
            <w:pPr>
              <w:spacing w:after="0"/>
              <w:rPr>
                <w:sz w:val="1"/>
                <w:szCs w:val="1"/>
                <w:color w:val="auto"/>
              </w:rPr>
            </w:pPr>
          </w:p>
        </w:tc>
      </w:tr>
      <w:tr>
        <w:trPr>
          <w:trHeight w:val="243"/>
        </w:trPr>
        <w:tc>
          <w:tcPr>
            <w:tcW w:w="566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 Acre</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Limoneira/Olivelands Ranch</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1907, 1913, 1920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 Campana Ranch</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 Farm Ranch</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Rancho La Cuesta Ranch</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1994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Windfall Farms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Associated Citrus Packers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 de Azucar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Pablo</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Clara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agribusiness land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agribusiness land holdings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book value of our agribusiness land holdings of approximately $55.7 million differs from the land balance of $56.0 million included in property, plant and equipment in the notes to the consolidated financial statements in Item 8 of this Annual Report as the table above excludes land holdings related to our other operations.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our packing facilities located in Santa Paula, California and Yuma, Arizona, where we process and pack our lemons as well as lemons for other growers. We have a 5.5 acre, one-megawatt ground-based photovoltaic solar generator and one-megawatt roof array, which provides the majority of the power to operate our packing facility.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and maintain 238 residential units in Ventura County that we lease to our employees, former employees and outside tenants and we own several commercial office buildings and properties that are leased to various tenants.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and have equity investments in real estate development property in Ventura County, California. These properties are in various stages of development for up to approximately 800 residential units.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and Mineral Rights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(aquifer). Our Windfall Farms property located in San Luis Obispo County, California obtains water from wells that derive water from the Paso Robles Basin (aquifer). Our Associated farming operations in Yuma, Arizona source water from the Colorado River through the YMIDD, where we have access to approximately 11,700 acre-feet of Class 3 Colorado River water rights. We use ground water provided by wells and surface water for our PDA and San Pablo farming operations in La Serena, Chile and our Trapani Fresh farming operations in Argentina.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Our rights to extract groundwater from the Santa Paula Basin are governed by the Santa Paula Basin Judgment (the “Judgment”). The Judgment was entered into in 1996 by stipulation among the United Water Conservation District, the City of Ventura and various members of the Santa Paula Basin Pumpers Association (the “Association”). The Association is a not-for-profit, mutual benefit corporation, which represents the interests of all overlying landowners with rights to extract groundwater from the Santa Paula Basin and the City of Santa Paula. We are a member of the Association and membership is governed by the Association's Bylaws.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California water resources include approximately 17,000 acre-feet of water affiliated with our owned properties, of which approximately 8,600 acre-feet are adjudicated. Our Yuma, Arizona water resources include approximately 11,700 acre-feet of water sourced from the Colorado River. We own shares in various not-for-profit mutual benefit water companies. Our investments in these water companies provide us with the right to receive a proportionate share of water from each of the water companies.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water is a natural resource that is critical to economic growth in the western United States and firm, reliable water rights are essential to our sustainable business practices. Consequently, we have long been a private steward and advocate of prudent and efficient water management. We have made substantial investments in securing water and water rights in quantities that are sufficient to support and, we believe will exceed, our long-term business objectives. We strive to follow best management practices for the diversion, conveyance, distribution and use of water. In the future, we intend to continue to provide leadership in the area of, and seek innovation opportunities that promote, increased water use efficiency and the development of new sources of supply for our neighboring communities.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3 regarding our legal proceedings is incorporated by reference herein from Note 18 – Commitments and Contingencies of the Notes to Consolidated Financial Statements in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Stock Market LLC (“NASDAQ”) under the symbol “LMNR.” There is no assurance that our common stock will continue to be traded on NASDAQ or that any liquidity will exist for our stockholders.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30, 2023, there were approximately 233 registered holders of our common stock. The number of registered holders includes banks and brokers who act as nominees, each of whom may represent more than one stockholder.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5"/>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dividends per common share declared and paid in the periods shown.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99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Dividend</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 Ended October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Ended July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Ended April 30,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Ended January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Ended October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Ended July 31,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Ended April 30,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0.075</w:t>
            </w:r>
          </w:p>
        </w:tc>
      </w:t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Ended January 31, 2022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we declared our quarterly dividend of $0.075 per common share and we expect to continue to pay quarterly dividends at a similar rate to the extent permitted by the financial results of our business and other factors beyond management's control.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114300</wp:posOffset>
            </wp:positionV>
            <wp:extent cx="4697730" cy="4406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97730"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line graph above compares the percentage change in cumulative total stockholder return of our common stock registered under Section 12 of the Securities Exchange Act of 1934, as amended (the “Exchange Act”) with (i) the cumulative total return of the Russell 2000 Index, assuming reinvestment of dividends, and (ii) the cumulative total return of Dow Jones U.S. Food Producers Index, assuming reinvestment of dividends.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 and Affiliated Purchasers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176"/>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8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18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2023 - August 31, 2023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 2023 - September 30, 2023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84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8"/>
        <w:spacing w:after="0" w:line="242" w:lineRule="auto"/>
        <w:tabs>
          <w:tab w:leader="none" w:pos="185"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were acquired from employees in accordance with our stock-based compensation plan as a result of share withholdings to pay income tax related to the vesting and distribution of restricted stock awards.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promote understanding of the results of operations and financial condition. MD&amp;A is provided as a supplement to, and should be read in conjunction with, our consolidated financial statements and the accompanying Notes to Consolidated Financial Statements (Part II, Item 8 of this Form 10-K).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Item 1A and elsewhere in this Annual Report on Form 10-K. This section generally discusses the results of operations for fiscal year 2023 compared to fiscal year 2022. For discussion related to the results of operations and changes in financial condition for fiscal year 2022 compared to fiscal year 2021 refer to Part II, Item 7, Management's Discussion and Analysis of Financial Condition and Results of Operations in our fiscal year 2022 Form 10-K, which was filed with the United States Securities and Exchange Commission (SEC) on December 22,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11,100 acres of land, water resources and other assets to maximize long-term stockholder value. Our current operations consist of fruit production, sales and marketing, rental operations, real estate and capital investment activities.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other crops and farm management services. The agribusiness division includes our core operations of farming, harvesting, lemon packing and lemon sales operations. The rental operations division includes our residential and commercial rentals comprised of 238 completed rental units, leased land operations and organic recycling. The real estate development division includes our investments in real estate development projects. Generally, we see our Company as a land and farming company that generates annual cash flows to support our progress into diversified real estate development activities. As real estate developments are monetized, our agriculture business will then be able to expand more rapidly into new regions and markets.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 Refer to Part I, Item 1 “Fiscal Year 2023 Highlights and Recent Developments”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5"/>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 ($ in thousands):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1"/>
        </w:trPr>
        <w:tc>
          <w:tcPr>
            <w:tcW w:w="4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174,381</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97 %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179,901</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184,605</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166,027</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169,118</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182,404</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(provision) benefit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named executive officer cash severance, pension settlement cost, (gain) loss on disposal of assets, net, cash bonus related to sale of assets and gain on legal settlement are important measures to evaluate our results of operations between periods on a more comparable basis. Adjusted EBITDA in fiscal year 2021 did not exclude stock-based compensation which has now been excluded as management believes this is a better representation of cash generated by operations and is consistent with peer company reporting. Adjusted EBITDA for fiscal year 2021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summarized and reconciled to net income (loss) attributable to Limoneira Company which management considers to be the most directly comparable financial measure calculated and presented in accordance with GAAP,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980" w:type="dxa"/>
            <w:vAlign w:val="bottom"/>
            <w:tcBorders>
              <w:bottom w:val="single" w:sz="8" w:color="auto"/>
            </w:tcBorders>
          </w:tcPr>
          <w:p>
            <w:pPr>
              <w:spacing w:after="0"/>
              <w:rPr>
                <w:sz w:val="20"/>
                <w:szCs w:val="20"/>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executive officer cash severance</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bonus related to sale of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Compared to Fiscal Year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for fiscal year 2023 were $179.9 million compared to $184.6 million for fiscal year 2022. The 3% decrease of $4.7 million was primarily due to decreased avocados and oranges agribusiness revenues, partially offset by farm management agribusiness revenues, as detailed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(951)</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(10,285)</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(59)%</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(4,132)</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(42)%</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537</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6%</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9,931</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174,381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179,281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(4,900)</w:t>
            </w:r>
          </w:p>
        </w:tc>
        <w:tc>
          <w:tcPr>
            <w:tcW w:w="96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(3)%</w:t>
            </w: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340" w:hanging="332"/>
        <w:spacing w:after="0" w:line="256"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fiscal year 2023, compared to fiscal year 2022, was primarily due to decreased fresh lemon sales, partially offset by increased brokered lemons and other lemon sales. During fiscal years 2023 and 2022, fresh lemon sales were $86.8 million and $92.9 million, in aggregate, on 4.8 million and 4.9 million cartons of lemons sold at average per carton prices of $18.24 and $18.77, respectively. Lemon revenues in fiscal years 2023 and 2022 included brokered lemons and other lemon sales of $30.3 million and $24.5 million, shipping and handling of $20.6 million and $22.2 million, and lemon by-product sales of $3.0 million and $3.5 million, respectively. In addition, lemon revenues included settlement proceeds of $1.4 million allocated to lemons in fiscal year 2023.</w:t>
      </w:r>
    </w:p>
    <w:p>
      <w:pPr>
        <w:spacing w:after="0" w:line="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Avocados: The decrease in fiscal year 2023, compared to fiscal year 2022 was primarily due to decreased volume and lower prices of avocados sold. During fiscal years 2023 and 2022, 3.8 million and 8.2 million pounds of avocados were sold at an average per pound price of $1.06 and $2.08, respectively. The California avocado crop typically experiences alternating years of high and low production due to plant physiology. In addition, avocado revenues included settlement proceeds of $2.4 million allocated to avocados and crop insurance proceeds of $0.7 million in fiscal year 2023.</w:t>
      </w:r>
    </w:p>
    <w:p>
      <w:pPr>
        <w:spacing w:after="0" w:line="31"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66"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Oranges: The decrease in fiscal year 2023, compared to fiscal year 2022, was primarily due to decreased volume, mainly related to the Northern Properties sale. During fiscal years 2023 and 2022, 292,000 and 676,000 cartons of oranges were sold at an average per carton price of $19.79 and $14.66,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5" w:name="page36"/>
    <w:bookmarkEnd w:id="35"/>
    <w:p>
      <w:pPr>
        <w:jc w:val="both"/>
        <w:ind w:left="340" w:hanging="332"/>
        <w:spacing w:after="0" w:line="261" w:lineRule="auto"/>
        <w:tabs>
          <w:tab w:leader="none" w:pos="33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Specialty citrus and other crops: The increase in fiscal year 2023, compared to fiscal year 2022, was primarily due to higher prices, partially offset by decreased volume of specialty citrus sold. During fiscal years 2023 and 2022, we sold 240,000 and 434,000 40-pound carton equivalents of specialty citrus at an average per carton price of $27.18 and $13.22, respectively. Additionally, during fiscal years 2023 and 2022, we sold $2.9 million and $3.2 million of wine grapes, respectively.</w:t>
      </w:r>
    </w:p>
    <w:p>
      <w:pPr>
        <w:spacing w:after="0" w:line="112" w:lineRule="exact"/>
        <w:rPr>
          <w:rFonts w:ascii="Times New Roman" w:cs="Times New Roman" w:eastAsia="Times New Roman" w:hAnsi="Times New Roman"/>
          <w:sz w:val="18"/>
          <w:szCs w:val="18"/>
          <w:b w:val="1"/>
          <w:bCs w:val="1"/>
          <w:i w:val="1"/>
          <w:iCs w:val="1"/>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management: Farm management revenues in fiscal year 2023 were $9.9 million, primarily due to the Northern Properties farming, management and operations services. There were no farm management revenues in fiscal year 2022.</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operations revenue in fiscal years 2023 and 2022 was $5.5 million and $5.3 million, respectively. The increase in fiscal year 2023, compared to fiscal year 2022, was primarily due to increased leased land revenue.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costs and expenses in fiscal year 2023 were $169.1 million, compared to $182.4 million in the same period of fiscal year 2022. The 7% decrease of $13.3 million was primarily due to increased gain on disposal of assets, mainly related to the Northern Properties sale, partially offset by the loss on disposal of Cadiz Ranch assets and increased agribusiness costs and expenses. Agribusiness costs and expenses are detailed below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3,133</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9"/>
              </w:rPr>
              <w:t>7%</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(2,154)</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7,102</w:t>
            </w:r>
          </w:p>
        </w:tc>
        <w:tc>
          <w:tcPr>
            <w:tcW w:w="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27%</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1,718</w:t>
            </w:r>
          </w:p>
        </w:tc>
        <w:tc>
          <w:tcPr>
            <w:tcW w:w="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3%</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(1,281)</w:t>
            </w:r>
          </w:p>
        </w:tc>
        <w:tc>
          <w:tcPr>
            <w:tcW w:w="96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7"/>
              </w:rPr>
              <w:t>(15)%</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160,651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8,518</w:t>
            </w:r>
          </w:p>
        </w:tc>
        <w:tc>
          <w:tcPr>
            <w:tcW w:w="9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5%</w:t>
            </w: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55" w:lineRule="auto"/>
        <w:tabs>
          <w:tab w:leader="none" w:pos="3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Packing costs: Packing costs consist primarily of the costs to pack lemons for sale such as labor and benefits, cardboard cartons, fruit treatments, packing and shipping supplies and facility operating costs. In fiscal years 2023 and 2022, lemon packing costs were $45.7 million and $43.0 million, respectively. The increase in fiscal year 2023 was primarily due to higher average per carton costs, partially offset by decreased volume of fresh lemons packed and sold compared to fiscal year 2022. During fiscal years 2023 and 2022, we packed and sold 4.8 million and 4.9 million cartons of lemons at average per carton costs of $9.61 and $8.69, respectively. The increase in average per carton costs in fiscal year 2023, compared to fiscal year 2022, was primarily due to increased labor and benefit costs. Additionally, in fiscal years 2023 and 2022, packing costs included $2.9 million and $2.4 million of shipping costs, respectively.</w:t>
      </w:r>
    </w:p>
    <w:p>
      <w:pPr>
        <w:spacing w:after="0" w:line="40"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Harvest costs: The decrease in harvest costs in fiscal year 2023, compared to fiscal year 2022, was primarily due to decreased volume of avocados, oranges and specialty citrus harvested, partially offset by increased volume of lemons harvested.</w:t>
      </w:r>
    </w:p>
    <w:p>
      <w:pPr>
        <w:spacing w:after="0" w:line="13"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increase in fiscal year 2023, compared to fiscal year 2022, was primarily due to the Northern Properties farm management costs which were expensed in fiscal year 2023 and were capitalized as cultural costs in fiscal year 2022, as well as farm management decisions based on weather, harvest timing and crop conditions.</w:t>
      </w:r>
    </w:p>
    <w:p>
      <w:pPr>
        <w:spacing w:after="0" w:line="44" w:lineRule="exact"/>
        <w:rPr>
          <w:rFonts w:ascii="Times New Roman" w:cs="Times New Roman" w:eastAsia="Times New Roman" w:hAnsi="Times New Roman"/>
          <w:sz w:val="18"/>
          <w:szCs w:val="18"/>
          <w:i w:val="1"/>
          <w:iCs w:val="1"/>
          <w:color w:val="auto"/>
        </w:rPr>
      </w:pPr>
    </w:p>
    <w:p>
      <w:pPr>
        <w:jc w:val="both"/>
        <w:ind w:left="340" w:hanging="332"/>
        <w:spacing w:after="0" w:line="255" w:lineRule="auto"/>
        <w:tabs>
          <w:tab w:leader="none" w:pos="3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and suppliers as well as the cost of brokered fruit is referred to as third-party grower and supplier costs. The increase in fiscal year 2023, compared to fiscal year 2022, was primarily due to increased costs incurred for brokered fruit, partially offset by decreased costs for third-party growers and suppliers' fruit. In fiscal years 2023 and 2022, we incurred costs for purchased, packed fruit for resale of $29.4 million and $26.2 million, respectively. In fiscal years 2023 and 2022, we incurred costs for third-party growers and suppliers' fruit of $31.9 million and $33.4 million, respectively. During fiscal years 2023 and 2022 of the 4.8 million and 4.9 million cartons of lemons packed and sold, 2.6 million (54%) and 2.6 million (52%), were procured from third-party growers and suppliers at average per carton prices of $12.44 and $13.03, respectively.</w:t>
      </w:r>
    </w:p>
    <w:p>
      <w:pPr>
        <w:spacing w:after="0" w:line="40" w:lineRule="exact"/>
        <w:rPr>
          <w:rFonts w:ascii="Times New Roman" w:cs="Times New Roman" w:eastAsia="Times New Roman" w:hAnsi="Times New Roman"/>
          <w:sz w:val="18"/>
          <w:szCs w:val="18"/>
          <w:i w:val="1"/>
          <w:iCs w:val="1"/>
          <w:color w:val="auto"/>
        </w:rPr>
      </w:pPr>
    </w:p>
    <w:p>
      <w:pPr>
        <w:ind w:left="340" w:hanging="332"/>
        <w:spacing w:after="0" w:line="282" w:lineRule="auto"/>
        <w:tabs>
          <w:tab w:leader="none" w:pos="33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Depreciation and amortization: Depreciation and amortization expense for fiscal years 2023 and 2022 was $7.3 million and $8.6 million, respectively. The decrease in fiscal year 2023, compared to fiscal year 2022, was primarily due to the Northern Properties sale in fiscal year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Other operations expenses for fiscal years 2023 and 2022 were $4.6 million and $4.4 million, respectively.</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 on disposal of assets, net in fiscal years 2023 and 2022 were $28.8 million and $4.5 million, respectively. The change is primarily due to the gain on the sale of the Northern Properties, partially offset by the loss on disposal of Cadiz Ranch assets in fiscal year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legal settlement was $2.3 million in fiscal year 2023 due to the Settlement Agreement related to the Thomas fire.</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fiscal year 2023 were $26.5 million compared to $21.8 million for fiscal year 2022. The $4.7 million increase was primarily due to:</w:t>
      </w:r>
    </w:p>
    <w:p>
      <w:pPr>
        <w:spacing w:after="0" w:line="9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net increase in salaries, benefits and incentive compensation;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increase in tax, legal and consulting fees primarily related to disposals of Northern Properties and Cadiz;</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selling expenses;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net increase in other selling, general and administrative expenses, primarily associated with our strategic initiatives.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other income (expense) was $2.6 million and $(1.9) million for fiscal years 2023 and 2022, respectively. The $4.4 million increase in total other income was primarily due to:</w:t>
      </w:r>
    </w:p>
    <w:p>
      <w:pPr>
        <w:spacing w:after="0" w:line="9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increase of equity earnings in investments primarily due to LLCB;</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$1.8 million decrease of interest expense due to decreased long-term debt;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$1.7 million increase of other expense primarily due to pension settlement cost.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for fiscal years 2023 and 2022 income tax provision of $4.2 million and $0.8 million on pre-tax income of $13.4 million and $0.3 million, respectively. The tax provision recorded for fiscal year 2023 differs from the U.S. federal statutory tax rate of 21.0% due primarily to foreign jurisdictions which are taxed at different rates, state taxes, tax impact of stock-based compensation, nondeductible tax items and valuation allowances on certain deferred tax assets of foreign subsidiaries. Our effective tax rate for fiscal years 2023 and 2022 was 31.8% and 234.8%,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 represents 10% and 49% of the net loss of PDA and Trapani Fresh, respectively, for fiscal years 2023 and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21 - Segment Information for additional information regarding our operating segments.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Segment information for fiscal year 2023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179,901</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174,381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179,901</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 (gain)</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120,494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161,846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160,542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10,783</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184,605</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179,281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184,605</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115,119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152,047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172,606</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9,798</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Segment Information Compared to Fiscal Year 2022 Segment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Fresh Lemons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brokered lemons and other lemon revenue. For fiscal years 2023 and 2022, our fresh lemons segment total net revenues were $121.5 million and $120.9 million, respectively. The 1% increase of $0.6 million was primarily due to:</w:t>
      </w:r>
    </w:p>
    <w:p>
      <w:pPr>
        <w:spacing w:after="0" w:line="108"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Fresh lemon sales decrease of $6.2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Brokered lemons and other lemon sales increase of $5.8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 by-products decrease of $0.4 million;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Legal settlement proceeds in fiscal year 2023 allocated to fresh lemons of $1.4 million.</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cost of lemons we procure from third-party growers and suppliers, transportation costs and packing service charges incurred from the lemon packing segment to pack lemons for sale. For fiscal years 2023 and 2022, our fresh lemons segment costs and expenses were $120.5 million and $115.1 million, respectively. The 5% increase of $5.4 million was primarily due to:</w:t>
      </w:r>
    </w:p>
    <w:p>
      <w:pPr>
        <w:spacing w:after="0" w:line="112"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Harvest costs increase of $0.3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Growing costs increase of $3.2 million;</w:t>
      </w:r>
    </w:p>
    <w:p>
      <w:pPr>
        <w:spacing w:after="0" w:line="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Third-party grower and supplier costs increase of $0.1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Transportation costs increase of $0.5 million;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Intersegment costs and expenses increase of $1.3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Lemon Packing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Lemon packing segment revenue is comprised of packing revenue, intersegment packing revenue and shipping and handling revenue. For fiscal years 2023 and 2022, our lemon packing segment total net revenues were $51.7 million and $52.0 million, respectively, a 1% decrease of $0.3 million.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costs to pack lemons for sale such as labor and benefits, cardboard cartons, fruit treatments, packing and shipping supplies and facility operating costs. For fiscal years 2023 and 2022, our lemon packing costs and expenses were $45.7 million and $43.0 million, respectively. The 6% increase of $2.7 million was primarily due to increased labor and benefit costs.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Lemon packing segment operating income per carton sold was $1.25 and $1.81 for fiscal years 2023 and 2022, respectively.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lemon packing segment included $31.1 million and $29.8 million of intersegment revenues for fiscal years 2023 and 2022, respectively, that were charged to the fresh lemons segment to pack lemons for sale. Such intersegment revenues and expenses are eliminated in our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Avocados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avocados segment revenues were $7.0 million and $17.3 million for fiscal years 2023 and 2022, respectively, a 59% decrease of $10.3 million, due primarily to alternating years of high and low production due to plant physiology.</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 Our avocados segment costs and expenses were $4.0 million and $5.5 million for fiscal years 2023 and 2022, respectively. The 27% decrease of $1.5 million primarily consisted of the following:</w:t>
      </w:r>
    </w:p>
    <w:p>
      <w:pPr>
        <w:spacing w:after="0" w:line="81"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Harvest costs decrease of $0.9 million; and</w:t>
      </w:r>
    </w:p>
    <w:p>
      <w:pPr>
        <w:spacing w:after="0" w:line="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Growing costs decrease of $0.6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Agribusiness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other agribusiness segment total net revenues were $25.2 million and $18.9 million for fiscal years 2023 and 2022, respectively. The 34% increase of $6.3 million was primarily due to:</w:t>
      </w:r>
    </w:p>
    <w:p>
      <w:pPr>
        <w:spacing w:after="0" w:line="9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Orange revenues decrease of $4.1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Specialty citrus and other revenues increase of $0.5 million;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Farm management revenues in fiscal year 2023 were $9.9 million. There were no farm management revenues in fiscal year 2022.</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and purchased fruit costs. Our other agribusiness costs and expenses were $22.7 million and $18.2 million for fiscal years 2023 and 2022, respectively. The 25% increase of $4.5 million was primarily due to:</w:t>
      </w:r>
    </w:p>
    <w:p>
      <w:pPr>
        <w:spacing w:after="0" w:line="10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Harvest costs decrease of $1.5 million;</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Growing costs increase of $4.4 million; and</w:t>
      </w:r>
    </w:p>
    <w:p>
      <w:pPr>
        <w:spacing w:after="0" w:line="7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Purchased fruit costs increase of $1.6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agribusiness depreciation and amortization expenses were $7.3 million and $8.6 million for fiscal years 2023 and 2022,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revenues were $5.5 million and $5.3 million for fiscal years 2023 and 2022, respectively.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(gain) in our corporate and other operations were $(1.3) million and $20.6 million for fiscal years 2023 and 2022, respectively, and include selling, general and administrative costs and expenses, gain on disposal of assets, net and gain on legal settlement not allocated to the operating segments. Depreciation and amortization expenses for fiscal years 2023 and 2022 were $1.3 million and $1.2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consist primarily of purchase obligations, long-term fixed rate and variable rate debt and related interest payments and operating and finance leases. See Note 11 - Long-Term Debt and Note 13 - Leases for amounts outstanding as of October 31, 2023, related to debt and leases. Purchase obligations consist of contracts primarily related to packing supplies, the majority of which are due in the next three years.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We believe our revenue generating operations, distributions from equity investments and credit facilities will generate sufficient cash needed to operate beyond the next twelve months. In addition, we have the ability to control a portion of our investing cash flows to the extent necessary based on our liquidity demands.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was $(15.9) million and $14.8 million for fiscal years 2023 and 2022, respectively. The significant components of our cash flows (used in) provided by operating activities were as follows:</w:t>
      </w:r>
    </w:p>
    <w:p>
      <w:pPr>
        <w:spacing w:after="0" w:line="94" w:lineRule="exact"/>
        <w:rPr>
          <w:sz w:val="20"/>
          <w:szCs w:val="20"/>
          <w:color w:val="auto"/>
        </w:rPr>
      </w:pPr>
    </w:p>
    <w:p>
      <w:pPr>
        <w:jc w:val="both"/>
        <w:ind w:left="340" w:hanging="332"/>
        <w:spacing w:after="0" w:line="266" w:lineRule="auto"/>
        <w:tabs>
          <w:tab w:leader="none" w:pos="3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(loss) was $9.1 million and $(0.5) million for fiscal years 2023 and 2022, respectively. The components of net income for fiscal year 2023, compared to net loss for fiscal year 2022, consists of an increase in operating income of $8.6 million and an increase in total other income of $4.4 million, offset by an increase in income tax provision of $3.4 million.</w:t>
      </w:r>
    </w:p>
    <w:p>
      <w:pPr>
        <w:spacing w:after="0" w:line="27"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reconcile net income (loss) to net cash (used in) provided by operating activities:</w:t>
      </w:r>
    </w:p>
    <w:p>
      <w:pPr>
        <w:spacing w:after="0" w:line="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Adjustments (used) provided $(22.5) million and $10.0 million for fiscal years 2023 and 2022, respectively, primarily related to depreciation and amortization, gain on disposal of assets, stock compensation expense, equity in earnings of investments, net and deferred income taxes.</w:t>
      </w:r>
    </w:p>
    <w:p>
      <w:pPr>
        <w:spacing w:after="0" w:line="26" w:lineRule="exact"/>
        <w:rPr>
          <w:rFonts w:ascii="Times New Roman" w:cs="Times New Roman" w:eastAsia="Times New Roman" w:hAnsi="Times New Roman"/>
          <w:sz w:val="18"/>
          <w:szCs w:val="18"/>
          <w:b w:val="1"/>
          <w:bCs w:val="1"/>
          <w:color w:val="auto"/>
        </w:rPr>
      </w:pPr>
    </w:p>
    <w:p>
      <w:pPr>
        <w:jc w:val="both"/>
        <w:ind w:left="980" w:hanging="324"/>
        <w:spacing w:after="0" w:line="266" w:lineRule="auto"/>
        <w:tabs>
          <w:tab w:leader="none" w:pos="976"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operating assets and liabilities (used in) provided by $(2.5) million and $5.3 million of operating cash for fiscal years 2023 and 2022, respectively, primarily related to cultural costs, prepaid expenses/other current assets, accounts payable/growers and suppliers payable, accrued liabilities/payables to related parties, and other long-term liabilities.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62" w:lineRule="exact"/>
        <w:rPr>
          <w:sz w:val="20"/>
          <w:szCs w:val="20"/>
          <w:color w:val="auto"/>
        </w:rPr>
      </w:pPr>
    </w:p>
    <w:p>
      <w:pPr>
        <w:jc w:val="both"/>
        <w:ind w:left="340" w:hanging="332"/>
        <w:spacing w:after="0" w:line="266" w:lineRule="auto"/>
        <w:tabs>
          <w:tab w:leader="none" w:pos="33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$90.6 million of net cash provided by investing activities during fiscal year 2023 was comprised primarily of net proceeds from sales of assets of $98.5 million, net proceeds from the sale of real estate development assets of $2.6 million, partially offset by capital expenditures of $10.3 million, primarily related to orchard and vineyard development.</w:t>
      </w:r>
    </w:p>
    <w:p>
      <w:pPr>
        <w:spacing w:after="0" w:line="27"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$19.4 million of net cash provided by investing activities during fiscal year 2022 was comprised primarily of net proceeds from sale of assets of $19.3 million, net proceeds from the sale of real estate development assets of $7.9 million, collection on notes receivable of $2.8 million, partially offset by capital expenditures of $10.1 million related to orchard and vineyard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62" w:lineRule="exact"/>
        <w:rPr>
          <w:sz w:val="20"/>
          <w:szCs w:val="20"/>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$71.9 million of net cash used in financing activities during fiscal year 2023 was comprised primarily of net repayments of long-term debt $65.0 million and common and preferred stock dividends of $5.9 million.</w:t>
      </w:r>
    </w:p>
    <w:p>
      <w:pPr>
        <w:spacing w:after="0" w:line="13"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$33.5 million of net cash used in financing activities during fiscal year 2022 was comprised primarily of net repayments of long-term debt of $26.8 million, common and preferred stock dividends of $5.8 million and the exchange of common stock of $1.5 million, partially offset by proceeds from equipment financings of $1.0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Affecting 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and Long-Term Debt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and from our AgWest Farm Credit Facility, which includes the Master Loan Agreement (the “MLA”) and Supplements. In addition, we have Banco de Chile term loans and COVID-19 loans. Additional information regarding these loans can be found in Note 11- Long-Term Debt.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2021, we entered into the MLA with the Lender, together with the Supplements and a Fixed Interest Rate Agreement, which extends the principal repayment to July 1, 2026. The MLA governs the terms of the Supplements.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provide aggregate borrowing capacity of $115.0 million, comprised of $75.0 million under the Revolving Credit Supplement and $40.0 million under the Non-Revolving Credit Supplement. As of October 31, 2023, our outstanding borrowings under the AgWest Farm Credit Facility were $40.0 million and we had $75.0 million of availability.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31, 2023, the Company sold the Northern Properties which resulted in total net proceeds of $98.4 million. The proceeds were used to pay down all of the Company's domestic debt except the Non-Revolving Credit Supplement.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specific debt service coverage ratio on an annual basis. In September 2023, the Lender modified the covenant to defer measurement as of October 31, 2023 and resume a debt service coverage ratio of 1.25:1.0 measured as of October 31, 2024.</w:t>
      </w:r>
    </w:p>
    <w:p>
      <w:pPr>
        <w:spacing w:after="0" w:line="116" w:lineRule="exact"/>
        <w:rPr>
          <w:sz w:val="20"/>
          <w:szCs w:val="20"/>
          <w:color w:val="auto"/>
        </w:rPr>
      </w:pPr>
    </w:p>
    <w:p>
      <w:pPr>
        <w:ind w:right="1580"/>
        <w:spacing w:after="0" w:line="414" w:lineRule="auto"/>
        <w:rPr>
          <w:sz w:val="20"/>
          <w:szCs w:val="20"/>
          <w:color w:val="auto"/>
        </w:rPr>
      </w:pPr>
      <w:r>
        <w:rPr>
          <w:rFonts w:ascii="Times New Roman" w:cs="Times New Roman" w:eastAsia="Times New Roman" w:hAnsi="Times New Roman"/>
          <w:sz w:val="18"/>
          <w:szCs w:val="18"/>
          <w:color w:val="auto"/>
        </w:rPr>
        <w:t xml:space="preserve">In fiscal years 2023 and 2022 we received annual patronage dividends of $1.4 million and $1.6 million, respectively, from the Lender. </w:t>
      </w:r>
      <w:r>
        <w:rPr>
          <w:rFonts w:ascii="Times New Roman" w:cs="Times New Roman" w:eastAsia="Times New Roman" w:hAnsi="Times New Roman"/>
          <w:sz w:val="18"/>
          <w:szCs w:val="18"/>
          <w:i w:val="1"/>
          <w:iCs w:val="1"/>
          <w:color w:val="auto"/>
        </w:rPr>
        <w:t>Dividends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holders of the Series B Convertible Preferred Stock (the “Series B Stock”) and the Series B-2 Preferred Stock (the “Series B-2 Preferred Stock”) are entitled to receive cumulative cash dividends. Such preferred dividends paid totaled $0.5 million in each of the fiscal years 2023 and 2022.</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dividends declared in each of the fiscal years 2023 and 2022 totaled $0.30 per common share and such dividends paid totaled $5.4 million in fiscal year 2023 and $5.3 million in fiscal year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fiscal years </w:t>
      </w:r>
      <w:r>
        <w:rPr>
          <w:rFonts w:ascii="Times New Roman" w:cs="Times New Roman" w:eastAsia="Times New Roman" w:hAnsi="Times New Roman"/>
          <w:sz w:val="17"/>
          <w:szCs w:val="17"/>
          <w:color w:val="auto"/>
        </w:rPr>
        <w:t>2023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7"/>
          <w:szCs w:val="17"/>
          <w:color w:val="auto"/>
        </w:rPr>
        <w:t>2022</w:t>
      </w:r>
      <w:r>
        <w:rPr>
          <w:rFonts w:ascii="Times New Roman" w:cs="Times New Roman" w:eastAsia="Times New Roman" w:hAnsi="Times New Roman"/>
          <w:sz w:val="20"/>
          <w:szCs w:val="20"/>
          <w:color w:val="auto"/>
        </w:rPr>
        <w:t xml:space="preserve">, we paid income taxes of </w:t>
      </w:r>
      <w:r>
        <w:rPr>
          <w:rFonts w:ascii="Times New Roman" w:cs="Times New Roman" w:eastAsia="Times New Roman" w:hAnsi="Times New Roman"/>
          <w:sz w:val="17"/>
          <w:szCs w:val="17"/>
          <w:color w:val="auto"/>
        </w:rPr>
        <w:t>$7.2 million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7"/>
          <w:szCs w:val="17"/>
          <w:color w:val="auto"/>
        </w:rPr>
        <w:t>$0.1 million</w:t>
      </w:r>
      <w:r>
        <w:rPr>
          <w:rFonts w:ascii="Times New Roman" w:cs="Times New Roman" w:eastAsia="Times New Roman" w:hAnsi="Times New Roman"/>
          <w:sz w:val="20"/>
          <w:szCs w:val="20"/>
          <w:color w:val="auto"/>
        </w:rPr>
        <w:t>,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Activities and Related Capital Resources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under “Transactions Affecting Liquidity and Capital Resources,” we have the ability to control a portion of our investing cash flows to the extent necessary based upon our liquidity demands. In order for our real estate development operations to reach their maximum potential benefit to us, however, we will need to be successful over time in identifying other third-party sources of capital to collaborate with us to move those development projects forward. While we are frequently in discussions with potential external sources of capital in respect to all of our development projects, current market conditions for California real estate projects make it difficult to predict the timing and amounts of future capital that will be required to complete the development of our projects.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2015, we entered into a joint venture with Lewis for the residential development of our East Area I real estate development project. To consummate the transaction, we formed LLCB as the development entity, contributed our East Area I property to the joint venture and sold a 50% interest in the joint venture to Lewis for $20.0 million. The first phase of the project broke ground to commence mass grading in November 2017. Approved project plans currently include approximately 1,500 residential units and site improvements. A total of 707 residential units have closed from the project's inception to October 31, 2023.</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we entered into a joint venture with Lewis for the development of our 17-acre East Area I Retained Property. We formed LLCB II as the development entity, contributed our Retained Property to the joint venture and sold a 50% interest to Lewis for approximately $8.0 million. We recorded a gain on the transaction of approximately $4.7 million, of which $0.5 million was deferred.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joint venture partners will share in the capital contributions to fund project costs until loan proceeds and/or revenues are sufficient to fund the projects. Since inception each partner has made funding contributions of $21.4 million to LLCB and $0.5 million to LLCB II. We expect to receive approximately $123.0 million from LLCB, LLCB II and East Area II over the next seven years of the projects.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commodity pricing for our fresh produce, and therefore our revenues and margins, is significantly impacted by consumer demand. The worldwide fresh produce industry has historically enjoyed consistent underlying demand and favorable growth dynamics. In recent years, the market for fresh produce has increased faster than the rate of population growth, supported by ongoing trends including greater consumer demand for healthy, fresh and convenient foods, increased retailer square footage devoted to fresh produce, and greater emphasis on fresh produce as a differentiating factor in attracting customers. Health-conscious consumers are driving much of the growth in demand for fresh produce. Over the past several decades, the benefits of natural, preservative-free and organic foods have become an increasingly significant element of the public dialogue on health and nutrition. As a result, consumption of fresh fruit and vegetables has markedly increased. Conversely, a decrease in demand, as was seen during the COVID-19 pandemic as a result of restaurant closures, has the impact of reducing our pricing and therefore our revenues and margins.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For further information on significant accounting policies, see discussion in Note 2 - Summary of Significant Accounting Policies.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Impairment of Real Estate Development Projects – </w:t>
      </w:r>
      <w:r>
        <w:rPr>
          <w:rFonts w:ascii="Times New Roman" w:cs="Times New Roman" w:eastAsia="Times New Roman" w:hAnsi="Times New Roman"/>
          <w:sz w:val="18"/>
          <w:szCs w:val="18"/>
          <w:color w:val="auto"/>
        </w:rPr>
        <w:t>We evaluate our real estate development projects, held either by us or as included specifically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LLCB and LLCB II, for impairment on an ongoing basis. Our evaluation for impairment involves an initial assessment of each real estate development project to determine whether events or changes in circumstances exist that may indicate that the carrying amounts of, or investment in, real estate development projects are no longer recoverable. Possible indications of impairment may include events or changes in circumstances affecting the entitlement process, zoning, government regulation, geographical demand for new housing or commercial property, and market conditions related to residential or commercial land lots. When events or changes in circumstances exist, we further evaluate the real estate development projects for impairment by a) comparing undiscounted future cash flows expected to be generated over the life of the real estate development projects to the respective carrying amount for our real estate development or b) determining if our equity in investment has incurred an other-than-temporary decline.</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make significant judgments in evaluating each real estate development project, as held by us or within our investments in LLCB and LLCB II,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 investments. For fiscal years 2023, 2022 and 2021, no impairment loss has been recognized on any real estate development and no other-than-temporary-impairment has been recognized on our equity in LLCB or LLCB II.</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impairment calculation for real estate developments held by us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our equity investments in LLCB and LLCB II might not be recoverable, then we determine whether an impairment is other-than-temporary. If we conclude the impairment is other-than-temporary, we determine the estimated fair value of the investment by performing a discounted cash flow or market approach analysis and recognize an other-than-temporary impairment to reduce the investment to its estimated fair value.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accounting estimate related to impairment of real estate development projects held by us, or other-than-temporary impairment of our equity investments in LLCB and LLCB II,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 projects or return on equity of our investments in LLCB and LLCB II have fluctuated in the past due to changes in prices, production and costs and are expected to continue to do so in the future as market conditions change.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 Summary of Significant Accounting Policies for information concerning recent accounting pronouncements.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AgWest Farm Credit Facility are subject to variable interest rates. These variable interest rates subject us to the risk of increased interest costs associated with any upward movements in interest rates. For the AgWest Farm Credit Facility, our borrowing interest rate is an internally calculated rate based on an AgWest Farm Credit internal method that follows the changing market interest rates and the cost to fund variable-rate loans. Rate changes are expected to be generally the same as the Federal Open Market Committee (the “FOMC”) recommended changes, however the changes may be marginally different than the FOMC's recommendation. As of October 31, 2023, our total debt outstanding under the AgWest Farm Credit Facility was $40.0 million.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level of borrowings as of October 31, 2023, a 100 basis points increase in interest rates would not materially increase our interest expense for fiscal year 2024 or the three subsequent fiscal years. Additionally, a 100 basis points increase in the interest rate would not materially decrease our net income for fiscal year 2024 or the three subsequent fiscal years. We have strategies in place to manage our exposure to interest rate risk, including the potential early pay down of outstanding debt under the AgWest Farm Credit Facility. Refer to “Management’s Discussion and Analysis of Financial Condition and Results of Operations – Liquidity and Capital Resources” for additional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100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Limoneira Company</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10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1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1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0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of Limoneira Company</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100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October 31, 2023 and 2022</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00" w:type="dxa"/>
            <w:vAlign w:val="bottom"/>
            <w:tcBorders>
              <w:top w:val="single" w:sz="8" w:color="CCEEFF"/>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for the years ended October 31, 2023, 2022 and 2021</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00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October 31, 2023, 2022 and 2021</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00" w:type="dxa"/>
            <w:vAlign w:val="bottom"/>
            <w:tcBorders>
              <w:top w:val="single" w:sz="8" w:color="CCEEFF"/>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and Temporary Equity for the years ended October 31, 2023, 2022 and 2021</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00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years ended October 31, 2023, 2022 and 2021</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Borders>
              <w:top w:val="single" w:sz="8" w:color="CCEEFF"/>
            </w:tcBorders>
          </w:tcPr>
          <w:p>
            <w:pPr>
              <w:spacing w:after="0"/>
              <w:rPr>
                <w:sz w:val="16"/>
                <w:szCs w:val="16"/>
                <w:color w:val="auto"/>
              </w:rPr>
            </w:pP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All schedules are omitted for the reason that they are not applicable or the required information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p>
      <w:pPr>
        <w:ind w:right="506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Limoneira Company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Limoneira Company and subsidiaries (the "Company") as of October 31, 2023 and 2022, the related consolidated statements of operations, comprehensive income (loss), stockholders' equity and temporary equity, and cash flows, for each of the three years in the period ended October 31, 2023, and the related notes (collectively referred to as the "financial statements"). In our opinion, based on our audits and the report of the other auditors, the financial statements present fairly, in all material respects, the financial position of the Company as of October 31, 2023 and 2022, and the results of its operations and its cash flows for each of the three years in the period ended October 31, 2023, in conformity with accounting principles generally accepted in the United States of America.</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did not audit the financial statements of Limoneira Lewis Community Builders, LLC (“LLCB”), the Company's investment in which is accounted for by use of the equity method. The accompanying consolidated financial statements of the Company include, before the basis difference and related amortization discussed in Note 7, its equity in investment in LLCB of $58,282,000 and $52,431,000 as of October 31, 2023 and 2022, respectively, and its equity earnings in LLCB of $5,851,000, $1,015,000, and $4,508,000 for the years ended October 31, 2023, 2022, and 2021, respectively. The financial statements of LLCB were audited by other auditors whose report has been furnished to us, and our opinion, insofar as it relates to the amounts included for the Company’s equity in investment and equity earnings in LLCB, is based solely on the report of the other auditors.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October 31, 2023,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December 21, 2023, expressed an unqualified opinion on the Company's internal control over financial reporting based on our audit.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Real estate development assets held by the Company and equity in investment in LLCB – Impairment Indicators – Refer to Notes 2, 6 and 7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evaluation of real estate development projects, held either by the Company or as included specifically within its investment in LLCB, for impairment involves an initial assessment of each real estate development project to determine whether events or changes in circumstances exist that may indicate that the carrying amounts of, or investment in, real estate development projects are no longer recoverable. Possible indications of impairment may include events or changes in circumstances affecting the entitlement process, zoning, government regulation, geographical demand for new housing or commercial property, and market conditions related to residential or commercial land lots. When events or changes in circumstances exist, the Company further evaluates the real estate development projects for impairment by a) comparing undiscounted future cash flows expected to be generated over the life of the real estate development projects to the respective carrying amount for its real estate development or b) determining if its equity in investment has incurred an other-than-temporary decline.</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makes significant judgments in evaluating each real estate development project as held by them or within its investment in LLCB, for possible indications of impairment. These judgments may relate to the identification of appropriate and comparable market prices, the consideration of changes to legal factors or the business climate, the likelihood of successfully completing the entitlement process, changes in zoning or government regulation, and demand for new housing. Changes in these judgments could have a significant impact on real estate development or equity in investments. Real estate development assets held by the Company were $9,987,000, and equity in investments was $78,816,000 as of October 31, 2023 of which $66,288,000 was allocated to LLCB. For the year ended October 31, 2023, no impairment loss has been recognized on any real estate development and no other-than-temporary-impairment has been recognized on the Company’s equity in LLCB.</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the significant judgments made by management in evaluating real estate development assets held by the Company and equity in investment in LLCB, for possible indicators of impairment, as a critical audit matter. This required a high degree of auditor judgment and an increased extent of effort, including the need to involve our fair value specialists, when performing audit procedures to evaluate the reasonableness of management’s estimates and assumptions when determining whether events or changes in circumstances have occurred indicating that the carrying amount of, or investment in, real estate development assets held by the Company and equity in investment in LLCB may not be recoverable and whether management appropriately identified impairment indicators.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evaluation of real estate development assets held by the Company and equity in investment in LLCB for possible indications of impairment included the following, among others:</w:t>
      </w:r>
    </w:p>
    <w:p>
      <w:pPr>
        <w:spacing w:after="0" w:line="108" w:lineRule="exact"/>
        <w:rPr>
          <w:sz w:val="20"/>
          <w:szCs w:val="20"/>
          <w:color w:val="auto"/>
        </w:rPr>
      </w:pPr>
    </w:p>
    <w:p>
      <w:pPr>
        <w:jc w:val="both"/>
        <w:ind w:left="660" w:hanging="328"/>
        <w:spacing w:after="0" w:line="238" w:lineRule="auto"/>
        <w:tabs>
          <w:tab w:leader="none" w:pos="621" w:val="left"/>
        </w:tabs>
        <w:numPr>
          <w:ilvl w:val="0"/>
          <w:numId w:val="35"/>
        </w:numPr>
        <w:rPr>
          <w:rFonts w:ascii="Arial" w:cs="Arial" w:eastAsia="Arial" w:hAnsi="Arial"/>
          <w:sz w:val="20"/>
          <w:szCs w:val="20"/>
          <w:color w:val="auto"/>
        </w:rPr>
      </w:pPr>
      <w:r>
        <w:rPr>
          <w:rFonts w:ascii="Times New Roman" w:cs="Times New Roman" w:eastAsia="Times New Roman" w:hAnsi="Times New Roman"/>
          <w:sz w:val="18"/>
          <w:szCs w:val="18"/>
          <w:color w:val="auto"/>
        </w:rPr>
        <w:t>We tested the effectiveness of the controls over management’s identification of possible circumstances that may indicate that real estate development assets held by the Company or equity in investment in LLCB is no longer recoverable, including controls over management’s evaluation of the entitlement process, litigation, changes in zoning, government regulation, geographical demand and market conditions.</w:t>
      </w:r>
    </w:p>
    <w:p>
      <w:pPr>
        <w:spacing w:after="0" w:line="117" w:lineRule="exact"/>
        <w:rPr>
          <w:rFonts w:ascii="Arial" w:cs="Arial" w:eastAsia="Arial" w:hAnsi="Arial"/>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impairment analysis by:</w:t>
      </w:r>
    </w:p>
    <w:p>
      <w:pPr>
        <w:spacing w:after="0" w:line="157" w:lineRule="exact"/>
        <w:rPr>
          <w:rFonts w:ascii="Times New Roman" w:cs="Times New Roman" w:eastAsia="Times New Roman" w:hAnsi="Times New Roman"/>
          <w:sz w:val="18"/>
          <w:szCs w:val="18"/>
          <w:color w:val="auto"/>
        </w:rPr>
      </w:pPr>
    </w:p>
    <w:p>
      <w:pPr>
        <w:ind w:left="130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Searching for adverse asset-specific and/or market conditions by reviewing publicly available information on land values in the surrounding regions of the development, periodicals and news information relating to the Southern California real estate market</w:t>
      </w:r>
    </w:p>
    <w:p>
      <w:pPr>
        <w:spacing w:after="0" w:line="13" w:lineRule="exact"/>
        <w:rPr>
          <w:rFonts w:ascii="Times New Roman" w:cs="Times New Roman" w:eastAsia="Times New Roman" w:hAnsi="Times New Roman"/>
          <w:sz w:val="18"/>
          <w:szCs w:val="18"/>
          <w:color w:val="auto"/>
        </w:rPr>
      </w:pPr>
    </w:p>
    <w:p>
      <w:pPr>
        <w:ind w:left="130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Obtaining information from legal counsel and performing inquiries with management in order to evaluate any changes in the status of litigation matters affecting the real estate development assets and the potential impact on the ability to recover the accumulated costs, including any relevant government regulations and/or other matters impacting the entitlement process</w:t>
      </w:r>
    </w:p>
    <w:p>
      <w:pPr>
        <w:spacing w:after="0" w:line="40"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Obtaining comparable land sales in the area and comparing such data to information used by management with the assistance of our fair value specialists</w:t>
      </w:r>
    </w:p>
    <w:p>
      <w:pPr>
        <w:spacing w:after="0" w:line="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an independent expectation of impairment indicators and comparing such expectation to management’s analysis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15,651</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Cultural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Receivables/other from related parties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0" w:type="dxa"/>
            <w:vAlign w:val="bottom"/>
          </w:tcPr>
          <w:p>
            <w:pPr>
              <w:spacing w:after="0"/>
              <w:rPr>
                <w:sz w:val="1"/>
                <w:szCs w:val="1"/>
                <w:color w:val="auto"/>
              </w:rPr>
            </w:pPr>
          </w:p>
        </w:tc>
      </w:tr>
      <w:tr>
        <w:trPr>
          <w:trHeight w:val="207"/>
        </w:trPr>
        <w:tc>
          <w:tcPr>
            <w:tcW w:w="8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37,535</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222,628</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investments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72,855</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368,518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Growers and suppliers payable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10,740</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11,279</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39,274</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104,076</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23,497</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0" w:type="dxa"/>
            <w:vAlign w:val="bottom"/>
          </w:tcPr>
          <w:p>
            <w:pPr>
              <w:spacing w:after="0"/>
              <w:rPr>
                <w:sz w:val="1"/>
                <w:szCs w:val="1"/>
                <w:color w:val="auto"/>
              </w:rPr>
            </w:pPr>
          </w:p>
        </w:tc>
      </w:tr>
      <w:tr>
        <w:trPr>
          <w:trHeight w:val="207"/>
        </w:trPr>
        <w:tc>
          <w:tcPr>
            <w:tcW w:w="8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176,654</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31, 2023 and October 31, 2022) (8.75% coupon rate)</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31, 2023 and October 31, 2022) (4% dividend rate on liquidation value of $1,000 per share)</w:t>
            </w: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 October</w:t>
            </w:r>
          </w:p>
        </w:tc>
        <w:tc>
          <w:tcPr>
            <w:tcW w:w="2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31, 2023 and October 31, 2022)</w:t>
            </w:r>
          </w:p>
        </w:tc>
        <w:tc>
          <w:tcPr>
            <w:tcW w:w="2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 $0.01 par value (39,000,000 shares authorized: 18,192,009 and 17,935,292 shares issued and 17,941,032 and</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17,684,315 shares outstanding at October 31, 2023 and October 31, 2022, respectively)</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165,169</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250,977 shares at October 31, 2023 and October 31, 2022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11,609</w:t>
            </w:r>
          </w:p>
        </w:tc>
        <w:tc>
          <w:tcPr>
            <w:tcW w:w="0" w:type="dxa"/>
            <w:vAlign w:val="bottom"/>
          </w:tcPr>
          <w:p>
            <w:pPr>
              <w:spacing w:after="0"/>
              <w:rPr>
                <w:sz w:val="1"/>
                <w:szCs w:val="1"/>
                <w:color w:val="auto"/>
              </w:rPr>
            </w:pPr>
          </w:p>
        </w:tc>
      </w:tr>
      <w:tr>
        <w:trPr>
          <w:trHeight w:val="207"/>
        </w:trPr>
        <w:tc>
          <w:tcPr>
            <w:tcW w:w="8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189,687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181,054</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368,518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2"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98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161,381</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166,027</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148,492</w:t>
            </w:r>
          </w:p>
        </w:tc>
      </w:tr>
      <w:tr>
        <w:trPr>
          <w:trHeight w:val="230"/>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legal settlement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19,427</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172,360</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30"/>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(provision) benefit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October 31,</w:t>
            </w:r>
          </w:p>
        </w:tc>
        <w:tc>
          <w:tcPr>
            <w:tcW w:w="98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Minimum pension liability adjustments, net of tax of $(135), $(71) and $940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settlement cost, net of tax of $756, $169 and $0</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Limoneira Company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1"/>
                <w:szCs w:val="11"/>
                <w:color w:val="auto"/>
              </w:rPr>
            </w:pPr>
          </w:p>
        </w:tc>
        <w:tc>
          <w:tcPr>
            <w:tcW w:w="84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7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120" w:type="dxa"/>
            <w:vAlign w:val="bottom"/>
          </w:tcPr>
          <w:p>
            <w:pPr>
              <w:spacing w:after="0"/>
              <w:rPr>
                <w:sz w:val="11"/>
                <w:szCs w:val="11"/>
                <w:color w:val="auto"/>
              </w:rPr>
            </w:pPr>
          </w:p>
        </w:tc>
        <w:tc>
          <w:tcPr>
            <w:tcW w:w="84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7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5"/>
                <w:szCs w:val="15"/>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9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17,606,730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162,084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195,760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common ($0.30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 Series B ($8.75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B-2 ($40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Noncontrolling interest</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October 31, 2021</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17,685,400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163,965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21,552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11,965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188,435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 common ($0.30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 ($8.75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 Series B-2 ($40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loss, net</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October 31, 2022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17,684,315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165,169</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15,500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(7,908)</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11,609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181,054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 common ($0.30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 Series B ($8.75 per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 Series B-2 ($40 per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296,189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Noncontrolling interest</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17,941,032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Years Ended October 31,</w:t>
            </w:r>
          </w:p>
        </w:tc>
        <w:tc>
          <w:tcPr>
            <w:tcW w:w="1020" w:type="dxa"/>
            <w:vAlign w:val="bottom"/>
            <w:tcBorders>
              <w:bottom w:val="single" w:sz="8" w:color="auto"/>
            </w:tcBorders>
          </w:tcPr>
          <w:p>
            <w:pPr>
              <w:spacing w:after="0"/>
              <w:rPr>
                <w:sz w:val="18"/>
                <w:szCs w:val="18"/>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9,812</w:t>
            </w:r>
          </w:p>
        </w:tc>
      </w:tr>
      <w:tr>
        <w:trPr>
          <w:trHeight w:val="21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loss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legal settlement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w:t>
            </w: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1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distributions from equity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 and receivables/other from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w:t>
            </w:r>
          </w:p>
        </w:tc>
      </w:tr>
      <w:tr>
        <w:trPr>
          <w:trHeight w:val="219"/>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Cultural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13"/>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19"/>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r>
      <w:tr>
        <w:trPr>
          <w:trHeight w:val="213"/>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and growers and suppliers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w:t>
            </w:r>
          </w:p>
        </w:tc>
      </w:tr>
      <w:tr>
        <w:trPr>
          <w:trHeight w:val="213"/>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liabilities and payables to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r>
      <w:tr>
        <w:trPr>
          <w:trHeight w:val="219"/>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(9,834)</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sales of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legal settlement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 of real estate development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distribution from Trapani Fresh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 on notes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 contributions and capitalized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from equity investment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Investments in mutual water companies and water rights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(10,237)</w:t>
            </w:r>
          </w:p>
        </w:tc>
      </w:tr>
      <w:tr>
        <w:trPr>
          <w:trHeight w:val="21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102,196</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(95,140)</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equipment financings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paid on finance leases and equipment financings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 common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(5,303)</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 preferred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0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Years Ended October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 (net of amounts capitalized)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 income taxes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 of real estate development to equity investment</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Reduction of net payables to related parties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Reduction of note receivable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 accrued but not paid at period-end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5" w:right="3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Limoneira Company (together with its consolidated subsidiaries, the “Company”) engages primarily in growing citrus and avocados, picking and hauling citrus, and packing, marketing and selling citrus. The Company is also engaged in residential rentals and other rental operations and real estate development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markets and sells citrus directly to food service, wholesale and retail customers throughout the United States, Canada, Asia, Australia and other international markets. The Company was a member of Sunkist Growers, Inc., an agricultural marketing cooperative, and sold a portion of its oranges, specialty citrus and other crops to Sunkist-licensed and other third-party packinghouses.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fiscal year 2021, the Company sold the majority of its avocado production to Calavo Growers, Inc. (“Calavo”), a packing and marketing company listed on the NASDAQ Global Select Market under the symbol CVGW. In February 2022, the Company terminated its Avocado Marketing Agreement and the associated Letter Agreement Regarding Fruit Commitment with Calavo to pursue opportunities with other packing and marketing companies.</w:t>
      </w:r>
    </w:p>
    <w:p>
      <w:pPr>
        <w:spacing w:after="0" w:line="91" w:lineRule="exact"/>
        <w:rPr>
          <w:sz w:val="20"/>
          <w:szCs w:val="20"/>
          <w:color w:val="auto"/>
        </w:rPr>
      </w:pPr>
    </w:p>
    <w:p>
      <w:pPr>
        <w:ind w:right="7680" w:firstLine="8"/>
        <w:spacing w:after="0" w:line="424" w:lineRule="auto"/>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the Company and the accounts of all the subsidiaries and investments in which the Company holds a controlling interest. The consolidated financial statements represent the consolidated balance sheets, statements of operations, statements of comprehensive income (loss), statements of stockholders’ equity and temporary equity and statements of cash flows of Limoneira Company and consolidated subsidiaries. Intercompany balances and transactions have been eliminated in consolidation. The Company considers the criteria established under the Financial Accounting Standards Board (“FASB”) – </w:t>
      </w:r>
      <w:r>
        <w:rPr>
          <w:rFonts w:ascii="Times New Roman" w:cs="Times New Roman" w:eastAsia="Times New Roman" w:hAnsi="Times New Roman"/>
          <w:sz w:val="18"/>
          <w:szCs w:val="18"/>
          <w:i w:val="1"/>
          <w:iCs w:val="1"/>
          <w:color w:val="auto"/>
        </w:rPr>
        <w:t>Accounting Standards Code (“ASC”) 810, Consolidations,</w:t>
      </w:r>
      <w:r>
        <w:rPr>
          <w:rFonts w:ascii="Times New Roman" w:cs="Times New Roman" w:eastAsia="Times New Roman" w:hAnsi="Times New Roman"/>
          <w:sz w:val="18"/>
          <w:szCs w:val="18"/>
          <w:color w:val="auto"/>
        </w:rPr>
        <w:t xml:space="preserve"> and the effect of variable interest entities, in its consolidation process.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credit in the course of its operations to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other factors. As of October 31, 2023 and 2022 the allowances totaled $260,000 and $469,000, respectively. For fiscal years 2023, 2022 and 2021, credit losses were insignificant.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and Geographic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sells its avocados and oranges, and sold its specialty citrus, to third-party packinghouses. Prior to fiscal year 2022, the Company sold a majority of its avocado production to Calavo. Sales of avocados to Calavo were $6,594,000 in fiscal year 2021.</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Concentrations of credit risk with respect to revenues and accounts receivable are limited due to a large, diverse customer base. One individual customer represented 13% of revenue for fiscal year 2023. One individual customer represented 11% of accounts receivable, net as of October 31,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individual supplier represented 10% of accounts payable as of October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Lemons procured from third-party growers were 54%, 52% and 52% of the Company's lemon supply in fiscal years 2023,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third-party grower was 44% of growers and suppliers payable as of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Cultural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Growing costs, also referred to as cultural costs, consist of orchard maintenance costs such as cultivation, fertilization and soil amendments, pest control, pruning and irrigation. Harvest costs are comprised of labor and equipment expenses incurred to harvest and deliver crops to the packinghouses.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crops have distinct growing periods and distinct harvest and selling periods, each of which lasts approximately four to eight months. During the growing period, cultural costs are capitalized as they are associated with benefiting and preparing the crops for the harvest and selling period. During the harvest and selling period, harvest costs and cultural costs are expensed when incurred and capitalized cultural costs are amortized as components of agribusiness costs and expenses.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climate, growing conditions and the types of crops grown, certain of the Company's other crops may be harvested and sold on a year-round basis. Accordingly, the Company does not capitalize cultural costs associated with these crops and therefore such costs, as well as harvest costs associated with these crops, are expensed to operations when incurred as components of agribusiness costs and expenses.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cultural costs, including amortization of capitalized cultural costs, and harvest costs are associated with and charged to specific crops. Certain other costs, such as property taxes, indirect labor, including farm supervision and management, and irrigation that benefit multiple crops are allocated to crops on a per acre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computed annually for differences between the financial statement and income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original cost, net of accumulated depreciation. Depreciation is computed using the straight-line method at rates based upon the estimated useful lives of the related assets as follows (in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50</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Orchards and vineyards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w:t>
            </w:r>
          </w:p>
        </w:tc>
      </w:tr>
    </w:tbl>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planting and developing orchards are capitalized until the orchards become commercially productive. Planting costs consist primarily of the costs to purchase and plant nursery stock. Orchard development costs consist primarily of maintenance costs of orchards such as cultivation, pruning, irrigation, labor, pest control and fertilization, and interest costs during the development period. The Company ceases the capitalization of costs and commences depreciation when the orchards become commercially productive and orchard maintenance costs are accounted for as cultural costs as described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is capitalized on real estate development projects and significant construction in progress using the weighted average interest rate during the fiscal year. Capitalized interest is included in property, plant, and equipment, equity in investments and real estate development assets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6740" w:firstLine="8"/>
        <w:spacing w:after="0" w:line="417"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Real Estate Development Costs</w:t>
      </w: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the planning, entitlement, construction, development costs and interest associated with its various real estate 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The Company capitalized costs related to its real estate projects of $281,000 and $637,000 in fiscal years 2023 and 2022,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Investments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unconsolidated joint ventures in which the Company has significant influence but less than a controlling interest, or is not the primary beneficiary if the joint venture is determined to be a Variable Interest Entity (“VIE”), are accounted for under the equity method of accounting and, accordingly, are adjusted for capital contributions, distributions, capitalized interest and the Company’s equity in net earnings or loss of the respective joint venture. The Company evaluates equity method investments for impairment whenever events or changes in circumstances exist that may indicate the investments are no longer recoverable or have incurred an other-than-temporary decline in value.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and Intangible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trade names and trademarks and a non-competition agreement. The Company’s definite-life intangible assets are being amortized on a straight-line basis over their estimated lives ranging from eight to nine years. Acquired water and mineral rights are indefinite-life assets not subject to amortization. Assets held for sale are carried at the lower of cost or fair value less estimated cost to sell.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including its property and equipment, real estate development projects and definite-life intangible assets, for impairment whenever events or changes in circumstances indicate that the carrying value of an asset may not be recoverable. If the estimated fair value or undiscounted future cash flows from the use of an asset are less than the carrying value of that asset, a write-down is recorded to reduce the carrying value of the asset to its estimated fair value. The Company evaluates its indefinite-life intangible assets annually or whenever events or changes in circumstances indicate an impairment of the assets’ value may exist.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decline in demand for the Company's products as a result of the COVID-19 pandemic negatively impacted the Company's sales and profitability since the beginning of the second quarter of fiscal year 2020. The COVID-19 pandemic may continue to impact the Company's sales and profitability in future periods. The duration of these trends and the magnitude of such impacts are uncertain and therefore cannot be estimated at this time, as they are influenced by a number of factors, many of which are outside management’s control.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 Goodwill impairment is tested at the reporting unit level, which is defined as an operating segment or one level below the operating segment. The annual, or interim, goodwill impairment test is performed by comparing the fair value of a reporting unit with its carrying amount. An impairment charge is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 Goodwill impairment testing involves significant judgment and estimates.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accounts payable, growers and suppliers payable and accrued liabilities reported on the Company’s consolidated balance sheets approximate their fair values due to the short-term nature of the instruments.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borrowing rates currently available to the Company for bank loans with similar terms and maturities, the fair value of long-term debt is approximately equal to its carrying amount as of October 31, 2023 and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6740" w:firstLine="8"/>
        <w:spacing w:after="0" w:line="417" w:lineRule="auto"/>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Comprehensive Income (Loss)</w:t>
      </w: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represents all changes in a company’s net assets, except changes resulting from transactions with stockholders. Other comprehensive income or loss includes foreign currency translation items and defined benefit pension items. Accumulated other comprehensive loss is reported as a component of the Company's stockholders'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other comprehensive income (loss) by component at October 31(in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Pre-tax</w:t>
            </w:r>
          </w:p>
        </w:tc>
        <w:tc>
          <w:tcPr>
            <w:tcW w:w="9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pension liability adjustments: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reclassifications</w:t>
            </w: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Amounts reclassified to earnings included</w:t>
            </w: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 “Other (expense) income, net”</w:t>
            </w: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income by component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6"/>
                <w:szCs w:val="16"/>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20" w:type="dxa"/>
            <w:vAlign w:val="bottom"/>
          </w:tcPr>
          <w:p>
            <w:pPr>
              <w:spacing w:after="0"/>
              <w:rPr>
                <w:sz w:val="16"/>
                <w:szCs w:val="16"/>
                <w:color w:val="auto"/>
              </w:rPr>
            </w:pPr>
          </w:p>
        </w:tc>
        <w:tc>
          <w:tcPr>
            <w:tcW w:w="1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14"/>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Translation Loss</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20" w:type="dxa"/>
            <w:vAlign w:val="bottom"/>
          </w:tcPr>
          <w:p>
            <w:pPr>
              <w:spacing w:after="0"/>
              <w:rPr>
                <w:sz w:val="18"/>
                <w:szCs w:val="18"/>
                <w:color w:val="auto"/>
              </w:rPr>
            </w:pPr>
          </w:p>
        </w:tc>
        <w:tc>
          <w:tcPr>
            <w:tcW w:w="1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rPr>
              <w:t>(7,548)</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1099"/>
              <w:spacing w:after="0"/>
              <w:rPr>
                <w:sz w:val="20"/>
                <w:szCs w:val="20"/>
                <w:color w:val="auto"/>
              </w:rPr>
            </w:pPr>
            <w:r>
              <w:rPr>
                <w:rFonts w:ascii="Times New Roman" w:cs="Times New Roman" w:eastAsia="Times New Roman" w:hAnsi="Times New Roman"/>
                <w:sz w:val="16"/>
                <w:szCs w:val="16"/>
                <w:color w:val="auto"/>
              </w:rPr>
              <w:t>1,815</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rPr>
              <w:t>(5,733)</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rPr>
              <w:t>(7,908)</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1099"/>
              <w:spacing w:after="0"/>
              <w:rPr>
                <w:sz w:val="20"/>
                <w:szCs w:val="20"/>
                <w:color w:val="auto"/>
              </w:rPr>
            </w:pPr>
            <w:r>
              <w:rPr>
                <w:rFonts w:ascii="Times New Roman" w:cs="Times New Roman" w:eastAsia="Times New Roman" w:hAnsi="Times New Roman"/>
                <w:sz w:val="16"/>
                <w:szCs w:val="16"/>
                <w:color w:val="auto"/>
              </w:rPr>
              <w:t>2,242</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rPr>
              <w:t>(5,666)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whose functional currencies are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(loss) income.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foreign subsidiaries incurred aggregate foreign exchange transaction losses of approximately $204,000 in both of the fiscal years 2023 and 2022 and $646,000 for fiscal year 2021. These losses are included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right="6740" w:firstLine="8"/>
        <w:spacing w:after="0" w:line="415" w:lineRule="auto"/>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Revenue Recognition</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recognizes revenue to depict the transfer of promised goods or services to customers in an amount that reflects the consideration to which the Company expects to be entitled in exchange for those goods or services. To achieve that core principle, the Company applies the following steps:</w:t>
      </w:r>
    </w:p>
    <w:p>
      <w:pPr>
        <w:spacing w:after="0" w:line="108"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the appropriate method by which it recognizes revenue by analyzing the nature of the products or services being provided as well as the terms and conditions of contracts or arrangements entered into with its customers. The Company accounts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Agribusiness revenue - </w:t>
      </w:r>
      <w:r>
        <w:rPr>
          <w:rFonts w:ascii="Times New Roman" w:cs="Times New Roman" w:eastAsia="Times New Roman" w:hAnsi="Times New Roman"/>
          <w:sz w:val="18"/>
          <w:szCs w:val="18"/>
          <w:color w:val="auto"/>
        </w:rPr>
        <w:t>Revenue from lemon sales is generally recognized at a point in time when the customer takes control of the fruit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packinghouse, which aligns with the transfer of title to the customer. The Company has elected to treat any shipping and handling costs incurred after control of the goods has been transferred to the customer as agribusiness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avocados are packed and sold by third-party packinghouses. The Company’s arrangements with its third-party packinghouses are such that the Company is the producer and supplier of the product and the third-party packinghouses are the Company’s customers. The Company controls the product until it is delivered to the third-party packinghouses at which time control of the product is transferred to the third-party packinghouses and revenue is recognized.</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crop insurance proceeds is recorded when the amount can be reasonably determined and upon establishment of the present right to payment. We recorded agribusiness revenues from crop insurance proceeds of $769,000 and $449,000 in fiscal years 2023 and 2022, respectively. There were no proceeds received in fiscal year 2021.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were immaterial in fiscal year 2023 and $165,000 and $178,000 in fiscal years 2022 and 2021,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Lessee </w:t>
      </w:r>
      <w:r>
        <w:rPr>
          <w:rFonts w:ascii="Times New Roman" w:cs="Times New Roman" w:eastAsia="Times New Roman" w:hAnsi="Times New Roman"/>
          <w:sz w:val="18"/>
          <w:szCs w:val="18"/>
          <w:color w:val="auto"/>
        </w:rPr>
        <w:t>- The Company enters into leases as a lessee generally for agricultural land and packinghouse facilities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determines if an arrangement is a lease or contains a lease at inception. Operating and finance leases are included in other assets, accrued liabilities and other long-term liabilities on its consolidated balance sheets. Lease right-of-use (“ROU”) assets represent the right to use an underlying asset for the lease term and lease liabilities represent the obligation to make lease payments arising from the lease, measured on a discounted basis. Lease ROU assets and lease liabilities are recognized based on the present value of the future minimum lease payments over the lease term at commencement date. The Company uses either its incremental borrowing rate based on the information available at commencement date, or the rate implicit in the lease, if known, in determining the present value of future payments.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6740" w:firstLine="8"/>
        <w:spacing w:after="0" w:line="417" w:lineRule="auto"/>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Leases (continued)</w:t>
      </w: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had material leases with related parties which are further described in Note 15 - Related-Party Transactions.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13 - Leases for additional information.</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Lessor </w:t>
      </w:r>
      <w:r>
        <w:rPr>
          <w:rFonts w:ascii="Times New Roman" w:cs="Times New Roman" w:eastAsia="Times New Roman" w:hAnsi="Times New Roman"/>
          <w:sz w:val="18"/>
          <w:szCs w:val="18"/>
          <w:color w:val="auto"/>
        </w:rPr>
        <w:t>- Leases in which the Company acts as the lessor include land, residential and commercial units and are all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conversion of unvested, restricted stock and preferred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(loss)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Retirement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sponsored a defined benefit retirement plan (the “Plan”) that was frozen in June 2004, and no future benefits accrued to participants subsequent to that time. In fiscal year 2021, the Company terminated the Plan effective December 31, 2021. On November 4, 2022, the Company entered into an agreement with Principal Life Insurance Company for the purchase of an annuity contract in connection with the Plan termination. On November 10, 2022, the annuity contract was purchased for $12,617,000, payable with Plan assets and a $2,500,000 cash payment from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9100" w:firstLine="8"/>
        <w:spacing w:after="0" w:line="417" w:lineRule="auto"/>
        <w:tabs>
          <w:tab w:leader="none" w:pos="1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Sales and Disposals Northern Properties</w:t>
      </w: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2022, the Company entered into a Purchase and Sale Agreement, as amended, (the “Agreement”) with PGIM Real Estate Finance, LLC (“PGIM”) to sell 3,537 acres of land and citrus orchards in Tulare County, California (the “Northern Properties”) for a purchase price of approximately $100,405,000. On January 25, 2023, the Board approved the Agreement creating a binding agreement of the Company to sell the Northern Properties and the transaction closed on January 31, 2023. During the quarter ended April 30, 2023, the purchase price was decreased by $397,000 for reimbursement of certain cultural costs and prepaid expenses, resulting in a final purchase price of $100,008,000. After transaction costs the Company received net proceeds of $98,411,000.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transaction (in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75"/>
        </w:trPr>
        <w:tc>
          <w:tcPr>
            <w:tcW w:w="9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proceeds received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85,494</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directly repaid through the transaction</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proceeds received</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book value of assets sold</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Cultural costs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29"/>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53,144</w:t>
            </w:r>
          </w:p>
        </w:tc>
      </w:tr>
      <w:tr>
        <w:trPr>
          <w:trHeight w:val="229"/>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29"/>
        </w:trPr>
        <w:tc>
          <w:tcPr>
            <w:tcW w:w="9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99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58,416</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39,995</w:t>
            </w:r>
          </w:p>
        </w:tc>
      </w:tr>
      <w:tr>
        <w:trPr>
          <w:trHeight w:val="20"/>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were used to pay down all of the Company’s domestic debt except the AgWest Farm Credit $40,000,000 non-revolving line of credit. The Northern Properties component, including an allocation of interest expense related to the debt directly repaid through the transaction, had a pretax (loss) gain of $(1,667,000), $(1,236,000) and $3,334,000 for fiscal years 2023, 2022 and 2021,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2023, the Company entered into a Farm Management Agreement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the Company entered into a Grower Packing and Marketing Agreement to provide packing, marketing and selling services for lemons harvested on the Northern Properties for a minimum five-year term, subject to certain benchmarking standards.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Cadiz Ranch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the Company determined that citrus farming operations were economically unviable on 670 acres of leased agricultural land at the Cadiz Ranch. As a result, the Company ceased farming operations, disposed of the related property, plant and equipment and recorded a loss on disposal of assets of $9,012,000 during fiscal year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Oxnard Lemon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2022, the Company sold the Oxnard Lemon property and packing facility located in Ventura County, California. The Company received net proceeds of $19,144,000 and recognized a gain of approximately $846,000, which is included in (gain) loss on disposal of assets, net in the consolidated statements of operations. Concurrent with the closing of the sale, the Company entered into a lease agreement to continue use of the property as a lessee for a period of 36 months from the closing date, with extension options for an additional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as of October 31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supplies and insurance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supplier advances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 as of October 31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87,617</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37,929</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61,615</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Orchards and vineyards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313,528</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(90,900)</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222,628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$7,701,000, $9,075,000 and $8,883,000 for fiscal years 2023,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 Asset Sales and Disposals for discussion on the Company's significant property, plant and equipment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Real Estate Development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development assets are comprised of land and land development costs for the East Area II property in the amount of $9,987,000 and $9,706,000 as of October 31, 2023 and 2022,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as of October 31, 2023 and 2022, which is included in payables to related parties.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Real Estate Development (continued)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is payable monthly. The Loan contains certain customary default provisions and LLCB may prepay any amounts outstanding under the Loan without penalty. The Loan had no outstanding balance of as of October 31, 2023.</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2018, the Company and certain principals from Lewis guaranteed the obligations under the Loan. The guarantors are jointly and severally liable for all Loan obligations in the event of default by LLCB. The guarantee continues in effect until all of the Loan obligations are fully paid and the Loan terminates.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After transaction costs, the Company received net proceeds of $7,917,000 and recorded a gain on the transaction of $4,652,000, of which $465,000 was deferred and $4,187,000 is included in (gain) loss on disposal of assets, net in the consolidated statements of operations for fiscal year 2022. The joint venture partners will share in the capital contributions to fund project costs until loan proceeds and/or revenues are sufficient to fund the project. In connection with the closing, the Company and Lewis amended LLCB’s Limited Liability Company Agreement to provide that LLCB is to include the processing of final approval for additional residential units to be developed and constructed on the Retained Property. The Company made contributions of $525,000 to LLCB II in fiscal year 2023.</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October 31, 2023, LLCB has closed on lot sales representing 707 residential units since inception, including 121 residential units in fiscal year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Development Projects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year 2020, the Company entered into an agreement to sell its Sevilla property for $2,700,000, which closed in November 2022. After transaction and other costs, the Company received cash proceeds of approximately $2,577,000 and recorded an immaterial loss on disposal of assets during fiscal year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2017, the Company sold its Centennial property with a net book value of $2,983,000 for $3,250,000. The Company received cash and a $3,000,000 promissory note secured by the property for the balance of the purchase. In fiscal year 2022, the promissory note was paid in full and the deferred gain of $161,000 was recorded in (gain) loss on disposal of assets, net.</w:t>
      </w:r>
    </w:p>
    <w:p>
      <w:pPr>
        <w:spacing w:after="0" w:line="91" w:lineRule="exact"/>
        <w:rPr>
          <w:sz w:val="20"/>
          <w:szCs w:val="20"/>
          <w:color w:val="auto"/>
        </w:rPr>
      </w:pPr>
    </w:p>
    <w:p>
      <w:pPr>
        <w:ind w:right="9360" w:firstLine="8"/>
        <w:spacing w:after="0" w:line="424" w:lineRule="auto"/>
        <w:tabs>
          <w:tab w:leader="none" w:pos="1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 Investments Limco Del Mar, Ltd.</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a 1.3% interest in Limco Del Mar, Ltd. (“Del Mar”) as a general partner and a 26.8% interest as a limited partner. Based on the terms of the partnership agreement, the Company may be removed as general partner without cause from the partnership upon the vote of the limited partners owning an aggregate of 50% or more interest in the partnership. Since the Company has significant influence, but less than a controlling interest, the Company’s investment in Del Mar is accounted for using the equity method of accounting.</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Del Mar with farm management, orchard land development and accounting services and received expense reimbursements of $206,000, $202,000 and $200,000 in fiscal years 2023, 2022 and 2021, respectively. Del Mar markets lemons through the Company pursuant to its customary marketing agreements and the amount of lemons procured from Del Mar was $1,161,000, $1,568,000 and $1,681,000 in fiscal years 2023, 2022 and 2021, respectively. Fruit proceeds due to Del Mar were $347,000 and $703,000 as of October 31, 2023 and 2022, respectively, and are included in growers and suppliers payable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8440" w:firstLine="8"/>
        <w:spacing w:after="0" w:line="417" w:lineRule="auto"/>
        <w:tabs>
          <w:tab w:leader="none" w:pos="1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 Investments (continued) Romney Property Partnership</w:t>
      </w: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2007, the Company and an individual formed the Romney Property Partnership (“Romney”) for the purpose of owning and leasing an office building and adjacent lot in Santa Paula, California. The Company paid $489,000 in 2007 for 75% interest in Romney. The terms of the partnership agreement affirm the status of the Company as a noncontrolling investor in the partnership since the Company cannot exercise unilateral control over the partnership. Since the Company has significant influence, but less than a controlling interest, the Company’s investment in Romney is accounted for using the equity method of accounting. Net profits, losses and cash flows of Romney are shared by the Company, which receives 75% and the individual, who receives 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Rosales S.A.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currently has a 47% equity interest in Rosales S.A. (“Rosales”) of which 35% was acquired in fiscal year 2014 and an additional 12% interest was acquired with the purchase of Fruticola Pan de Azucar S.A. (“PDA”) in fiscal year 2017. Rosales is a citrus packing, marketing and sales business located in La Serena, Chile. In addition, the Company has the right to acquire the interest of the majority shareholder of Rosales upon death or disability of Rosales’ general manager for the fair value of the interest on the date of the event as defined in the shareholders’ agreement. Since the Company has significant influence, but less than a controlling interest, the Company’s investment in Rosales is accounted for using the equity method of accounting.</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Rosales’ functional currency is the Chilean Peso. The following financial information has been translated to U.S. dollars. In addition, as a result of the Company’s acquisition of its equity interest, basis differences were identified between the historical cost of the net assets of Rosales and the proportionate fair value of the net assets acquired. Such basis differences aggregated to $1,683,000 on the acquisition date and are primarily comprised of intangible assets, including $343,000 of equity method goodwill. An additional $925,000 of basis differences were identified with the February 2017 PDA acquisition, including $143,000 of equity method goodwill. The $2,122,000 in basis differences exclusive of goodwill is being amortized over the estimated life of the underlying intangible assets as a reduction in the equity investment and an expense included in equity in earnings of investments. Amortization amounted to $87,000, $118,000 and $180,000 for fiscal years 2023, 2022 and 2021, respectively, and is estimated to be immaterial thereafter.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$4,581,000, $3,615,000 and $3,405,000 of lemon sales to Rosales in fiscal years 2023, 2022 and 2021, respectively. The aggregate amount of lemons and oranges procured from Rosales was $5,826,000, $3,821,000 and $5,304,000 in fiscal years 2023, 2022 and 2021, respectively. Net amounts due from Rosales were $626,000 and $270,000 as of October 31, 2023 and 2022, respectively, and are included in receivables/other from related parties and payables to related parties.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Limoneira Lewis Community Builders, LLC (“LLCB”)</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6 – Real Estate Development, the Company has a joint venture with Lewis for the residential development of its East Area I real estate development project. In addition to the assessment performed by the Company of its investment in LLCB under the requirements of Regulation S-X Rule 4-08(g), the Company also assessed its investment in LLCB under the requirements of Regulation S-X Rule 3-09(b). LLCB was deemed significant for the years ended October 31, 2023 and 2021 but was not significant for the year ended October 31, 2022. Therefore, the audited financial statements of LLCB for the years ended October 31, 2023, 2022 and 2021 are provided as exhibits to this document to comply with this rule. Additionally, there is a basis difference between the Company’s historical investment in the project and the amount recorded in members’ capital by LLCB of $58,282,000 as of October 31, 2023. The basis difference of $8,006,000 as of October 31, 2023 is primarily comprised of capitalized interest, amounts related to the loan guarantee and certain other costs incurred by Limoneira Company during the development period. This basis difference is being amortized as lots are sold utilizing the relative sales value method and the amount amortized totaled $717,000, $77,000 and $1,434,000 in fiscal years 2023, 2022 and 2021, respectively. The Company's share of LLCB's net income prior to basis amortization was $5,851,000, $1,015,000 and $4,508,000 for fiscal years 2023, 2022 and 2021,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LLCB II, LLC (“LLCB II”)</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Note 6 - Real Estate Development, in October 2022, the Company formed a joint venture with Lewis for the residential development of its Retained Property. Control is shared with Lewis, therefore the Company's investment in LLCB II is accounted for using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in Investments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financial information of the equity method investees for fiscal years 2023, 2022 and 2021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Del Mar</w:t>
            </w:r>
          </w:p>
        </w:tc>
        <w:tc>
          <w:tcPr>
            <w:tcW w:w="22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Romney</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Rosales</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LLCB</w:t>
            </w:r>
          </w:p>
        </w:tc>
        <w:tc>
          <w:tcPr>
            <w:tcW w:w="18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LLCB II</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 and equity in earnings (losses) of the equity method investees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Del Mar</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Romney</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Rosales</w:t>
            </w:r>
          </w:p>
        </w:tc>
        <w:tc>
          <w:tcPr>
            <w:tcW w:w="24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LLCB</w:t>
            </w: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LLCB II</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61,214</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(losses)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2021</w:t>
            </w: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64,072</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(losses)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contributions</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2022</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72,855</w:t>
            </w: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(losses)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distributions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contributions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balance October 31, 2023</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78,816</w:t>
            </w:r>
          </w:p>
        </w:tc>
      </w:tr>
      <w:tr>
        <w:trPr>
          <w:trHeight w:val="21"/>
        </w:trPr>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4"/>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is as follows (in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2"/>
        </w:trPr>
        <w:tc>
          <w:tcPr>
            <w:tcW w:w="4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Goodwill</w:t>
            </w:r>
          </w:p>
        </w:tc>
      </w:tr>
      <w:tr>
        <w:trPr>
          <w:trHeight w:val="184"/>
        </w:trPr>
        <w:tc>
          <w:tcPr>
            <w:tcW w:w="4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29"/>
        </w:trPr>
        <w:tc>
          <w:tcPr>
            <w:tcW w:w="40" w:type="dxa"/>
            <w:vAlign w:val="bottom"/>
          </w:tcPr>
          <w:p>
            <w:pPr>
              <w:spacing w:after="0"/>
              <w:rPr>
                <w:sz w:val="19"/>
                <w:szCs w:val="19"/>
                <w:color w:val="auto"/>
              </w:rPr>
            </w:pPr>
          </w:p>
        </w:tc>
        <w:tc>
          <w:tcPr>
            <w:tcW w:w="9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40" w:type="dxa"/>
            <w:vAlign w:val="bottom"/>
          </w:tcPr>
          <w:p>
            <w:pPr>
              <w:spacing w:after="0"/>
              <w:rPr>
                <w:sz w:val="19"/>
                <w:szCs w:val="19"/>
                <w:color w:val="auto"/>
              </w:rPr>
            </w:pPr>
          </w:p>
        </w:tc>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29"/>
        </w:trPr>
        <w:tc>
          <w:tcPr>
            <w:tcW w:w="40" w:type="dxa"/>
            <w:vAlign w:val="bottom"/>
          </w:tcPr>
          <w:p>
            <w:pPr>
              <w:spacing w:after="0"/>
              <w:rPr>
                <w:sz w:val="19"/>
                <w:szCs w:val="19"/>
                <w:color w:val="auto"/>
              </w:rPr>
            </w:pPr>
          </w:p>
        </w:tc>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0" w:type="dxa"/>
            <w:vAlign w:val="bottom"/>
          </w:tcPr>
          <w:p>
            <w:pPr>
              <w:spacing w:after="0"/>
              <w:rPr>
                <w:sz w:val="19"/>
                <w:szCs w:val="19"/>
                <w:color w:val="auto"/>
              </w:rPr>
            </w:pPr>
          </w:p>
        </w:tc>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29"/>
        </w:trPr>
        <w:tc>
          <w:tcPr>
            <w:tcW w:w="40" w:type="dxa"/>
            <w:vAlign w:val="bottom"/>
          </w:tcPr>
          <w:p>
            <w:pPr>
              <w:spacing w:after="0"/>
              <w:rPr>
                <w:sz w:val="19"/>
                <w:szCs w:val="19"/>
                <w:color w:val="auto"/>
              </w:rPr>
            </w:pPr>
          </w:p>
        </w:tc>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40" w:type="dxa"/>
            <w:vAlign w:val="bottom"/>
          </w:tcPr>
          <w:p>
            <w:pPr>
              <w:spacing w:after="0"/>
              <w:rPr>
                <w:sz w:val="21"/>
                <w:szCs w:val="21"/>
                <w:color w:val="auto"/>
              </w:rPr>
            </w:pPr>
          </w:p>
        </w:tc>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0"/>
        </w:trPr>
        <w:tc>
          <w:tcPr>
            <w:tcW w:w="40" w:type="dxa"/>
            <w:vAlign w:val="bottom"/>
          </w:tcPr>
          <w:p>
            <w:pPr>
              <w:spacing w:after="0" w:line="20" w:lineRule="exact"/>
              <w:rPr>
                <w:sz w:val="1"/>
                <w:szCs w:val="1"/>
                <w:color w:val="auto"/>
              </w:rPr>
            </w:pPr>
          </w:p>
        </w:tc>
        <w:tc>
          <w:tcPr>
            <w:tcW w:w="9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 The Company concluded that no potential impairment indicators existed during any interim period and performed its annual assessment of goodwill impairment as of July 31, 2023 with no impairment noted. The Company did not incur any goodwill impairment losses in fiscal years 2023, 2022 or 2021, as the estimated fair values of its reporting units were in excess of their carrying values.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2023, the Company allocated goodwill to its reportable segments as follows: Fresh Lemons $942,000 and Lemon Packing $570,000,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as of October 31 (in thousands):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70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Indefinite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Amortization expense totaled $730,000, $723,000, and $929,000 for fiscal years 2023, 2022 and 2021, respectively.</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are as follows (in thousands):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Mutual Water Companies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2023, the Company sold an investment in a mutual water company with a net book value of $1,320,000 as part of the Northern Properties sale described in Note 3 - Asset Sales and Disposals. Amounts included in other assets in the consolidated balance sheets as of October 31, 2023 and 2022 were $5,703,000 and $6,500,000, respectively.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as of October 31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is comprised of the following as of October 31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56"/>
        </w:trPr>
        <w:tc>
          <w:tcPr>
            <w:tcW w:w="85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AgWest Farm Credit revolving and non-revolving lines of credit: the interest rate of the revolving line of credit is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variable based on the one-month Secured Overnight Financing Rate (“SOFR”), which was 5.31% at October 31,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2023, plus 1.78%. The interest rate for the $40.0 million outstanding balance of the non-revolving line of credit is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fixed at 3.57% through July 1, 2025 and variable thereafter. Interest is payable monthly and the principal is due in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on July 1, 2026.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88,521</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AgWest Farm Credit term loan: The interest rate was fixed at 3.24%. The loan was repaid in January 2023.</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AgWest Farm Credit term loan: The interest rate was fixed at 3.24%. The loan was repaid in January 2023.</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0" w:type="dxa"/>
            <w:vAlign w:val="bottom"/>
          </w:tcPr>
          <w:p>
            <w:pPr>
              <w:spacing w:after="0"/>
              <w:rPr>
                <w:sz w:val="1"/>
                <w:szCs w:val="1"/>
                <w:color w:val="auto"/>
              </w:rPr>
            </w:pPr>
          </w:p>
        </w:tc>
      </w:tr>
      <w:tr>
        <w:trPr>
          <w:trHeight w:val="176"/>
        </w:trPr>
        <w:tc>
          <w:tcPr>
            <w:tcW w:w="8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AgWest Farm Credit term loan: The interest rate was fixed at 2.77% until July 1, 2025, becoming variable for the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the loan. The loan was repaid in January 2023.</w:t>
            </w:r>
          </w:p>
        </w:tc>
        <w:tc>
          <w:tcPr>
            <w:tcW w:w="3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AgWest Farm Credit term loan: The interest rate was fixed at 3.19%. The loan was repaid in January 2023.</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176"/>
        </w:trPr>
        <w:tc>
          <w:tcPr>
            <w:tcW w:w="8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term loan: The interest rate is fixed at 6.48%. The loan is payable in annual installments through</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The loans are payable in monthly</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installments through September 2024.</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175"/>
        </w:trPr>
        <w:tc>
          <w:tcPr>
            <w:tcW w:w="8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Banco de Chile COVID-19 loans: The interest rates are fixed at 3.48% and 4.26%. The loans are payable in monthly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installments through September 2026.</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105,902</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 net of accumulated amortization</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105,808</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entered into a revolving equity line of credit promissory note and loan agreement with the Lender for a $15,000,000 Revolving Equity Line of Credit (the “RELOC”) secured by a first lien on the Windfall Investors, LLC property. The RELOC featured a 3-year draw period followed by 20 years of fully amortized loan payments. On March 31, 2023, the draw period expired and the RELOC was closed as there was no balance outstanding.</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provide aggregate borrowing capacity of $115,000,000 comprised of $75,000,000 under the Revolving Credit Supplement, and $40,000,000 under the Non-Revolving Credit Supplement. As of October 31, 2023, the Company's outstanding borrowings under the Supplements were $40,000,000 and it had $75,000,000 available to borrow.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 (continued)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used the proceeds from the Northern Properties sale as described in Note 3 - Asset Sales and Disposals to reduce the Company's long-term debt.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in effect under the Revolving Credit Supplement automatically adjusts on the first day of each month. The interest rate for any amount outstanding under the Revolving Credit Supplement was based on the one-month LIBOR plus or minus an applicable margin. As of January 1, 2023, the rate transitioned from LIBOR to the SOFR. The applicable margin ranges from 1.68% to 2.28% depending on the ratio of current assets, plus the remaining available commitment divided by current liabilities. On each one-year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indebtedness under the MLA, including any indebtedness under the Supplements, is secured by a first lien on Company-owned stock or participation certificates, Company funds maintained with the Lender, the Lender’s unallocated surplus, and certain of the Company’s agricultural properties and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on an annual basis. In September 2023, the Lender modified the covenant to defer measurement as of October 31, 2023 and resume a debt service coverage ratio of 1.25:1.0 measured as of October 31, 2024.</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received annual cash patronage dividends from the Lender of $1,413,000, $1,582,000 and $1,170,000 in fiscal years 2023, 2022 and 2021,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is capitalized on non-bearing orchards, real estate development projects and significant construction in progress. The Company capitalized interest of $864,000, $582,000 and $1,110,000 during fiscal years ended 2023, 2022 and 2021, respectively. Capitalized interest is included in property, plant and equipment, real estate development assets and equity in investments in the Company’s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the Company’s long-term debt are due as follows (in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75"/>
        </w:trPr>
        <w:tc>
          <w:tcPr>
            <w:tcW w:w="9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w:t>
            </w:r>
          </w:p>
        </w:tc>
      </w:tr>
      <w:tr>
        <w:trPr>
          <w:trHeight w:val="223"/>
        </w:trPr>
        <w:tc>
          <w:tcPr>
            <w:tcW w:w="99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41,009</w:t>
            </w:r>
          </w:p>
        </w:tc>
      </w:tr>
      <w:tr>
        <w:trPr>
          <w:trHeight w:val="20"/>
        </w:trPr>
        <w:tc>
          <w:tcPr>
            <w:tcW w:w="9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Other Long-Term Liabilities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as of October 31 (in thousands):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85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pension liability</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guarantee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leasing transactions in which it rents certain of its assets and the Company is the lessor. These lease contracts are typically classified as operating leases with remaining terms ranging from one month to 19 years, with various renewal terms available. All of the residential rentals have month-to-month lease terms.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operating lease portfolio included in property, plant and equipment, net as of October 31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equipment and building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19,983</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Orchards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under operating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assets under operating leases was approximately $1,005,000 and $934,000 for fiscal years 2023 and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rental operations revenue consists of the following for the fiscal years ended October 31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4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revenue</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revenue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future minimum lease payments to be received by the Company related to these operating lease agreements as of October 31, 2023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jc w:val="both"/>
        <w:ind w:right="9520" w:firstLine="8"/>
        <w:spacing w:after="0" w:line="417" w:lineRule="auto"/>
        <w:tabs>
          <w:tab w:leader="none" w:pos="27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(continued) Lessee Arrangements</w:t>
      </w: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classified as either operating or finance leases. The Company’s lease contracts are generally for agricultural land and packinghouse facilities and equipment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Lease costs consist of the following for the fiscal years ended October 31 (in thousands):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84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consists of the following as of October 31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3,484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6,190</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1,091</w:t>
            </w:r>
          </w:p>
        </w:tc>
      </w:tr>
      <w:tr>
        <w:trPr>
          <w:trHeight w:val="223"/>
        </w:trPr>
        <w:tc>
          <w:tcPr>
            <w:tcW w:w="39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4,666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7,281</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39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payables to related parties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1,892</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4,347</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715</w:t>
            </w:r>
          </w:p>
        </w:tc>
      </w:tr>
      <w:tr>
        <w:trPr>
          <w:trHeight w:val="248"/>
        </w:trPr>
        <w:tc>
          <w:tcPr>
            <w:tcW w:w="39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4,466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7,222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4"/>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 (continued)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consists of the following for the fiscal years ended October 31 (in thousands):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9"/>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ROU asset and operating lease liability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leases are as follows (in thousands), which excludes $870,000 of operating lease payments for leases that have been signed but not commenced: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operating and finance lease commitments, the Company also has financing transactions which do not meet the definition of a lease, with minimum future payments of $224,000 in fiscal years 2024, 2025 and 2026 and $37,000 in fiscal year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conversion of unvested, restricted stock and preferred stock. The Series B and Series B-2 convertible preferred shares were anti-dilutive for fiscal years 2023, 2022 and 2021. The computations for basic and diluted net income (loss) per common share are as follows for the fiscal years ended October 31 (in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unvested, restricted stock</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Numerator: Net income (loss) for basic EPS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basic EPS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Net income (loss) for diluted EPS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shares–diluted</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17,555</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net income (loss) per common share is calculated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income (loss) per common share was calculated under the two-class method for fiscal years 2023 and 2022. The Company excluded 117,000 unvested, restricted shares, as calculated under the treasury stock method, from its computation of diluted net loss per common share for fiscal year 2021.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transactions with equity method investments and various related parties summarized in Note 6 - Real Estate Development, Note 7 -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Investments and in the tables below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Receivables/Other</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Payables to</w:t>
            </w:r>
          </w:p>
        </w:tc>
        <w:tc>
          <w:tcPr>
            <w:tcW w:w="10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4"/>
                <w:szCs w:val="14"/>
                <w:b w:val="1"/>
                <w:bCs w:val="1"/>
                <w:color w:val="auto"/>
              </w:rPr>
              <w:t>Other Long-</w:t>
            </w:r>
          </w:p>
        </w:tc>
        <w:tc>
          <w:tcPr>
            <w:tcW w:w="10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Receivables/Other</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Payables to</w:t>
            </w:r>
          </w:p>
        </w:tc>
        <w:tc>
          <w:tcPr>
            <w:tcW w:w="10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4"/>
                <w:szCs w:val="14"/>
                <w:b w:val="1"/>
                <w:bCs w:val="1"/>
                <w:color w:val="auto"/>
              </w:rPr>
              <w:t>Other Long-</w:t>
            </w:r>
          </w:p>
        </w:tc>
        <w:tc>
          <w:tcPr>
            <w:tcW w:w="0" w:type="dxa"/>
            <w:vAlign w:val="bottom"/>
          </w:tcPr>
          <w:p>
            <w:pPr>
              <w:spacing w:after="0"/>
              <w:rPr>
                <w:sz w:val="1"/>
                <w:szCs w:val="1"/>
                <w:color w:val="auto"/>
              </w:rPr>
            </w:pPr>
          </w:p>
        </w:tc>
      </w:tr>
      <w:tr>
        <w:trPr>
          <w:trHeight w:val="137"/>
        </w:trPr>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40" w:type="dxa"/>
            <w:vAlign w:val="bottom"/>
          </w:tcPr>
          <w:p>
            <w:pPr>
              <w:spacing w:after="0"/>
              <w:rPr>
                <w:sz w:val="11"/>
                <w:szCs w:val="11"/>
                <w:color w:val="auto"/>
              </w:rPr>
            </w:pPr>
          </w:p>
        </w:tc>
        <w:tc>
          <w:tcPr>
            <w:tcW w:w="11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from Related</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from Related</w:t>
            </w:r>
          </w:p>
        </w:tc>
        <w:tc>
          <w:tcPr>
            <w:tcW w:w="9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80" w:type="dxa"/>
            <w:vAlign w:val="bottom"/>
          </w:tcPr>
          <w:p>
            <w:pPr>
              <w:spacing w:after="0"/>
              <w:rPr>
                <w:sz w:val="11"/>
                <w:szCs w:val="11"/>
                <w:color w:val="auto"/>
              </w:rPr>
            </w:pPr>
          </w:p>
        </w:tc>
        <w:tc>
          <w:tcPr>
            <w:tcW w:w="9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00" w:type="dxa"/>
            <w:vAlign w:val="bottom"/>
          </w:tcPr>
          <w:p>
            <w:pPr>
              <w:spacing w:after="0"/>
              <w:rPr>
                <w:sz w:val="11"/>
                <w:szCs w:val="11"/>
                <w:color w:val="auto"/>
              </w:rPr>
            </w:pPr>
          </w:p>
        </w:tc>
        <w:tc>
          <w:tcPr>
            <w:tcW w:w="880" w:type="dxa"/>
            <w:vAlign w:val="bottom"/>
          </w:tcPr>
          <w:p>
            <w:pPr>
              <w:jc w:val="center"/>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90"/>
        </w:trPr>
        <w:tc>
          <w:tcPr>
            <w:tcW w:w="440" w:type="dxa"/>
            <w:vAlign w:val="bottom"/>
            <w:gridSpan w:val="2"/>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 w:type="dxa"/>
            <w:vAlign w:val="bottom"/>
          </w:tcPr>
          <w:p>
            <w:pPr>
              <w:spacing w:after="0"/>
              <w:rPr>
                <w:sz w:val="16"/>
                <w:szCs w:val="16"/>
                <w:color w:val="auto"/>
              </w:rPr>
            </w:pPr>
          </w:p>
        </w:tc>
        <w:tc>
          <w:tcPr>
            <w:tcW w:w="8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Cadiz / Fenner / WAM</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219"/>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2,681</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2,652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LLCB</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 (continued)</w:t>
      </w:r>
    </w:p>
    <w:p>
      <w:pPr>
        <w:sectPr>
          <w:pgSz w:w="11900" w:h="16838" w:orient="portrait"/>
          <w:cols w:equalWidth="0" w:num="1">
            <w:col w:w="11240"/>
          </w:cols>
          <w:pgMar w:left="320" w:top="122" w:right="339" w:bottom="1440" w:gutter="0" w:footer="0" w:header="0"/>
        </w:sectPr>
      </w:pPr>
    </w:p>
    <w:p>
      <w:pPr>
        <w:spacing w:after="0" w:line="16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Year Ended 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33655</wp:posOffset>
            </wp:positionV>
            <wp:extent cx="27089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Year Ended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33655</wp:posOffset>
            </wp:positionV>
            <wp:extent cx="27260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p>
      <w:pPr>
        <w:spacing w:after="0" w:line="33" w:lineRule="exact"/>
        <w:rPr>
          <w:sz w:val="20"/>
          <w:szCs w:val="20"/>
          <w:color w:val="auto"/>
        </w:rPr>
      </w:pPr>
    </w:p>
    <w:p>
      <w:pPr>
        <w:sectPr>
          <w:pgSz w:w="11900" w:h="16838" w:orient="portrait"/>
          <w:cols w:equalWidth="0" w:num="2">
            <w:col w:w="6760" w:space="720"/>
            <w:col w:w="376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51"/>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41"/>
              <w:spacing w:after="0" w:line="151"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3"/>
                <w:szCs w:val="13"/>
                <w:color w:val="auto"/>
              </w:rPr>
            </w:pPr>
          </w:p>
        </w:tc>
        <w:tc>
          <w:tcPr>
            <w:tcW w:w="74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46"/>
        </w:trPr>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Ref</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0" w:type="dxa"/>
            <w:vAlign w:val="bottom"/>
            <w:gridSpan w:val="2"/>
            <w:vMerge w:val="continue"/>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15"/>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Mutual water companies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Calavo</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Cadiz / Fenner / WAM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YMIDD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FGF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owner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bl>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 2021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8"/>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60" w:type="dxa"/>
            <w:vAlign w:val="bottom"/>
            <w:tcBorders>
              <w:top w:val="single" w:sz="8" w:color="auto"/>
            </w:tcBorders>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61"/>
              <w:spacing w:after="0" w:line="137" w:lineRule="exact"/>
              <w:rPr>
                <w:sz w:val="20"/>
                <w:szCs w:val="20"/>
                <w:color w:val="auto"/>
              </w:rPr>
            </w:pPr>
            <w:r>
              <w:rPr>
                <w:rFonts w:ascii="Times New Roman" w:cs="Times New Roman" w:eastAsia="Times New Roman" w:hAnsi="Times New Roman"/>
                <w:sz w:val="14"/>
                <w:szCs w:val="14"/>
                <w:b w:val="1"/>
                <w:bCs w:val="1"/>
                <w:color w:val="auto"/>
              </w:rPr>
              <w:t>Agribusiness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48"/>
        </w:trPr>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Ref</w:t>
            </w:r>
          </w:p>
        </w:tc>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Related-Party</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Expense and</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0" w:type="dxa"/>
            <w:vAlign w:val="bottom"/>
            <w:gridSpan w:val="2"/>
            <w:vMerge w:val="continue"/>
          </w:tcPr>
          <w:p>
            <w:pPr>
              <w:spacing w:after="0"/>
              <w:rPr>
                <w:sz w:val="16"/>
                <w:szCs w:val="16"/>
                <w:color w:val="auto"/>
              </w:rPr>
            </w:pPr>
          </w:p>
        </w:tc>
        <w:tc>
          <w:tcPr>
            <w:tcW w:w="6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14"/>
        </w:trPr>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Mutual water companies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Calavo</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Cadiz / Fenner / WAM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Colorado River Growers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2,772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YMIDD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FGF</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2,884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Freska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Third-party growers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0" w:firstLine="8"/>
        <w:spacing w:after="0" w:line="208" w:lineRule="auto"/>
        <w:tabs>
          <w:tab w:leader="none" w:pos="203"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Employees - The Company rents certain of its residential housing assets to employees on a month-to-month basis and recorded rental income from employees.</w:t>
      </w:r>
    </w:p>
    <w:p>
      <w:pPr>
        <w:spacing w:after="0" w:line="90" w:lineRule="exact"/>
        <w:rPr>
          <w:rFonts w:ascii="Times New Roman" w:cs="Times New Roman" w:eastAsia="Times New Roman" w:hAnsi="Times New Roman"/>
          <w:sz w:val="23"/>
          <w:szCs w:val="23"/>
          <w:color w:val="auto"/>
          <w:vertAlign w:val="superscript"/>
        </w:rPr>
      </w:pPr>
    </w:p>
    <w:p>
      <w:pPr>
        <w:jc w:val="both"/>
        <w:ind w:firstLine="8"/>
        <w:spacing w:after="0" w:line="211" w:lineRule="auto"/>
        <w:tabs>
          <w:tab w:leader="none" w:pos="209"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Mutual water companies - The Company has representation on the boards of directors of the mutual water companies in which the Company has investments, as well as other water districts. Refer to Note 9 - Other Assets. The Company recorded capital contributions, purchased water and water delivery services and had water payments due to the mutual water companies and districts.</w:t>
      </w:r>
    </w:p>
    <w:p>
      <w:pPr>
        <w:spacing w:after="0" w:line="105" w:lineRule="exact"/>
        <w:rPr>
          <w:rFonts w:ascii="Times New Roman" w:cs="Times New Roman" w:eastAsia="Times New Roman" w:hAnsi="Times New Roman"/>
          <w:sz w:val="23"/>
          <w:szCs w:val="23"/>
          <w:color w:val="auto"/>
          <w:vertAlign w:val="superscript"/>
        </w:rPr>
      </w:pPr>
    </w:p>
    <w:p>
      <w:pPr>
        <w:ind w:firstLine="8"/>
        <w:spacing w:after="0" w:line="229" w:lineRule="auto"/>
        <w:tabs>
          <w:tab w:leader="none" w:pos="195"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Cooperative association - The Company has representation on the board of directors of a non-profit cooperative association that provides pest control services for the agricultural industry. The Company purchased services and supplies from and had immaterial payments due to the cooperative association.</w:t>
      </w:r>
    </w:p>
    <w:p>
      <w:pPr>
        <w:spacing w:after="0" w:line="103" w:lineRule="exact"/>
        <w:rPr>
          <w:rFonts w:ascii="Times New Roman" w:cs="Times New Roman" w:eastAsia="Times New Roman" w:hAnsi="Times New Roman"/>
          <w:sz w:val="23"/>
          <w:szCs w:val="23"/>
          <w:color w:val="auto"/>
          <w:vertAlign w:val="superscript"/>
        </w:rPr>
      </w:pPr>
    </w:p>
    <w:p>
      <w:pPr>
        <w:jc w:val="both"/>
        <w:ind w:firstLine="8"/>
        <w:spacing w:after="0" w:line="223" w:lineRule="auto"/>
        <w:tabs>
          <w:tab w:leader="none" w:pos="183"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Calavo - Through January 2022, the Company had representation on the board of directors of Calavo. Calavo owned common stock of the Company and the Company paid dividends on such common stock to Calavo. Additionally, the Company leases office space to Calavo. As of February 2022, Calavo is no longer a related-party.</w:t>
      </w:r>
    </w:p>
    <w:p>
      <w:pPr>
        <w:spacing w:after="0" w:line="103" w:lineRule="exact"/>
        <w:rPr>
          <w:rFonts w:ascii="Times New Roman" w:cs="Times New Roman" w:eastAsia="Times New Roman" w:hAnsi="Times New Roman"/>
          <w:sz w:val="22"/>
          <w:szCs w:val="22"/>
          <w:color w:val="auto"/>
          <w:vertAlign w:val="superscript"/>
        </w:rPr>
      </w:pPr>
    </w:p>
    <w:p>
      <w:pPr>
        <w:jc w:val="both"/>
        <w:ind w:firstLine="8"/>
        <w:spacing w:after="0" w:line="245" w:lineRule="auto"/>
        <w:tabs>
          <w:tab w:leader="none" w:pos="187"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leased 670 acres located in eastern San Bernardino County, California. In 2016, Cadiz assigned this lease to Fenner Valley Farms, LLC (“Fenner”), a subsidiary of Water Asset Management, LLC (“WAM”). As of the date of this lease assignment, the Company no longer has any related-party transactions with Cadiz. An affiliate of WAM is the holder of 9,300 shares of the Company's Series B-2 convertible preferred stock. The annual base rent was equal to the sum of $200 per planted acre and 20% of gross revenues from the sale of harvested lemons (less operating expenses), not to exceed $1,200 per acre per year. Upon the adoption of ASC 842, the Company recorded a ROU asset and corresponding lease liability, which were written off in fiscal year 2023 upon cessation of farming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 (continued)</w:t>
      </w:r>
    </w:p>
    <w:p>
      <w:pPr>
        <w:spacing w:after="0" w:line="135" w:lineRule="exact"/>
        <w:rPr>
          <w:sz w:val="20"/>
          <w:szCs w:val="20"/>
          <w:color w:val="auto"/>
        </w:rPr>
      </w:pPr>
    </w:p>
    <w:p>
      <w:pPr>
        <w:jc w:val="both"/>
        <w:ind w:firstLine="8"/>
        <w:spacing w:after="0" w:line="251" w:lineRule="auto"/>
        <w:tabs>
          <w:tab w:leader="none" w:pos="182"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Colorado River Growers, Inc. (“CRG”) - The Company had representation on the board of directors of CRG, a non-profit cooperative association of fruit growers engaged in the agricultural harvesting business in Yuma County, Arizona. CRG was dissolved in August 2021. The Company paid harvest expense to CRG and provided harvest management and administrative services to CRG.</w:t>
      </w:r>
    </w:p>
    <w:p>
      <w:pPr>
        <w:spacing w:after="0" w:line="123" w:lineRule="exact"/>
        <w:rPr>
          <w:rFonts w:ascii="Times New Roman" w:cs="Times New Roman" w:eastAsia="Times New Roman" w:hAnsi="Times New Roman"/>
          <w:sz w:val="22"/>
          <w:szCs w:val="22"/>
          <w:color w:val="auto"/>
          <w:vertAlign w:val="superscript"/>
        </w:rPr>
      </w:pPr>
    </w:p>
    <w:p>
      <w:pPr>
        <w:jc w:val="both"/>
        <w:ind w:firstLine="8"/>
        <w:spacing w:after="0" w:line="235" w:lineRule="auto"/>
        <w:tabs>
          <w:tab w:leader="none" w:pos="211"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has a receivable outstanding.</w:t>
      </w:r>
    </w:p>
    <w:p>
      <w:pPr>
        <w:spacing w:after="0" w:line="118" w:lineRule="exact"/>
        <w:rPr>
          <w:rFonts w:ascii="Times New Roman" w:cs="Times New Roman" w:eastAsia="Times New Roman" w:hAnsi="Times New Roman"/>
          <w:sz w:val="23"/>
          <w:szCs w:val="23"/>
          <w:color w:val="auto"/>
          <w:vertAlign w:val="superscript"/>
        </w:rPr>
      </w:pPr>
    </w:p>
    <w:p>
      <w:pPr>
        <w:jc w:val="both"/>
        <w:ind w:firstLine="8"/>
        <w:spacing w:after="0" w:line="255" w:lineRule="auto"/>
        <w:tabs>
          <w:tab w:leader="none" w:pos="184"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FGF - The Company advances funds to FGF for fruit purchases, which are recorded as an asset until the sales occur and the remaining proceeds become due to FGF.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pacing w:after="0" w:line="101"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LLCB - Refer to Note 6 - Real Estate Development.</w:t>
      </w:r>
    </w:p>
    <w:p>
      <w:pPr>
        <w:spacing w:after="0" w:line="130" w:lineRule="exact"/>
        <w:rPr>
          <w:rFonts w:ascii="Times New Roman" w:cs="Times New Roman" w:eastAsia="Times New Roman" w:hAnsi="Times New Roman"/>
          <w:sz w:val="22"/>
          <w:szCs w:val="22"/>
          <w:color w:val="auto"/>
          <w:vertAlign w:val="superscript"/>
        </w:rPr>
      </w:pPr>
    </w:p>
    <w:p>
      <w:pPr>
        <w:jc w:val="both"/>
        <w:ind w:firstLine="8"/>
        <w:spacing w:after="0" w:line="235" w:lineRule="auto"/>
        <w:tabs>
          <w:tab w:leader="none" w:pos="27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Freska - A former member of the Company's board of directors is a majority shareholder of Freska Produce International, LLC (“Freska”). The Company had avocado sales to Freska and corresponding receivables for such sales. The former board member resigned effective June 14, 2022 and Freska is no longer a related-party.</w:t>
      </w:r>
    </w:p>
    <w:p>
      <w:pPr>
        <w:spacing w:after="0" w:line="118" w:lineRule="exact"/>
        <w:rPr>
          <w:rFonts w:ascii="Times New Roman" w:cs="Times New Roman" w:eastAsia="Times New Roman" w:hAnsi="Times New Roman"/>
          <w:sz w:val="23"/>
          <w:szCs w:val="23"/>
          <w:color w:val="auto"/>
          <w:vertAlign w:val="superscript"/>
        </w:rPr>
      </w:pPr>
    </w:p>
    <w:p>
      <w:pPr>
        <w:ind w:firstLine="8"/>
        <w:spacing w:after="0" w:line="242" w:lineRule="auto"/>
        <w:tabs>
          <w:tab w:leader="none" w:pos="263"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Third-party growers - A former member of the Company's board of directors marketed lemons through the Company. The former board member resigned effective June 14, 2022 and is no longer a related-party.</w:t>
      </w:r>
    </w:p>
    <w:p>
      <w:pPr>
        <w:spacing w:after="0" w:line="74" w:lineRule="exact"/>
        <w:rPr>
          <w:rFonts w:ascii="Times New Roman" w:cs="Times New Roman" w:eastAsia="Times New Roman" w:hAnsi="Times New Roman"/>
          <w:sz w:val="22"/>
          <w:szCs w:val="22"/>
          <w:color w:val="auto"/>
          <w:vertAlign w:val="superscript"/>
        </w:rPr>
      </w:pPr>
    </w:p>
    <w:p>
      <w:pPr>
        <w:ind w:left="240" w:hanging="232"/>
        <w:spacing w:after="0"/>
        <w:tabs>
          <w:tab w:leader="none" w:pos="240" w:val="left"/>
        </w:tabs>
        <w:numPr>
          <w:ilvl w:val="0"/>
          <w:numId w:val="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Principal owner - The Company has one principal owner with ownership shares over 10% and paid dividends to such owner.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income (loss) before income taxes for domestic and foreign locations for the fiscal years ended October 31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for the fiscal years ended October 31 are as follows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12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(provision) benefit</w:t>
            </w:r>
          </w:p>
        </w:tc>
        <w:tc>
          <w:tcPr>
            <w:tcW w:w="29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(provision) benefit</w:t>
            </w:r>
          </w:p>
        </w:tc>
        <w:tc>
          <w:tcPr>
            <w:tcW w:w="2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9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9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2"/>
        </w:trPr>
        <w:tc>
          <w:tcPr>
            <w:tcW w:w="41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of temporary differences between the carrying amount of the assets and liabilities for financial reporting and income tax purposes. The components of deferred income tax assets as of October 31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other accruals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income tax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w:t>
            </w:r>
          </w:p>
        </w:tc>
      </w:tr>
      <w:tr>
        <w:trPr>
          <w:trHeight w:val="270"/>
        </w:trPr>
        <w:tc>
          <w:tcPr>
            <w:tcW w:w="8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 and other indefinite life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joint ventures and other basis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receivables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(31,678)</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 noncurrent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 noncurrent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w:t>
            </w: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the recoverability of the deferred tax assets. 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has recorded a valuation allowance of $2,299,000 on the net deferred tax assets of its subsidiaries in Argentina, Chile and Holland as of October 31, 2023 as the Company does not believe it is more likely than not that these deferred tax assets will be realized due to the recent history of cumulative pre-tax book losses and lack of objectively verifiable future sources of taxable income.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 (continued)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2023, the Company has recorded a deferred tax asset of $1,970,000 related to its state and foreign net operating loss carryforwards. The net operating losses begin to expire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5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Begin to Expire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5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10/31/2040</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Holland</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10/31/2025</w:t>
            </w: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10/31/2025</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U.S. statutory federal income tax rate to pretax income as a result of the following differences for the fiscal years ended October 31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40" w:type="dxa"/>
            <w:vAlign w:val="bottom"/>
            <w:tcBorders>
              <w:bottom w:val="single" w:sz="8" w:color="auto"/>
            </w:tcBorders>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at statutory rates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law change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rate adjustment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and others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2023 and 2022, the Company had no unrecognized tax benefits. The Company files income tax returns in the U.S., California, Arizona, Chile, Argentina and Holland. The Company is no longer subject to significant U.S., state and Chilean income tax examinations for years prior to the statutory periods of three years for federal, four years for state and three years for Chilean tax jurisdictions. The Company recognizes interest expense and penalties related to income tax matters as a component of income tax expense. There was no accrued interest or penalties associated with uncertain tax positions as of October 31,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Limoneira Company Retirement Plan (the “Plan”) was a noncontributory, defined benefit, single employer pension plan, which provided retirement benefits for all eligible employees. Benefits paid by the Plan were calculated based on years of service, highest five-year average earnings, primary Social Security benefit and retirement age. Effective June 2004, the Company froze the Plan and no additional benefits accrued to participants subsequent to that date. The Plan was administered by Principal Bank and Mercer Human Resource Consulting. In fiscal year 2021, the Company terminated the Plan effective December 31, 2021.</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2023, the Company made funding contributions of $2,500,000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was funded consistent with the funding requirements of federal law and regulations. There were no funding contributions during fiscal year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were invested in a group trust consisting primarily of cash.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Plans (continued)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Plan’s net periodic benefit cost, changes in benefit obligation and Plan assets, funded status, amounts recognized in the Company’s consolidated balance sheets, additional year-end information and assumptions used in determining the benefit obligations and net periodic benefit cost.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Plan at October 31 were as follows (in thousands):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85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loss recognized</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Retirement Plans (continued)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the Plan’s funded status at October 31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settlements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and expenses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0" w:type="dxa"/>
            <w:vAlign w:val="bottom"/>
          </w:tcPr>
          <w:p>
            <w:pPr>
              <w:spacing w:after="0"/>
              <w:rPr>
                <w:sz w:val="1"/>
                <w:szCs w:val="1"/>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settlements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and expenses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Transfer in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funded status: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0" w:type="dxa"/>
            <w:vAlign w:val="bottom"/>
          </w:tcPr>
          <w:p>
            <w:pPr>
              <w:spacing w:after="0"/>
              <w:rPr>
                <w:sz w:val="1"/>
                <w:szCs w:val="1"/>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0" w:type="dxa"/>
            <w:vAlign w:val="bottom"/>
          </w:tcPr>
          <w:p>
            <w:pPr>
              <w:spacing w:after="0"/>
              <w:rPr>
                <w:sz w:val="1"/>
                <w:szCs w:val="1"/>
                <w:color w:val="auto"/>
              </w:rPr>
            </w:pPr>
          </w:p>
        </w:tc>
      </w:tr>
      <w:tr>
        <w:trPr>
          <w:trHeight w:val="248"/>
        </w:trPr>
        <w:tc>
          <w:tcPr>
            <w:tcW w:w="8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plan obligations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statements of financial position: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obligation recognized in statements of financial position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 of amounts recognized in statements of financial position: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contributions in excess of net periodic benefit cost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deficit recognized in statements of financial position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are changes in accumulated other comprehensive income, before tax, in the Plan at October 31,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recognized in other comprehensive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arising during the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benefit and other comprehensive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at October 31, were used in determining benefit obligations and net periodic benefit cost ($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obligations:</w:t>
            </w: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tcPr>
          <w:p>
            <w:pPr>
              <w:spacing w:after="0"/>
              <w:rPr>
                <w:sz w:val="19"/>
                <w:szCs w:val="19"/>
                <w:color w:val="auto"/>
              </w:rPr>
            </w:pP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NA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8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to determine net periodic benefit cost:</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NA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tcPr>
          <w:p>
            <w:pPr>
              <w:spacing w:after="0"/>
              <w:rPr>
                <w:sz w:val="19"/>
                <w:szCs w:val="19"/>
                <w:color w:val="auto"/>
              </w:rPr>
            </w:pP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NA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r>
      <w:tr>
        <w:trPr>
          <w:trHeight w:val="256"/>
        </w:trPr>
        <w:tc>
          <w:tcPr>
            <w:tcW w:w="8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year-end information:</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14,607</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14,607</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12,335</w:t>
            </w: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401(k) plan in which an employee can participate after one month of employment. Employees may elect to defer up to 100% of their annual earnings subject to Internal Revenue Code limits. The Company makes a matching contribution on these deferrals up to 4% of the employee’s annual earnings after one year of employment. Participants vest in any matching contribution at a rate of 20% per year beginning after one year of employment. In addition, for calendar year 2023, the Company contributed a discretionary gift of 2% of gross wages deposited into the 401(k) account of all eligible employees. During fiscal years 2023, 2022 and 2021, the Company contributed to the plan and recognized expenses of $676,000, $445,000 and $546,000,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party to a lawsuit, initiated on March 27, 2018, against Southern California Edison in Superior Court of the State of California, County of Los Angeles whereby the Company claimed unspecified damages, attorneys’ fees and other costs, as a result of the Thomas Fire in fiscal year 2018. On April 18, 2023, the Company entered into a Confidential Settlement Agreement and Release (the “Settlement Agreement”) with Southern California Edison Company and Edison International to formally resolve any and all claims related to the fire. Under the terms of the Settlement Agreement, the Company was awarded a total settlement of $9,000,000. On May 19, 2023, the Company received $6,109,000, net of legal and related costs, of which $3,840,000 was recorded in agribusiness revenues and $2,269,000 was recorded in gain on legal settlement.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7920" w:firstLine="8"/>
        <w:spacing w:after="0" w:line="417" w:lineRule="auto"/>
        <w:tabs>
          <w:tab w:leader="none" w:pos="27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B and Series B-2 Preferred Stock Series B Convertible Preferred Stock</w:t>
      </w:r>
    </w:p>
    <w:p>
      <w:pPr>
        <w:jc w:val="both"/>
        <w:spacing w:after="0" w:line="282" w:lineRule="auto"/>
        <w:rPr>
          <w:sz w:val="20"/>
          <w:szCs w:val="20"/>
          <w:color w:val="auto"/>
        </w:rPr>
      </w:pPr>
      <w:r>
        <w:rPr>
          <w:rFonts w:ascii="Times New Roman" w:cs="Times New Roman" w:eastAsia="Times New Roman" w:hAnsi="Times New Roman"/>
          <w:sz w:val="18"/>
          <w:szCs w:val="18"/>
          <w:color w:val="auto"/>
        </w:rPr>
        <w:t>In 1997, in connection with the acquisition of Ronald Michaelis Ranches, Inc., the Company issued 30,000 shares of Series B Convertible Preferred Stock at $100.00 par value (the “Series B Stock”).</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 Each holder of Series B Stock is entitled to ten votes on all matters submitted to a vote of the stockholders of the Company.</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Put: The holders of Series B Stock may at any time after July 1, 2017 and before June 30,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Series B Stock may be redeemed by holders of the shares at their discretion beginning July 1, 2017, the redemption is outside the control of the Company and accordingly, the Series B Stock has been classified as temporary equity.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B-2 Convertible Preferred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March and April of 2014, pursuant to a Series B-2 Stock Purchase Agreement dated March 21, 2014, the Company issued an aggregate of 9,300 shares of Series B-2, 4% voting preferred stock with a par value of $100.00 per share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Conversion: Each share of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be trading or (b) $15.00 per share of common stock. Shares of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 Each share of Series B-2 Preferred Stock is entitled to one vote on all matters submitted to a vote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right="7000" w:firstLine="8"/>
        <w:spacing w:after="0" w:line="441" w:lineRule="auto"/>
        <w:tabs>
          <w:tab w:leader="none" w:pos="27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(continued) Series B-2 Convertible Preferred Stock (continued)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Series B-2 Preferred Stock may be redeemed by WPI at its discretion with the exercise of the Option Agreement, the redemption is outside the control of the Company and accordingly, the Series B-2 Preferred Stock has been classified as temporary equity.</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Series B-2 Preferred Stock, Associated Citrus Packers, Inc.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20,000 shares of preferred stock authorized as Series A Junior Participating Preferred Stock at $0.01 par value (the “Series A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are issued or outstanding.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stock-based compensation plan that allows for the grant of common stock of the Company to members of management, key executives and non-employee directors. The fair value of such awards is based on the fair value of the Company's stock on the date of grant and all are classified as equity awards. In fiscal year 2022, the 2010 Stock Plan terminated and was replaced by the 2022 Stock Plan (both plans collectively the “Stock Plans”) with 500,000 authorized shares. The Stock Plan had 154,580 remaining shares available to be issued as of October 31,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restricted stock grants are made to management each December under the Stock Plans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have been met, and generally vest over a two-year period as service is provided.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restricted stock grants are made to key executives under the Stock Plan (“Executive Awards”). These grants generally vest over a three-year period as service is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p>
      <w:pPr>
        <w:ind w:right="8220" w:firstLine="8"/>
        <w:spacing w:after="0" w:line="392" w:lineRule="auto"/>
        <w:tabs>
          <w:tab w:leader="none" w:pos="27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(continued) Stock-based Compensation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 (continued)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November 2023, subsequent to fiscal year 2023, the Company granted 53,078 shares of common stock with a per share price of $14.13 to key executives under the Stock Plan. The related compensation expense of approximately $750,000 will be recognized equally over the next three years as the shares vest.</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fiscal year 2022, the Company entered into Retention Bonus Agreements with key executives (collectively, the “Retention Bonus Agreements”) whereby the executives will be eligible to receive cash and restricted stock grants. During December 2023, subsequent to fiscal year 2023, the Company granted 12,709 shares of common stock with a per share price of $19.57 to key executives related to the Retention Bonus Agreements. The related compensation expense of approximately $249,000 had $115,000 recognized in fiscal year 2023 and the balance will be recognized over the next year as the shares vest.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Awards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issues shares of common stock to non-employee directors under the Stock Plan on an annual basis that generally vest upon grant or over a one-year period (“Director Awards”).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Awards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Performance, Executive, and Director Awards granted under the Stock Plan, and the weighted average grant prices, during the fiscal years ended October 31, is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00" w:type="dxa"/>
            <w:vAlign w:val="bottom"/>
            <w:tcBorders>
              <w:bottom w:val="single" w:sz="8" w:color="auto"/>
            </w:tcBorders>
          </w:tcPr>
          <w:p>
            <w:pPr>
              <w:spacing w:after="0"/>
              <w:rPr>
                <w:sz w:val="20"/>
                <w:szCs w:val="20"/>
                <w:color w:val="auto"/>
              </w:rPr>
            </w:pPr>
          </w:p>
        </w:tc>
      </w:tr>
      <w:tr>
        <w:trPr>
          <w:trHeight w:val="169"/>
        </w:trPr>
        <w:tc>
          <w:tcPr>
            <w:tcW w:w="3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3"/>
        </w:trPr>
        <w:tc>
          <w:tcPr>
            <w:tcW w:w="312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gridSpan w:val="3"/>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32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30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16"/>
        </w:trPr>
        <w:tc>
          <w:tcPr>
            <w:tcW w:w="31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8"/>
                <w:szCs w:val="18"/>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Grant Price</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79,972</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193,381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Awards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30,663</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296,189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119,231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125,663</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0"/>
        </w:trPr>
        <w:tc>
          <w:tcPr>
            <w:tcW w:w="3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Awards (continued)</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$3,841,000, $2,732,000 and $2,582,000 of stock-based compensation in fiscal years 2023, 2022 and 2021, respectively, of which substantially all of the expense has been included in selling, general and administrative expenses for all years presented. Forfeitures are accounted for in the period that the forfeiture occurs. The income tax benefit recognized in the income statement for stock-based compensation arrangements was $1,075,000, $604,000 and $476,000 for fiscal years 2023, 2022 and 2021, respectively. The total fair value of shares vested during fiscal years 2023, 2022 and 2021 was $1,323,000, $1,856,000 and $2,951,000 respectively. The Company has unrecognized stock-based compensation expense of $1,588,000 as of October 31, 2023, which is expected to be recognized over the next one to two years as the shares vest. All unvested shares are expected to vest.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Common Stock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years 2023, 2022 and 2021, respectively, members of management exchanged 39,472, 105,316 and 46,993 shares of common stock with fair values of $567,000, $1,530,000 and $701,000, at the dates of the exchanges, for the payment of payroll taxes associated with the vesting of shares under the Company’s stock-based compensation programs.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Stockholders’ Equity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Nonvested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shares as of October 31, 2023, and changes during fiscal year 2023, is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2022</w:t>
            </w:r>
          </w:p>
        </w:tc>
        <w:tc>
          <w:tcPr>
            <w:tcW w:w="18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110,897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296,189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(92,564)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October 31, 2023</w:t>
            </w:r>
          </w:p>
        </w:tc>
        <w:tc>
          <w:tcPr>
            <w:tcW w:w="18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314,522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2021, the Company's Board of Directors approved a share repurchase program authorizing it to repurchase up to $10,000,000 of its outstanding shares of common stock through September 2022. No shares were repurchased under this program.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19, 2023, the Company declared a $0.075 per share dividend payable on January 12, 2024, in the aggregate amount of $1,350,000 to common stockholders of record as of January 2,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Information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 management, farming and harvest costs and brokered fruit costs of oranges, specialty citrus and other crops.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gain or loss on disposal of assets, gain on legal settlement, total other income (expense) and income taxes, or specifically identify them to its operating segments. The lemon packing segment earns packing revenue for packing lemons grown on its orchards and lemons procured from third-party growers. Intersegment revenues represent packing revenues related to lemons grown on the Company’s orchards.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Information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2023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179,901</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174,381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179,901</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 (gains)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120,494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161,846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160,542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2022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60" w:type="dxa"/>
            <w:vAlign w:val="bottom"/>
          </w:tcPr>
          <w:p>
            <w:pPr>
              <w:spacing w:after="0"/>
              <w:rPr>
                <w:sz w:val="13"/>
                <w:szCs w:val="13"/>
                <w:color w:val="auto"/>
              </w:rPr>
            </w:pPr>
          </w:p>
        </w:tc>
        <w:tc>
          <w:tcPr>
            <w:tcW w:w="9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80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184,605</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179,281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184,605</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115,119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152,047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172,606</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9,798</w:t>
            </w:r>
          </w:p>
        </w:tc>
        <w:tc>
          <w:tcPr>
            <w:tcW w:w="0" w:type="dxa"/>
            <w:vAlign w:val="bottom"/>
          </w:tcPr>
          <w:p>
            <w:pPr>
              <w:spacing w:after="0"/>
              <w:rPr>
                <w:sz w:val="1"/>
                <w:szCs w:val="1"/>
                <w:color w:val="auto"/>
              </w:rPr>
            </w:pPr>
          </w:p>
        </w:tc>
      </w:tr>
      <w:tr>
        <w:trPr>
          <w:trHeight w:val="212"/>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fiscal year 2021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0" w:type="dxa"/>
            <w:vAlign w:val="bottom"/>
          </w:tcPr>
          <w:p>
            <w:pPr>
              <w:spacing w:after="0"/>
              <w:rPr>
                <w:sz w:val="13"/>
                <w:szCs w:val="13"/>
                <w:color w:val="auto"/>
              </w:rPr>
            </w:pP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Lemon</w:t>
            </w:r>
          </w:p>
        </w:tc>
        <w:tc>
          <w:tcPr>
            <w:tcW w:w="160" w:type="dxa"/>
            <w:vAlign w:val="bottom"/>
          </w:tcPr>
          <w:p>
            <w:pPr>
              <w:spacing w:after="0"/>
              <w:rPr>
                <w:sz w:val="13"/>
                <w:szCs w:val="13"/>
                <w:color w:val="auto"/>
              </w:rPr>
            </w:pPr>
          </w:p>
        </w:tc>
        <w:tc>
          <w:tcPr>
            <w:tcW w:w="9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Avocados</w:t>
            </w:r>
          </w:p>
        </w:tc>
        <w:tc>
          <w:tcPr>
            <w:tcW w:w="140" w:type="dxa"/>
            <w:vAlign w:val="bottom"/>
          </w:tcPr>
          <w:p>
            <w:pPr>
              <w:spacing w:after="0"/>
              <w:rPr>
                <w:sz w:val="13"/>
                <w:szCs w:val="13"/>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Lemons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166,027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125,448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161,381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166,027</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116,117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139,866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162,548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(19,222)</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related to rental operations are included in “Corporate and Other.” The detail of other agribusiness revenues for fiscal years ended October 31, is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 management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agribusiness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events subsequent to October 31, 2023 through the date of this filing, to assess the need for potential recognition or disclosure in this Annual Report. Based upon this evaluation, except as described in the notes to consolidated financial statements, it was determined that no other subsequent events occurred that require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As of October 31, 2023, we carried out an evaluation, under the supervision and with the participation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Annual Report.</w:t>
      </w:r>
    </w:p>
    <w:p>
      <w:pPr>
        <w:spacing w:after="0" w:line="1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Internal Control over Financial Reporting. </w:t>
      </w:r>
      <w:r>
        <w:rPr>
          <w:rFonts w:ascii="Times New Roman" w:cs="Times New Roman" w:eastAsia="Times New Roman" w:hAnsi="Times New Roman"/>
          <w:sz w:val="18"/>
          <w:szCs w:val="18"/>
          <w:color w:val="auto"/>
        </w:rPr>
        <w:t>Refer to “Management’s Report on Internal Control over Financial Reporting” and “Report of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below.</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Limoneira Company (the “Company”) is responsible for establishing and maintaining adequate internal control over financial reporting as such term is defined in the Exchange Act Rule 13a-15(f).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including the principal executive officer and principal financial officer, conducted an evaluation of the effectiveness of Limoneira Company’s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internal control over financial reporting was effective as of October 31, 2023. Deloitte &amp; Touche LLP, an independent registered public accounting firm, has audited the effectiveness of the Company’s internal control over financial reporting and has issued a report on internal control over financial reporting, which is included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82" w:name="page83"/>
    <w:bookmarkEnd w:id="82"/>
    <w:p>
      <w:pPr>
        <w:ind w:right="3360" w:firstLine="3364"/>
        <w:spacing w:after="0" w:line="43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Limoneira Company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Limoneira Company and subsidiaries (the “Company”) as of October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2023, of the Company and our report dated December 21, 2023, expressed an unqualified opinion on those financial statements based on our audit and the report of the other auditors.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83" w:name="page84"/>
    <w:bookmarkEnd w:id="8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quarter ended October 31, 2023, or, to our knowledge, internal control over financial reporting.</w:t>
      </w:r>
    </w:p>
    <w:p>
      <w:pPr>
        <w:spacing w:after="0" w:line="20" w:lineRule="exact"/>
        <w:rPr>
          <w:sz w:val="20"/>
          <w:szCs w:val="20"/>
          <w:color w:val="auto"/>
        </w:rPr>
      </w:pPr>
      <w:r>
        <w:rPr>
          <w:sz w:val="20"/>
          <w:szCs w:val="20"/>
          <w:color w:val="auto"/>
        </w:rPr>
        <w:br w:type="column"/>
      </w:r>
    </w:p>
    <w:p>
      <w:pPr>
        <w:ind w:hanging="1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internal control over financial reporting during the in other factors that have materially affected, or are reasonably likely to materially affect, our</w:t>
      </w:r>
    </w:p>
    <w:p>
      <w:pPr>
        <w:spacing w:after="0" w:line="305" w:lineRule="exact"/>
        <w:rPr>
          <w:sz w:val="20"/>
          <w:szCs w:val="20"/>
          <w:color w:val="auto"/>
        </w:rPr>
      </w:pPr>
    </w:p>
    <w:p>
      <w:pPr>
        <w:sectPr>
          <w:pgSz w:w="11900" w:h="16838" w:orient="portrait"/>
          <w:cols w:equalWidth="0" w:num="2">
            <w:col w:w="4120" w:space="60"/>
            <w:col w:w="7060"/>
          </w:cols>
          <w:pgMar w:left="320" w:top="1251" w:right="339" w:bottom="1440" w:gutter="0" w:footer="0" w:header="0"/>
        </w:sect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the Effectiveness of Controls. </w:t>
      </w:r>
      <w:r>
        <w:rPr>
          <w:rFonts w:ascii="Times New Roman" w:cs="Times New Roman" w:eastAsia="Times New Roman" w:hAnsi="Times New Roman"/>
          <w:sz w:val="18"/>
          <w:szCs w:val="18"/>
          <w:color w:val="auto"/>
        </w:rPr>
        <w:t>Control systems, no matter how well conceived and operated, are designed to provide a reasonable,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will file a definitive Proxy Statement for the Annual Meeting of Stockholders pursuant to Regulation 14A of the Exchange Act (the “Proxy Statement”), not later than 120 days after the end of the fiscal year covered by this Annual Report, and the applicable information included in the Proxy Statement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5"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(Public Company Accounting Oversight Board identification number 34</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Financial Statements of Limoneira Company</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Balance Sheets as of October 31, 2023 and 2022</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October 31, 2023, 2022 and 2021</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October 31, 2023, 2022 and 2021</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 for the years ended October 31, 2023, 2022 and 2021</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October 31, 2023, 2022 and 2021</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p>
      <w:pPr>
        <w:spacing w:after="0" w:line="284"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ind w:left="720"/>
        <w:spacing w:after="0" w:line="245" w:lineRule="auto"/>
        <w:rPr>
          <w:sz w:val="20"/>
          <w:szCs w:val="20"/>
          <w:color w:val="auto"/>
        </w:rPr>
      </w:pPr>
      <w:r>
        <w:rPr>
          <w:rFonts w:ascii="Times New Roman" w:cs="Times New Roman" w:eastAsia="Times New Roman" w:hAnsi="Times New Roman"/>
          <w:sz w:val="18"/>
          <w:szCs w:val="18"/>
          <w:color w:val="auto"/>
        </w:rPr>
        <w:t>Per Item 15(a)(2), list the following documents filed as part of the report: those financial statements required to be filed by Item 8 of this Form 10-K, and by paragraph (b) below.</w:t>
      </w:r>
    </w:p>
    <w:p>
      <w:pPr>
        <w:spacing w:after="0" w:line="257" w:lineRule="exact"/>
        <w:rPr>
          <w:sz w:val="20"/>
          <w:szCs w:val="20"/>
          <w:color w:val="auto"/>
        </w:rPr>
      </w:pPr>
    </w:p>
    <w:p>
      <w:pPr>
        <w:ind w:left="720" w:hanging="694"/>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3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set forth on page 87.</w:t>
      </w:r>
    </w:p>
    <w:p>
      <w:pPr>
        <w:spacing w:after="0" w:line="283" w:lineRule="exact"/>
        <w:rPr>
          <w:rFonts w:ascii="Times New Roman" w:cs="Times New Roman" w:eastAsia="Times New Roman" w:hAnsi="Times New Roman"/>
          <w:sz w:val="18"/>
          <w:szCs w:val="18"/>
          <w:color w:val="auto"/>
        </w:rPr>
      </w:pPr>
    </w:p>
    <w:p>
      <w:pPr>
        <w:ind w:left="720" w:hanging="694"/>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rFonts w:ascii="Times New Roman" w:cs="Times New Roman" w:eastAsia="Times New Roman" w:hAnsi="Times New Roman"/>
          <w:sz w:val="18"/>
          <w:szCs w:val="18"/>
          <w:color w:val="auto"/>
        </w:rPr>
      </w:pPr>
    </w:p>
    <w:p>
      <w:pPr>
        <w:jc w:val="both"/>
        <w:ind w:left="72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Item 15(c), registrants shall file, as financial statement schedules to this Form 10-K, the financial statements required by Regulation S-X (17 CFR 210) which are excluded from the annual report to stockholders by Rule 14a-3(b) including: (1) separate financial statements of subsidiaries not consolidated and fifty percent or less owned persons; (2) separate financial statements of affiliates whose securities are pledged as collateral; and (3) schedules.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00" w:type="dxa"/>
            <w:vAlign w:val="bottom"/>
            <w:gridSpan w:val="23"/>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2"/>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60" w:type="dxa"/>
            <w:vAlign w:val="bottom"/>
            <w:tcBorders>
              <w:top w:val="single" w:sz="8" w:color="auto"/>
            </w:tcBorders>
            <w:gridSpan w:val="29"/>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Certificate of Merger of Limoneira Company and The Samuel Edwards Associates into Limoneira Company, dated October 31, 1990</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(Incorporated by reference to exhibit 3.2 to the Company’s Registration Statement on Form 10, and amendments thereto, declared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22"/>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effective April 13, 2010 (File No. 000-53885))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Certificate of Merger of McKevett Corporation into Limoneira Company dated December 31, 1994 (Incorporated by reference to</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exhibit 3.3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000-53885))</w:t>
              </w:r>
            </w:hyperlink>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Agreement of Merger Between Ronald Michaelis Ranches, Inc. and Limoneira Company, dated June 24, 1997 (Incorporated by</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reference to exhibit 3.6 to the Company’s Registration Statement on Form 10, and amendments thereto, declared effective April 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14">
              <w:r>
                <w:rPr>
                  <w:rFonts w:ascii="Times New Roman" w:cs="Times New Roman" w:eastAsia="Times New Roman" w:hAnsi="Times New Roman"/>
                  <w:sz w:val="18"/>
                  <w:szCs w:val="18"/>
                  <w:color w:val="0000FF"/>
                  <w:w w:val="98"/>
                </w:rPr>
                <w:t>2010 (File No. 000-53885))</w:t>
              </w:r>
            </w:hyperlink>
          </w:p>
        </w:tc>
        <w:tc>
          <w:tcPr>
            <w:tcW w:w="78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Restated Certificate of Incorporation of Limoneira Company, dated July 5, 1990 (Incorporated by reference to exhibit 3.1 to the</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Company’s Registration Statement on Form 10, and amendments thereto, declared effective April 13, 2010 (File No. 000-53885))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Amendment of Certificate of Incorporation of Limoneira Company, dated April 22, 2003 (Incorporated by reference to</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exhibit 3.7 to the Company’s Registration Statement on Form 10, and amendments thereto, declared effective April 13, 2010 (File No.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16">
              <w:r>
                <w:rPr>
                  <w:rFonts w:ascii="Times New Roman" w:cs="Times New Roman" w:eastAsia="Times New Roman" w:hAnsi="Times New Roman"/>
                  <w:sz w:val="18"/>
                  <w:szCs w:val="18"/>
                  <w:color w:val="0000FF"/>
                  <w:w w:val="97"/>
                </w:rPr>
                <w:t>000-53885))</w:t>
              </w:r>
            </w:hyperlink>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Certificate of Amendment of Certificate of Incorporation of Limoneira Company, dated March 24, 2010 (Incorporated by reference to</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exhibit 3.9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17">
              <w:r>
                <w:rPr>
                  <w:rFonts w:ascii="Times New Roman" w:cs="Times New Roman" w:eastAsia="Times New Roman" w:hAnsi="Times New Roman"/>
                  <w:sz w:val="18"/>
                  <w:szCs w:val="18"/>
                  <w:color w:val="0000FF"/>
                  <w:w w:val="97"/>
                </w:rPr>
                <w:t>000-53885))</w:t>
              </w:r>
            </w:hyperlink>
          </w:p>
        </w:tc>
        <w:tc>
          <w:tcPr>
            <w:tcW w:w="7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Certificate of Amendment of Certificate of Incorporation of Limoneira Company, dated March 29, 2017 (Incorporated by reference to</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exhibit 3.1 to the Company’s Current Report on Form 8-K, filed March 31, 2017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Bylaws of Limoneira Company (Incorporated by reference to exhibit 3.1 to the Company's Current Report on</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8-K, filed October 27, 2021 (File No. 001-34755))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Certificate of Designation, Preferences and Rights of Series A Junior Participating Preferred Stock, $.01 Par Value, of Limoneira</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and amendments thereto, declared effective April 13, 2010 (File No. 000-53885))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 xml:space="preserve">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 Company,</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dated May 21, 1997 (Incorporated by reference to exhibit 3.4 to the Company’s Registration Statement on Form 10, and amendments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thereto, declared effective April 13, 2010 (File No. 000-53885))</w:t>
              </w:r>
            </w:hyperlink>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 xml:space="preserve">Amended 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w:t>
              </w:r>
            </w:hyperlink>
          </w:p>
        </w:tc>
      </w:tr>
      <w:tr>
        <w:trPr>
          <w:trHeight w:val="156"/>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Company, dated May 21, 1997 (Incorporated by reference to exhibit 3.5 to the Company’s Registration Statement on Form 10, and</w:t>
              </w:r>
            </w:hyperlink>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amendments thereto, declared effective April 13, 2010 (File No. 000-53885))</w:t>
              </w:r>
            </w:hyperlink>
          </w:p>
        </w:tc>
        <w:tc>
          <w:tcPr>
            <w:tcW w:w="4340" w:type="dxa"/>
            <w:vAlign w:val="bottom"/>
            <w:tcBorders>
              <w:top w:val="single" w:sz="8" w:color="0000FF"/>
            </w:tcBorders>
            <w:gridSpan w:val="8"/>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48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 xml:space="preserve">Certificate of Designation, Preferences and Rights of 4%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B-2 of Limoneira Company,</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dated March 20, 2014 (Incorporated by reference to exhibit 3.1 to the Company’s Current Report on Form 8-K, filed March 24, 2014</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(File No. 001-34755))</w:t>
              </w:r>
            </w:hyperlink>
          </w:p>
        </w:tc>
        <w:tc>
          <w:tcPr>
            <w:tcW w:w="8280" w:type="dxa"/>
            <w:vAlign w:val="bottom"/>
            <w:tcBorders>
              <w:top w:val="single" w:sz="8" w:color="0000FF"/>
            </w:tcBorders>
            <w:gridSpan w:val="13"/>
          </w:tcPr>
          <w:p>
            <w:pPr>
              <w:spacing w:after="0"/>
              <w:rPr>
                <w:sz w:val="14"/>
                <w:szCs w:val="14"/>
                <w:color w:val="auto"/>
              </w:rPr>
            </w:pPr>
          </w:p>
        </w:tc>
        <w:tc>
          <w:tcPr>
            <w:tcW w:w="2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2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Description of Securities (Incorporated by reference to exhibit 4.7 of the Company's Annual Report on Form 10-K, filed on December</w:t>
              </w:r>
            </w:hyperlink>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22, 2022 (File No. 001-34755))</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7" w:name="page88"/>
    <w:bookmarkEnd w:id="87"/>
    <w:p>
      <w:pPr>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292" w:right="35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Real Estate Advisory Management Consultant Agreement dated April 1, 2004, by and between Limoneira Company and Parkstone</w:t>
              </w:r>
            </w:hyperlink>
          </w:p>
        </w:tc>
      </w:tr>
      <w:tr>
        <w:trPr>
          <w:trHeight w:val="155"/>
        </w:trPr>
        <w:tc>
          <w:tcPr>
            <w:tcW w:w="136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Companies (Incorporated by reference to exhibit 10.1 of the Company’s Current Report on Form 8-K, filed August 25,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9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001-34755))</w:t>
              </w:r>
            </w:hyperlink>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Amendment No. 1 to Real Estate Advisory Management Consultant Agreement dated August 24, 2010, by and between Limoneira</w:t>
              </w:r>
            </w:hyperlink>
          </w:p>
        </w:tc>
      </w:tr>
      <w:tr>
        <w:trPr>
          <w:trHeight w:val="156"/>
        </w:trPr>
        <w:tc>
          <w:tcPr>
            <w:tcW w:w="1360" w:type="dxa"/>
            <w:vAlign w:val="bottom"/>
          </w:tcPr>
          <w:p>
            <w:pPr>
              <w:spacing w:after="0"/>
              <w:rPr>
                <w:sz w:val="13"/>
                <w:szCs w:val="13"/>
                <w:color w:val="auto"/>
              </w:rPr>
            </w:pPr>
          </w:p>
        </w:tc>
        <w:tc>
          <w:tcPr>
            <w:tcW w:w="100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Company and Parkstone Companies (Incorporated by reference to exhibit 10.2 of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98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August 25, 2010 (File No. 001-34755))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Lease Agreement dated February 15, 2005, between Limoneira Company and Calavo Growers, Inc. (Incorporated by reference to</w:t>
              </w:r>
            </w:hyperlink>
          </w:p>
        </w:tc>
      </w:tr>
      <w:tr>
        <w:trPr>
          <w:trHeight w:val="156"/>
        </w:trPr>
        <w:tc>
          <w:tcPr>
            <w:tcW w:w="1360" w:type="dxa"/>
            <w:vAlign w:val="bottom"/>
          </w:tcPr>
          <w:p>
            <w:pPr>
              <w:spacing w:after="0"/>
              <w:rPr>
                <w:sz w:val="13"/>
                <w:szCs w:val="13"/>
                <w:color w:val="auto"/>
              </w:rPr>
            </w:pPr>
          </w:p>
        </w:tc>
        <w:tc>
          <w:tcPr>
            <w:tcW w:w="101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exhibit 10.6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9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000-53885))</w:t>
              </w:r>
            </w:hyperlink>
          </w:p>
        </w:tc>
        <w:tc>
          <w:tcPr>
            <w:tcW w:w="4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4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Judgment, dated March 7, 1996, United Water Conservation Dist. v. City of San Buenaventura, et al., Case No. 115611, Superior Court</w:t>
              </w:r>
            </w:hyperlink>
          </w:p>
        </w:tc>
      </w:tr>
      <w:tr>
        <w:trPr>
          <w:trHeight w:val="156"/>
        </w:trPr>
        <w:tc>
          <w:tcPr>
            <w:tcW w:w="136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of the State of California, Ventura County (Incorporated by reference to exhibit 10.24 to the Company’s Registration Statement on Form</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61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10, and amendments thereto, declared effective April 13, 2010 (File No. 000-53885))</w:t>
              </w:r>
            </w:hyperlink>
          </w:p>
        </w:tc>
        <w:tc>
          <w:tcPr>
            <w:tcW w:w="398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Lease Agreement, dated July 1, 2013, by and between the Company and Cadiz, Inc. (Incorporated by reference to exhibit 10.1 to the</w:t>
              </w:r>
            </w:hyperlink>
          </w:p>
        </w:tc>
      </w:tr>
      <w:tr>
        <w:trPr>
          <w:trHeight w:val="156"/>
        </w:trPr>
        <w:tc>
          <w:tcPr>
            <w:tcW w:w="13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Current Report on Form 8-K, filed July 2, 2013 (File No. 001-34755))</w:t>
              </w:r>
            </w:hyperlink>
          </w:p>
        </w:tc>
        <w:tc>
          <w:tcPr>
            <w:tcW w:w="482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Cadiz-Limoneira Amended and Restated Lease, dated February 3, 2015, by and between Cadiz Real Estate LLC and Limoneira</w:t>
              </w:r>
            </w:hyperlink>
          </w:p>
        </w:tc>
      </w:tr>
      <w:tr>
        <w:trPr>
          <w:trHeight w:val="155"/>
        </w:trPr>
        <w:tc>
          <w:tcPr>
            <w:tcW w:w="136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Company (Incorporated by reference to exhibit 10.1 of the Company’s Quarterly Report on Form 10-Q, filed March 9, 2015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9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001-34755)).</w:t>
              </w:r>
            </w:hyperlink>
          </w:p>
        </w:tc>
        <w:tc>
          <w:tcPr>
            <w:tcW w:w="1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4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Series B-2 Preferred Stock Purchase Agreement, dated March 21, 2014, by and between Limoneira Company and WPI-ACP Holdings,</w:t>
              </w:r>
            </w:hyperlink>
          </w:p>
        </w:tc>
      </w:tr>
      <w:tr>
        <w:trPr>
          <w:trHeight w:val="155"/>
        </w:trPr>
        <w:tc>
          <w:tcPr>
            <w:tcW w:w="136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LLC (Incorporated by reference to exhibit 10.1 to the Current Report on Form 8-K, filed March 24, 2014 (File No. 001-34755))</w:t>
              </w:r>
            </w:hyperlink>
          </w:p>
        </w:tc>
        <w:tc>
          <w:tcPr>
            <w:tcW w:w="7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Contribution Agreement, dated September 4, 2015, by and among Limoneira Company and Lewis Santa Paula Member, LLC</w:t>
              </w:r>
            </w:hyperlink>
          </w:p>
        </w:tc>
      </w:tr>
      <w:tr>
        <w:trPr>
          <w:trHeight w:val="155"/>
        </w:trPr>
        <w:tc>
          <w:tcPr>
            <w:tcW w:w="13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by reference to exhibit 10.1 to the Company’s Current Report on Form 8-K, filed September 10, 2015 (File No. 001-</w:t>
              </w:r>
            </w:hyperlink>
          </w:p>
        </w:tc>
        <w:tc>
          <w:tcPr>
            <w:tcW w:w="60" w:type="dxa"/>
            <w:vAlign w:val="bottom"/>
            <w:tcBorders>
              <w:bottom w:val="single" w:sz="8" w:color="0000FF"/>
            </w:tcBorders>
            <w:gridSpan w:val="3"/>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5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34">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First Amended and Restated Limited Liability Company Agreement of Limoneira Lewis Community Builders, LLC, dated November</w:t>
              </w:r>
            </w:hyperlink>
          </w:p>
        </w:tc>
      </w:tr>
      <w:tr>
        <w:trPr>
          <w:trHeight w:val="155"/>
        </w:trPr>
        <w:tc>
          <w:tcPr>
            <w:tcW w:w="136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 2015, by and among Limoneira EA1 Land LLC and Lewis Santa Paula Member, LLC (Incorporated by reference to exhibit 10.1 to</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67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the Company’s Current Report on Form 8-K, filed November 16, 2015 (File No. 001-34755))</w:t>
              </w:r>
            </w:hyperlink>
          </w:p>
        </w:tc>
        <w:tc>
          <w:tcPr>
            <w:tcW w:w="320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Retained Property Development Agreement, dated November 10, 2015, by and among Limoneira Company and Limoneira Lewis</w:t>
              </w:r>
            </w:hyperlink>
          </w:p>
        </w:tc>
      </w:tr>
      <w:tr>
        <w:trPr>
          <w:trHeight w:val="155"/>
        </w:trPr>
        <w:tc>
          <w:tcPr>
            <w:tcW w:w="1360" w:type="dxa"/>
            <w:vAlign w:val="bottom"/>
          </w:tcPr>
          <w:p>
            <w:pPr>
              <w:spacing w:after="0"/>
              <w:rPr>
                <w:sz w:val="13"/>
                <w:szCs w:val="13"/>
                <w:color w:val="auto"/>
              </w:rPr>
            </w:pPr>
          </w:p>
        </w:tc>
        <w:tc>
          <w:tcPr>
            <w:tcW w:w="100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Community Builders, LLC (Incorporated by reference to exhibit 10.3 to the Company’s Current Report on Form 8-K, filed November</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99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16, 2015 (File No. 001-34755)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772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Line of Credit Loan Agreement, dated February 22, 2018, by and between Limoneira Lewis Community Builders, LLC and Bank of</w:t>
              </w:r>
            </w:hyperlink>
          </w:p>
        </w:tc>
      </w:tr>
      <w:tr>
        <w:trPr>
          <w:trHeight w:val="155"/>
        </w:trPr>
        <w:tc>
          <w:tcPr>
            <w:tcW w:w="1360" w:type="dxa"/>
            <w:vAlign w:val="bottom"/>
          </w:tcPr>
          <w:p>
            <w:pPr>
              <w:spacing w:after="0"/>
              <w:rPr>
                <w:sz w:val="13"/>
                <w:szCs w:val="13"/>
                <w:color w:val="auto"/>
              </w:rPr>
            </w:pPr>
          </w:p>
        </w:tc>
        <w:tc>
          <w:tcPr>
            <w:tcW w:w="99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America, N.A. (Incorporated by reference to exhibit 10.1 to the Company’s Current Report on Form 8-K, filed March 2, 2018 (File No.</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9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001-34755))</w:t>
              </w:r>
            </w:hyperlink>
          </w:p>
        </w:tc>
        <w:tc>
          <w:tcPr>
            <w:tcW w:w="4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4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Unsecured Line of Credit Promissory Note, dated February 22, 2018, by and between Limoneira Lewis Community Builders, LLC and</w:t>
              </w:r>
            </w:hyperlink>
          </w:p>
        </w:tc>
      </w:tr>
      <w:tr>
        <w:trPr>
          <w:trHeight w:val="155"/>
        </w:trPr>
        <w:tc>
          <w:tcPr>
            <w:tcW w:w="13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Bank of America, N.A. (Incorporated by reference to exhibit 10.2 to the Company’s Current Report on Form 8-K, filed March 2, 2018</w:t>
              </w:r>
            </w:hyperlink>
          </w:p>
        </w:tc>
        <w:tc>
          <w:tcPr>
            <w:tcW w:w="20" w:type="dxa"/>
            <w:vAlign w:val="bottom"/>
            <w:tcBorders>
              <w:top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bl>
    <w:p>
      <w:pPr>
        <w:ind w:left="136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(File No. 001-34755))</w:t>
        </w:r>
      </w:hyperlink>
    </w:p>
    <w:p>
      <w:pPr>
        <w:sectPr>
          <w:pgSz w:w="11900" w:h="16838" w:orient="portrait"/>
          <w:cols w:equalWidth="0" w:num="1">
            <w:col w:w="11200"/>
          </w:cols>
          <w:pgMar w:left="340" w:top="1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92" w:right="359" w:bottom="1440" w:gutter="0" w:footer="0" w:header="0"/>
          <w:type w:val="continuous"/>
        </w:sectPr>
      </w:pPr>
    </w:p>
    <w:bookmarkStart w:id="88" w:name="page89"/>
    <w:bookmarkEnd w:id="88"/>
    <w:p>
      <w:pPr>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292" w:right="35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Guaranty Agreement, dated February 22, 2018, by and among Richard A. Lewis, individually and as Trustee of the Richard A. Lewis</w:t>
              </w:r>
            </w:hyperlink>
          </w:p>
        </w:tc>
      </w:tr>
      <w:tr>
        <w:trPr>
          <w:trHeight w:val="156"/>
        </w:trPr>
        <w:tc>
          <w:tcPr>
            <w:tcW w:w="13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Revocable Trust u/d/t dated August 16, 2004 , Robert E. Lewis, individually and as Trustee of the Robert E. Lewis Revocable Trust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1000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u/d/t dated August 17, 2004, Roger G. Lewis, individually and as Trustee of the Roger G. Lewis Revocable Trust u/d/t dated August 20,</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360" w:type="dxa"/>
            <w:vAlign w:val="bottom"/>
          </w:tcPr>
          <w:p>
            <w:pPr>
              <w:spacing w:after="0"/>
              <w:rPr>
                <w:sz w:val="13"/>
                <w:szCs w:val="13"/>
                <w:color w:val="auto"/>
              </w:rPr>
            </w:pPr>
          </w:p>
        </w:tc>
        <w:tc>
          <w:tcPr>
            <w:tcW w:w="10140" w:type="dxa"/>
            <w:vAlign w:val="bottom"/>
            <w:gridSpan w:val="28"/>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2004, Randall W. Lewis, individually and as Trustee of the Randall W. Lewis Revocable Trust u/d/t dated September 1, 2006, and</w:t>
              </w:r>
            </w:hyperlink>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Limoneira Company (Incorporated by reference to exhibit 10.3 to the Company’s Current Report on Form 8-K, filed March 2, 2018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16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(File No. 001-34755))</w:t>
              </w:r>
            </w:hyperlink>
          </w:p>
        </w:tc>
        <w:tc>
          <w:tcPr>
            <w:tcW w:w="8520" w:type="dxa"/>
            <w:vAlign w:val="bottom"/>
            <w:gridSpan w:val="2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Master Loan Agreement, dated June 1, 2021, between Limoneira Company and Farm Credit West, PCA (Incorporated by reference to</w:t>
              </w:r>
            </w:hyperlink>
          </w:p>
        </w:tc>
      </w:tr>
      <w:tr>
        <w:trPr>
          <w:trHeight w:val="156"/>
        </w:trPr>
        <w:tc>
          <w:tcPr>
            <w:tcW w:w="136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exhibit 10.1 of the Company’s Current Report on Form 8-K, filed June 17, 2021 (File No. 001-34755))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Promissory Note and Revolving Credit Facility Supplement to Master Loan Agreement, dated June 1, 2021, between Limoneira</w:t>
              </w:r>
            </w:hyperlink>
          </w:p>
        </w:tc>
      </w:tr>
      <w:tr>
        <w:trPr>
          <w:trHeight w:val="156"/>
        </w:trPr>
        <w:tc>
          <w:tcPr>
            <w:tcW w:w="1360" w:type="dxa"/>
            <w:vAlign w:val="bottom"/>
          </w:tcPr>
          <w:p>
            <w:pPr>
              <w:spacing w:after="0"/>
              <w:rPr>
                <w:sz w:val="13"/>
                <w:szCs w:val="13"/>
                <w:color w:val="auto"/>
              </w:rPr>
            </w:pPr>
          </w:p>
        </w:tc>
        <w:tc>
          <w:tcPr>
            <w:tcW w:w="100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Company and Farm Credit West, PCA (Incorporated by reference to exhibit 10.2 of the Company’s Current Report on Form 8-K, filed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June 17, 2021 (File No. 001-34755))</w:t>
              </w:r>
            </w:hyperlink>
          </w:p>
        </w:tc>
        <w:tc>
          <w:tcPr>
            <w:tcW w:w="730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Promissory Note and Non-Revolving Credit Facility Supplement to Master Loan Agreement, dated June 1, 2021, between Limoneira</w:t>
              </w:r>
            </w:hyperlink>
          </w:p>
        </w:tc>
      </w:tr>
      <w:tr>
        <w:trPr>
          <w:trHeight w:val="155"/>
        </w:trPr>
        <w:tc>
          <w:tcPr>
            <w:tcW w:w="1360" w:type="dxa"/>
            <w:vAlign w:val="bottom"/>
          </w:tcPr>
          <w:p>
            <w:pPr>
              <w:spacing w:after="0"/>
              <w:rPr>
                <w:sz w:val="13"/>
                <w:szCs w:val="13"/>
                <w:color w:val="auto"/>
              </w:rPr>
            </w:pPr>
          </w:p>
        </w:tc>
        <w:tc>
          <w:tcPr>
            <w:tcW w:w="101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Company and Farm Credit West, PCA (Incorporated by reference to exhibit 10.3 of the Company’s Current Report on Form 8-K, filed</w:t>
              </w:r>
            </w:hyperlink>
          </w:p>
        </w:tc>
        <w:tc>
          <w:tcPr>
            <w:tcW w:w="20" w:type="dxa"/>
            <w:vAlign w:val="bottom"/>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June 17, 2021 (File No. 001-34755))</w:t>
              </w:r>
            </w:hyperlink>
          </w:p>
        </w:tc>
        <w:tc>
          <w:tcPr>
            <w:tcW w:w="730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Agreement to Convert to Fixed Interest Rate, dated June 8, 2021, between Limoneira Company and Farm Credit West, PCA</w:t>
              </w:r>
            </w:hyperlink>
          </w:p>
        </w:tc>
      </w:tr>
      <w:tr>
        <w:trPr>
          <w:trHeight w:val="156"/>
        </w:trPr>
        <w:tc>
          <w:tcPr>
            <w:tcW w:w="136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(Incorporated by reference to exhibit 10.4 of the Company’s Current Report on Form 8-K, filed June 17, 2021 (File No. 001-34755))</w:t>
              </w:r>
            </w:hyperlink>
          </w:p>
        </w:tc>
        <w:tc>
          <w:tcPr>
            <w:tcW w:w="54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Limoneira Company 2022 Omnibus Incentive Plan, as approved by the Stockholders on March 22, 2022 (Incorporated by reference to</w:t>
              </w:r>
            </w:hyperlink>
          </w:p>
        </w:tc>
      </w:tr>
      <w:tr>
        <w:trPr>
          <w:trHeight w:val="156"/>
        </w:trPr>
        <w:tc>
          <w:tcPr>
            <w:tcW w:w="136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exhibit 10.2 of the Company’s Current Report on Form 8-K, filed August 1, 2022 (File No. 001-34755))</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Time-Based Restricted Share Award Agreement for Non-Employee Directors, Pursuant to the Limoneira Company 2022</w:t>
              </w:r>
            </w:hyperlink>
          </w:p>
        </w:tc>
      </w:tr>
      <w:tr>
        <w:trPr>
          <w:trHeight w:val="155"/>
        </w:trPr>
        <w:tc>
          <w:tcPr>
            <w:tcW w:w="136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Omnibus Incentive Plan (Incorporated by reference to exhibit 10.3 of the Company’s Current Report on Form 8-K, filed August 1, 2022</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16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(File No. 001-34755))</w:t>
              </w:r>
            </w:hyperlink>
          </w:p>
        </w:tc>
        <w:tc>
          <w:tcPr>
            <w:tcW w:w="8380" w:type="dxa"/>
            <w:vAlign w:val="bottom"/>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Performance-Based Restricted Share Award Agreement, Pursuant to the Limoneira Company 2022 Omnibus Incentive Plan</w:t>
              </w:r>
            </w:hyperlink>
          </w:p>
        </w:tc>
      </w:tr>
      <w:tr>
        <w:trPr>
          <w:trHeight w:val="156"/>
        </w:trPr>
        <w:tc>
          <w:tcPr>
            <w:tcW w:w="136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(Incorporated by reference to exhibit 10.4 of the Company’s Current Report on Form 8-K, filed August 1, 2022 (File No. 001-34755))</w:t>
              </w:r>
            </w:hyperlink>
          </w:p>
        </w:tc>
        <w:tc>
          <w:tcPr>
            <w:tcW w:w="2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4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Time-Based Restricted Share Award Agreement for Employees, Pursuant to the Limoneira Company 2022 Omnibus Incentive</w:t>
              </w:r>
            </w:hyperlink>
          </w:p>
        </w:tc>
      </w:tr>
      <w:tr>
        <w:trPr>
          <w:trHeight w:val="156"/>
        </w:trPr>
        <w:tc>
          <w:tcPr>
            <w:tcW w:w="136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Plan (Incorporated by reference to exhibit 10.5 of the Company’s Current Report on Form 8-K, filed August 1, 2022 (File No. 001-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49">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6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36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Purchase and Sale Agreement, dated as of September 7, 2022, by and between Limoneira Company and Limoneira Lewis Community</w:t>
              </w:r>
            </w:hyperlink>
          </w:p>
        </w:tc>
      </w:tr>
      <w:tr>
        <w:trPr>
          <w:trHeight w:val="155"/>
        </w:trPr>
        <w:tc>
          <w:tcPr>
            <w:tcW w:w="136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Builders, LLC (Incorporated by reference to exhibit 10.1 of the Company’s Current Report on Form 8-K, filed September 8, 2022 (File</w:t>
              </w:r>
            </w:hyperlink>
          </w:p>
        </w:tc>
        <w:tc>
          <w:tcPr>
            <w:tcW w:w="80" w:type="dxa"/>
            <w:vAlign w:val="bottom"/>
            <w:gridSpan w:val="4"/>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100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No. 001-34755))</w:t>
              </w:r>
            </w:hyperlink>
          </w:p>
        </w:tc>
        <w:tc>
          <w:tcPr>
            <w:tcW w:w="100" w:type="dxa"/>
            <w:vAlign w:val="bottom"/>
            <w:gridSpan w:val="5"/>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Retention Bonus Agreement, dated October 26, 2022, between Limoneira Company and Harold Edwards (Incorporated by reference to</w:t>
              </w:r>
            </w:hyperlink>
          </w:p>
        </w:tc>
      </w:tr>
      <w:tr>
        <w:trPr>
          <w:trHeight w:val="156"/>
        </w:trPr>
        <w:tc>
          <w:tcPr>
            <w:tcW w:w="136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exhibit 10.1 of the Company’s Current Report on Form 8-K, filed October 27, 2022 (File No. 001-34755))</w:t>
              </w:r>
            </w:hyperlink>
          </w:p>
        </w:tc>
        <w:tc>
          <w:tcPr>
            <w:tcW w:w="2260" w:type="dxa"/>
            <w:vAlign w:val="bottom"/>
            <w:tcBorders>
              <w:top w:val="single" w:sz="8" w:color="0000FF"/>
            </w:tcBorders>
            <w:gridSpan w:val="9"/>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4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Retention Bonus Agreement, dated October 26, 2022, between Limoneira Company and Mark Palamountain (Incorporated by reference</w:t>
              </w:r>
            </w:hyperlink>
          </w:p>
        </w:tc>
      </w:tr>
      <w:tr>
        <w:trPr>
          <w:trHeight w:val="156"/>
        </w:trPr>
        <w:tc>
          <w:tcPr>
            <w:tcW w:w="136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to exhibit 10.2 of the Company’s Current Report on Form 8-K, filed October 27, 2022 (File No. 001-34755))</w:t>
              </w:r>
            </w:hyperlink>
          </w:p>
        </w:tc>
        <w:tc>
          <w:tcPr>
            <w:tcW w:w="198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160" w:type="dxa"/>
            <w:vAlign w:val="bottom"/>
            <w:gridSpan w:val="2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Standard Industrial/Commercial Single Tenant Lease, dated October 26, 2022 (Incorporated by reference to exhibit 10.1 of the</w:t>
              </w:r>
            </w:hyperlink>
          </w:p>
        </w:tc>
      </w:tr>
      <w:tr>
        <w:trPr>
          <w:trHeight w:val="156"/>
        </w:trPr>
        <w:tc>
          <w:tcPr>
            <w:tcW w:w="1360" w:type="dxa"/>
            <w:vAlign w:val="bottom"/>
          </w:tcPr>
          <w:p>
            <w:pPr>
              <w:spacing w:after="0"/>
              <w:rPr>
                <w:sz w:val="13"/>
                <w:szCs w:val="13"/>
                <w:color w:val="auto"/>
              </w:rPr>
            </w:pPr>
          </w:p>
        </w:tc>
        <w:tc>
          <w:tcPr>
            <w:tcW w:w="98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Company’s Current Report on Form 8-K, filed October 31, 2022 (File No. 001-34755))</w:t>
              </w:r>
            </w:hyperlink>
          </w:p>
        </w:tc>
        <w:tc>
          <w:tcPr>
            <w:tcW w:w="280" w:type="dxa"/>
            <w:vAlign w:val="bottom"/>
            <w:gridSpan w:val="1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92" w:right="359" w:bottom="1440" w:gutter="0" w:footer="0" w:header="0"/>
          <w:type w:val="continuous"/>
        </w:sectPr>
      </w:pPr>
    </w:p>
    <w:bookmarkStart w:id="89" w:name="page90"/>
    <w:bookmarkEnd w:id="89"/>
    <w:p>
      <w:pPr>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1292" w:right="35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Amendment to the First Amended and Restated Limited Liability Company Agreement of Limoneira Lewis Community Builders,</w:t>
              </w:r>
            </w:hyperlink>
          </w:p>
        </w:tc>
      </w:tr>
      <w:tr>
        <w:trPr>
          <w:trHeight w:val="155"/>
        </w:trPr>
        <w:tc>
          <w:tcPr>
            <w:tcW w:w="1360" w:type="dxa"/>
            <w:vAlign w:val="bottom"/>
          </w:tcPr>
          <w:p>
            <w:pPr>
              <w:spacing w:after="0"/>
              <w:rPr>
                <w:sz w:val="13"/>
                <w:szCs w:val="13"/>
                <w:color w:val="auto"/>
              </w:rPr>
            </w:pPr>
          </w:p>
        </w:tc>
        <w:tc>
          <w:tcPr>
            <w:tcW w:w="100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LLC, dated October 25, 2022 (Incorporated by reference to exhibit 10.1 of the Company’s Current Report on Form 8-K/A, filed October</w:t>
              </w:r>
            </w:hyperlink>
          </w:p>
        </w:tc>
        <w:tc>
          <w:tcPr>
            <w:tcW w:w="20" w:type="dxa"/>
            <w:vAlign w:val="bottom"/>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982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31, 2022 (File No. 001-34755))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Limited Liability Company Agreement of LLCB II, LLC, dated October 25, 2022 (Incorporated by reference to exhibit 10.2 of the</w:t>
              </w:r>
            </w:hyperlink>
          </w:p>
        </w:tc>
      </w:tr>
      <w:tr>
        <w:trPr>
          <w:trHeight w:val="155"/>
        </w:trPr>
        <w:tc>
          <w:tcPr>
            <w:tcW w:w="136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Company’s Current Report on Form 8-K, filed on October 26, 2022 (File No. 001-34755))</w:t>
              </w:r>
            </w:hyperlink>
          </w:p>
        </w:tc>
        <w:tc>
          <w:tcPr>
            <w:tcW w:w="33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Closing Agreement, dated October 25, 2022, between the Company, Limoneira Lewis Community Builders, LLC and Limoneira Lewis</w:t>
              </w:r>
            </w:hyperlink>
          </w:p>
        </w:tc>
      </w:tr>
      <w:tr>
        <w:trPr>
          <w:trHeight w:val="155"/>
        </w:trPr>
        <w:tc>
          <w:tcPr>
            <w:tcW w:w="136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Community Builders II, LLC (Incorporated by reference to exhibit 10.4 of the Company’s Current Report on Form 8-K/A,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9940" w:type="dxa"/>
            <w:vAlign w:val="bottom"/>
            <w:gridSpan w:val="21"/>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October 31, 2022 (File No. 001-34755))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Farm Management Agreement, dated January 31, 2023, by and between Capital Agricultural Property Services, Inc. by and between</w:t>
              </w:r>
            </w:hyperlink>
          </w:p>
        </w:tc>
      </w:tr>
      <w:tr>
        <w:trPr>
          <w:trHeight w:val="156"/>
        </w:trPr>
        <w:tc>
          <w:tcPr>
            <w:tcW w:w="136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Capital Agricultural Services, Inc. and Limoneira Company (incorporated by reference to exhibit 10.6 of the Company’s Quarterly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47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Report on Form 10-Q, filed March 9, 2023 (File No. 001-34755))</w:t>
              </w:r>
            </w:hyperlink>
          </w:p>
        </w:tc>
        <w:tc>
          <w:tcPr>
            <w:tcW w:w="516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42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Grower Packing &amp; Marketing Agreement, dated as of January 31, 2023, by and between Limoneira Company and PAI Centurion Citrus,</w:t>
              </w:r>
            </w:hyperlink>
          </w:p>
        </w:tc>
      </w:tr>
      <w:tr>
        <w:trPr>
          <w:trHeight w:val="156"/>
        </w:trPr>
        <w:tc>
          <w:tcPr>
            <w:tcW w:w="136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LLC (incorporated by reference to exhibit 10.7 of the Company’s Quarterly Report on Form 10-Q, filed March 9, 2023 (File No. 001-</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60" w:type="dxa"/>
            <w:vAlign w:val="bottom"/>
          </w:tcPr>
          <w:p>
            <w:pPr>
              <w:spacing w:after="0"/>
              <w:rPr>
                <w:sz w:val="14"/>
                <w:szCs w:val="14"/>
                <w:color w:val="auto"/>
              </w:rPr>
            </w:pPr>
          </w:p>
        </w:tc>
        <w:tc>
          <w:tcPr>
            <w:tcW w:w="5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60">
              <w:r>
                <w:rPr>
                  <w:rFonts w:ascii="Times New Roman" w:cs="Times New Roman" w:eastAsia="Times New Roman" w:hAnsi="Times New Roman"/>
                  <w:sz w:val="18"/>
                  <w:szCs w:val="18"/>
                  <w:color w:val="0000FF"/>
                  <w:w w:val="94"/>
                </w:rPr>
                <w:t>34755)</w:t>
              </w:r>
              <w:r>
                <w:rPr>
                  <w:rFonts w:ascii="Times New Roman" w:cs="Times New Roman" w:eastAsia="Times New Roman" w:hAnsi="Times New Roman"/>
                  <w:sz w:val="18"/>
                  <w:szCs w:val="18"/>
                  <w:u w:val="single" w:color="auto"/>
                  <w:color w:val="0000FF"/>
                  <w:w w:val="94"/>
                </w:rPr>
                <w:t>)</w:t>
              </w:r>
            </w:hyperlink>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Award Agreement under the Limoneira Company 2022 Omnibus Plan (incorporated by reference to exhibit 10.1 of the</w:t>
              </w:r>
            </w:hyperlink>
          </w:p>
        </w:tc>
      </w:tr>
      <w:tr>
        <w:trPr>
          <w:trHeight w:val="156"/>
        </w:trPr>
        <w:tc>
          <w:tcPr>
            <w:tcW w:w="136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Company’s Current Report on Form 8-K, filed November 2, 2023 (File No. 001-34755))</w:t>
              </w:r>
            </w:hyperlink>
          </w:p>
        </w:tc>
        <w:tc>
          <w:tcPr>
            <w:tcW w:w="36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Subsidiaries of Limoneira Company</w:t>
            </w:r>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 Deloitte &amp; Touche LLP</w:t>
            </w: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 Ernst &amp; Young LLP</w:t>
            </w:r>
          </w:p>
        </w:tc>
        <w:tc>
          <w:tcPr>
            <w:tcW w:w="3860" w:type="dxa"/>
            <w:vAlign w:val="bottom"/>
            <w:gridSpan w:val="17"/>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Exchange Act Rule 13a-14(a) and 15d-14(a)</w:t>
            </w:r>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300" w:type="dxa"/>
            <w:vAlign w:val="bottom"/>
            <w:gridSpan w:val="9"/>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and Accounting Officer pursuant to Exchange Act Rule 13a-14(a) and 15d-14(a)</w:t>
            </w:r>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300" w:type="dxa"/>
            <w:vAlign w:val="bottom"/>
            <w:gridSpan w:val="9"/>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w:t>
            </w:r>
          </w:p>
        </w:tc>
      </w:tr>
      <w:tr>
        <w:trPr>
          <w:trHeight w:val="155"/>
        </w:trPr>
        <w:tc>
          <w:tcPr>
            <w:tcW w:w="1360" w:type="dxa"/>
            <w:vAlign w:val="bottom"/>
          </w:tcPr>
          <w:p>
            <w:pPr>
              <w:spacing w:after="0"/>
              <w:rPr>
                <w:sz w:val="13"/>
                <w:szCs w:val="13"/>
                <w:color w:val="auto"/>
              </w:rPr>
            </w:pPr>
          </w:p>
        </w:tc>
        <w:tc>
          <w:tcPr>
            <w:tcW w:w="99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00" w:type="dxa"/>
            <w:vAlign w:val="bottom"/>
            <w:gridSpan w:val="5"/>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3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13"/>
          </w:tcPr>
          <w:p>
            <w:pPr>
              <w:spacing w:after="0" w:line="20" w:lineRule="exact"/>
              <w:rPr>
                <w:sz w:val="1"/>
                <w:szCs w:val="1"/>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p>
        </w:tc>
      </w:tr>
      <w:tr>
        <w:trPr>
          <w:trHeight w:val="156"/>
        </w:trPr>
        <w:tc>
          <w:tcPr>
            <w:tcW w:w="1360" w:type="dxa"/>
            <w:vAlign w:val="bottom"/>
          </w:tcPr>
          <w:p>
            <w:pPr>
              <w:spacing w:after="0"/>
              <w:rPr>
                <w:sz w:val="13"/>
                <w:szCs w:val="13"/>
                <w:color w:val="auto"/>
              </w:rPr>
            </w:pPr>
          </w:p>
        </w:tc>
        <w:tc>
          <w:tcPr>
            <w:tcW w:w="10020" w:type="dxa"/>
            <w:vAlign w:val="bottom"/>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3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13"/>
          </w:tcPr>
          <w:p>
            <w:pPr>
              <w:spacing w:after="0" w:line="20" w:lineRule="exact"/>
              <w:rPr>
                <w:sz w:val="1"/>
                <w:szCs w:val="1"/>
                <w:color w:val="auto"/>
              </w:rPr>
            </w:pPr>
          </w:p>
        </w:tc>
      </w:tr>
      <w:tr>
        <w:trPr>
          <w:trHeight w:val="49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Limoneira Company Amended and Restated Clawback Policy, dated as of October 30, 2023</w:t>
            </w:r>
          </w:p>
        </w:tc>
      </w:tr>
      <w:tr>
        <w:trPr>
          <w:trHeight w:val="20"/>
        </w:trPr>
        <w:tc>
          <w:tcPr>
            <w:tcW w:w="1360" w:type="dxa"/>
            <w:vAlign w:val="bottom"/>
          </w:tcPr>
          <w:p>
            <w:pPr>
              <w:spacing w:after="0" w:line="20" w:lineRule="exact"/>
              <w:rPr>
                <w:sz w:val="1"/>
                <w:szCs w:val="1"/>
                <w:color w:val="auto"/>
              </w:rPr>
            </w:pPr>
          </w:p>
        </w:tc>
        <w:tc>
          <w:tcPr>
            <w:tcW w:w="6640" w:type="dxa"/>
            <w:vAlign w:val="bottom"/>
            <w:gridSpan w:val="11"/>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13"/>
          </w:tcPr>
          <w:p>
            <w:pPr>
              <w:spacing w:after="0" w:line="20" w:lineRule="exact"/>
              <w:rPr>
                <w:sz w:val="1"/>
                <w:szCs w:val="1"/>
                <w:color w:val="auto"/>
              </w:rPr>
            </w:pP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Limoneira Lewis Community Builders, LLC - Financial Statements as of October 31, 2023 and 2022</w:t>
            </w:r>
          </w:p>
        </w:tc>
        <w:tc>
          <w:tcPr>
            <w:tcW w:w="2740" w:type="dxa"/>
            <w:vAlign w:val="bottom"/>
            <w:gridSpan w:val="13"/>
          </w:tcPr>
          <w:p>
            <w:pPr>
              <w:spacing w:after="0"/>
              <w:rPr>
                <w:sz w:val="24"/>
                <w:szCs w:val="24"/>
                <w:color w:val="auto"/>
              </w:rPr>
            </w:pPr>
          </w:p>
        </w:tc>
      </w:tr>
      <w:tr>
        <w:trPr>
          <w:trHeight w:val="4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9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00" w:lineRule="exact"/>
        <w:rPr>
          <w:sz w:val="20"/>
          <w:szCs w:val="20"/>
          <w:color w:val="auto"/>
        </w:rPr>
      </w:pPr>
    </w:p>
    <w:p>
      <w:pPr>
        <w:sectPr>
          <w:pgSz w:w="11900" w:h="16838" w:orient="portrait"/>
          <w:cols w:equalWidth="0" w:num="1">
            <w:col w:w="11200"/>
          </w:cols>
          <w:pgMar w:left="340" w:top="1292" w:right="35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92" w:right="359" w:bottom="1440" w:gutter="0" w:footer="0" w:header="0"/>
          <w:type w:val="continuous"/>
        </w:sectPr>
      </w:pPr>
    </w:p>
    <w:bookmarkStart w:id="90" w:name="page91"/>
    <w:bookmarkEnd w:id="90"/>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8"/>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52" w:lineRule="exact"/>
        <w:rPr>
          <w:sz w:val="20"/>
          <w:szCs w:val="20"/>
          <w:color w:val="auto"/>
        </w:rPr>
      </w:pPr>
    </w:p>
    <w:p>
      <w:pPr>
        <w:jc w:val="both"/>
        <w:ind w:left="260" w:right="20" w:hanging="234"/>
        <w:spacing w:after="0" w:line="223" w:lineRule="auto"/>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 w:lineRule="exact"/>
        <w:rPr>
          <w:sz w:val="20"/>
          <w:szCs w:val="20"/>
          <w:color w:val="auto"/>
        </w:rPr>
      </w:pPr>
    </w:p>
    <w:p>
      <w:pPr>
        <w:ind w:left="260" w:hanging="234"/>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contracts and compensatory plans or arrangements.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December 21, 2023.</w:t>
      </w:r>
    </w:p>
    <w:p>
      <w:pPr>
        <w:spacing w:after="0" w:line="12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LIMONEIRA COMPANY</w:t>
      </w:r>
    </w:p>
    <w:p>
      <w:pPr>
        <w:spacing w:after="0" w:line="252" w:lineRule="exact"/>
        <w:rPr>
          <w:sz w:val="20"/>
          <w:szCs w:val="20"/>
          <w:color w:val="auto"/>
        </w:rPr>
      </w:pPr>
    </w:p>
    <w:p>
      <w:pPr>
        <w:ind w:left="5420"/>
        <w:spacing w:after="0"/>
        <w:tabs>
          <w:tab w:leader="none" w:pos="5920" w:val="left"/>
        </w:tabs>
        <w:rPr>
          <w:sz w:val="20"/>
          <w:szCs w:val="20"/>
          <w:color w:val="auto"/>
        </w:rPr>
      </w:pPr>
      <w:r>
        <w:rPr>
          <w:rFonts w:ascii="Times New Roman" w:cs="Times New Roman" w:eastAsia="Times New Roman" w:hAnsi="Times New Roman"/>
          <w:sz w:val="18"/>
          <w:szCs w:val="18"/>
          <w:color w:val="auto"/>
        </w:rPr>
        <w:t>By:</w:t>
        <w:tab/>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2459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Director, President and</w:t>
      </w: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on December 21, 2023, by the following persons on behalf of the registrant and in the capacities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59"/>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S. Slater</w:t>
            </w:r>
          </w:p>
        </w:tc>
        <w:tc>
          <w:tcPr>
            <w:tcW w:w="4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S. Slater</w:t>
            </w:r>
          </w:p>
        </w:tc>
        <w:tc>
          <w:tcPr>
            <w:tcW w:w="4820" w:type="dxa"/>
            <w:vAlign w:val="bottom"/>
          </w:tcPr>
          <w:p>
            <w:pPr>
              <w:spacing w:after="0"/>
              <w:rPr>
                <w:sz w:val="19"/>
                <w:szCs w:val="19"/>
                <w:color w:val="auto"/>
              </w:rPr>
            </w:pP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Harold S. Edwards</w:t>
            </w:r>
          </w:p>
        </w:tc>
        <w:tc>
          <w:tcPr>
            <w:tcW w:w="48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 President and Chief Executive Officer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Harold S. Edwards</w:t>
            </w:r>
          </w:p>
        </w:tc>
        <w:tc>
          <w:tcPr>
            <w:tcW w:w="48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Palamountain</w:t>
            </w:r>
          </w:p>
        </w:tc>
        <w:tc>
          <w:tcPr>
            <w:tcW w:w="48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Palamountain</w:t>
            </w:r>
          </w:p>
        </w:tc>
        <w:tc>
          <w:tcPr>
            <w:tcW w:w="4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Gordon E. Kimball</w:t>
            </w:r>
          </w:p>
        </w:tc>
        <w:tc>
          <w:tcPr>
            <w:tcW w:w="4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Gordon E. Kimball</w:t>
            </w:r>
          </w:p>
        </w:tc>
        <w:tc>
          <w:tcPr>
            <w:tcW w:w="4820" w:type="dxa"/>
            <w:vAlign w:val="bottom"/>
          </w:tcPr>
          <w:p>
            <w:pPr>
              <w:spacing w:after="0"/>
              <w:rPr>
                <w:sz w:val="19"/>
                <w:szCs w:val="19"/>
                <w:color w:val="auto"/>
              </w:rPr>
            </w:pPr>
          </w:p>
        </w:tc>
      </w:tr>
      <w:tr>
        <w:trPr>
          <w:trHeight w:val="481"/>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Edgar Terry</w:t>
            </w:r>
          </w:p>
        </w:tc>
        <w:tc>
          <w:tcPr>
            <w:tcW w:w="4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Edgar Terry</w:t>
            </w:r>
          </w:p>
        </w:tc>
        <w:tc>
          <w:tcPr>
            <w:tcW w:w="4820" w:type="dxa"/>
            <w:vAlign w:val="bottom"/>
          </w:tcPr>
          <w:p>
            <w:pPr>
              <w:spacing w:after="0"/>
              <w:rPr>
                <w:sz w:val="19"/>
                <w:szCs w:val="19"/>
                <w:color w:val="auto"/>
              </w:rPr>
            </w:pP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Elizabeth Blanchard Chess</w:t>
            </w:r>
          </w:p>
        </w:tc>
        <w:tc>
          <w:tcPr>
            <w:tcW w:w="4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Elizabeth Blanchard Chess</w:t>
            </w:r>
          </w:p>
        </w:tc>
        <w:tc>
          <w:tcPr>
            <w:tcW w:w="4820" w:type="dxa"/>
            <w:vAlign w:val="bottom"/>
          </w:tcPr>
          <w:p>
            <w:pPr>
              <w:spacing w:after="0"/>
              <w:rPr>
                <w:sz w:val="19"/>
                <w:szCs w:val="19"/>
                <w:color w:val="auto"/>
              </w:rPr>
            </w:pP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Mora</w:t>
            </w:r>
          </w:p>
        </w:tc>
        <w:tc>
          <w:tcPr>
            <w:tcW w:w="4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Elizabeth Mora</w:t>
            </w:r>
          </w:p>
        </w:tc>
        <w:tc>
          <w:tcPr>
            <w:tcW w:w="4820" w:type="dxa"/>
            <w:vAlign w:val="bottom"/>
          </w:tcPr>
          <w:p>
            <w:pPr>
              <w:spacing w:after="0"/>
              <w:rPr>
                <w:sz w:val="19"/>
                <w:szCs w:val="19"/>
                <w:color w:val="auto"/>
              </w:rPr>
            </w:pPr>
          </w:p>
        </w:tc>
      </w:tr>
      <w:tr>
        <w:trPr>
          <w:trHeight w:val="45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Carbone</w:t>
            </w:r>
          </w:p>
        </w:tc>
        <w:tc>
          <w:tcPr>
            <w:tcW w:w="48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Barbara Carbone</w:t>
            </w:r>
          </w:p>
        </w:tc>
        <w:tc>
          <w:tcPr>
            <w:tcW w:w="4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5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List of Subsidiaries of Limoneira Company</w:t>
            </w:r>
          </w:p>
        </w:tc>
        <w:tc>
          <w:tcPr>
            <w:tcW w:w="420" w:type="dxa"/>
            <w:vAlign w:val="bottom"/>
          </w:tcPr>
          <w:p>
            <w:pPr>
              <w:spacing w:after="0"/>
              <w:rPr>
                <w:sz w:val="20"/>
                <w:szCs w:val="20"/>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Incorporation/Organization</w:t>
            </w:r>
          </w:p>
        </w:tc>
      </w:tr>
      <w:tr>
        <w:trPr>
          <w:trHeight w:val="45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Associated Citrus Packers, Inc.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EA1 Land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EA2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International Division,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LLCB II,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Windfall Investors, LLC</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Chile SpA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5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Fruticola Pan de Azucar S.A.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Agricola San Pablo SpA</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Argentina S.A.U.</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Trapani Fresh Consorcio de Cooperacion</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48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Limoneira Holland B.V.</w:t>
            </w: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Holland</w:t>
            </w:r>
          </w:p>
        </w:tc>
      </w:tr>
    </w:tbl>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333-239061 on Form S-3 and Registration Statement Nos. 333-171934 and 333-263794 on Form S-8 of our reports dated December 21, 2023, relating to the financial statements of Limoneira Company and the effectiveness of Limoneira Company's internal control over financial reporting appearing in this Annual Report on Form 10-K for the year ended October 31, 2023.</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2023</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520" w:hanging="310"/>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333-171934) pertaining to the Limoneira Company 2010 Omnibus Incentive Plan,</w:t>
      </w:r>
    </w:p>
    <w:p>
      <w:pPr>
        <w:spacing w:after="0" w:line="27"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333-239061) of Limoneira Company, and</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333-263794) pertaining to the Limoneira Company 2022 Omnibus Incentive Plan;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December 15, 2023, with respect to the financial statements of Limoneira Lewis Community Builders, LLC included in this Annual Report (Form 10-K) of Limoneira Company for the year ended October 31, 2023.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2023</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60" w:right="20" w:hanging="412"/>
        <w:spacing w:after="0" w:line="282" w:lineRule="auto"/>
        <w:tabs>
          <w:tab w:leader="none" w:pos="3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December 21, 2023</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Harold S. Edwards,</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57" w:lineRule="auto"/>
        <w:tabs>
          <w:tab w:leader="none" w:pos="8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460" w:right="20" w:hanging="412"/>
        <w:spacing w:after="0" w:line="260" w:lineRule="auto"/>
        <w:tabs>
          <w:tab w:leader="none" w:pos="3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December 21, 2023</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October 31, 2023 (the “Report”) of Limoneira Company (the “Registrant”), as filed with the Securities and Exchange Commission on the date hereof, I, Harold S. Edwards, Director, President and Chief Executive Officer of the Registrant, hereby certify that:</w:t>
      </w:r>
    </w:p>
    <w:p>
      <w:pPr>
        <w:spacing w:after="0" w:line="54" w:lineRule="exact"/>
        <w:rPr>
          <w:sz w:val="20"/>
          <w:szCs w:val="20"/>
          <w:color w:val="auto"/>
        </w:rPr>
      </w:pPr>
    </w:p>
    <w:p>
      <w:pPr>
        <w:ind w:left="880" w:hanging="38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December 21, 2023</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Harold S. Edwards,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765"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October 31, 2023 (the “Report”) of Limoneira Company (the “Registrant”), as filed with the Securities and Exchange Commission on the date hereof, I, Mark Palamountain, Chief Financial Officer and Treasurer of the Registrant, hereby certify that:</w:t>
      </w:r>
    </w:p>
    <w:p>
      <w:pPr>
        <w:spacing w:after="0" w:line="54" w:lineRule="exact"/>
        <w:rPr>
          <w:sz w:val="20"/>
          <w:szCs w:val="20"/>
          <w:color w:val="auto"/>
        </w:rPr>
      </w:pPr>
    </w:p>
    <w:p>
      <w:pPr>
        <w:ind w:left="880" w:hanging="386"/>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97"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December 21, 2023</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Mark Palamountain,</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765" w:right="339" w:bottom="1440" w:gutter="0" w:footer="0" w:header="0"/>
        </w:sectPr>
      </w:pPr>
    </w:p>
    <w:bookmarkStart w:id="99" w:name="page100"/>
    <w:bookmarkEnd w:id="99"/>
    <w:p>
      <w:pPr>
        <w:ind w:left="7002"/>
        <w:spacing w:after="0"/>
        <w:rPr>
          <w:sz w:val="20"/>
          <w:szCs w:val="20"/>
          <w:color w:val="auto"/>
        </w:rPr>
      </w:pPr>
      <w:r>
        <w:rPr>
          <w:rFonts w:ascii="Calibri" w:cs="Calibri" w:eastAsia="Calibri" w:hAnsi="Calibri"/>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0"/>
          <w:szCs w:val="20"/>
          <w:b w:val="1"/>
          <w:bCs w:val="1"/>
          <w:u w:val="single" w:color="auto"/>
          <w:color w:val="auto"/>
        </w:rPr>
        <w:t>LIMONEIRA COMPANY</w:t>
      </w:r>
    </w:p>
    <w:p>
      <w:pPr>
        <w:jc w:val="center"/>
        <w:ind w:right="118"/>
        <w:spacing w:after="0"/>
        <w:rPr>
          <w:sz w:val="20"/>
          <w:szCs w:val="20"/>
          <w:color w:val="auto"/>
        </w:rPr>
      </w:pPr>
      <w:r>
        <w:rPr>
          <w:rFonts w:ascii="Times New Roman" w:cs="Times New Roman" w:eastAsia="Times New Roman" w:hAnsi="Times New Roman"/>
          <w:sz w:val="20"/>
          <w:szCs w:val="20"/>
          <w:b w:val="1"/>
          <w:bCs w:val="1"/>
          <w:u w:val="single" w:color="auto"/>
          <w:color w:val="auto"/>
        </w:rPr>
        <w:t>AMENDED AND RESTATED CLAWBACK POLICY</w:t>
      </w:r>
    </w:p>
    <w:p>
      <w:pPr>
        <w:spacing w:after="0" w:line="190" w:lineRule="exact"/>
        <w:rPr>
          <w:sz w:val="20"/>
          <w:szCs w:val="20"/>
          <w:color w:val="auto"/>
        </w:rPr>
      </w:pPr>
    </w:p>
    <w:p>
      <w:pPr>
        <w:jc w:val="both"/>
        <w:ind w:left="522" w:hanging="328"/>
        <w:spacing w:after="0" w:line="217" w:lineRule="auto"/>
        <w:tabs>
          <w:tab w:leader="none" w:pos="522" w:val="left"/>
        </w:tabs>
        <w:numPr>
          <w:ilvl w:val="1"/>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Clawback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has been adopted by the Board of Directors (the “Board”) of Limoneira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provide for the recovery of certain erroneously awarded Incentive Compensation (defined below) in the event the Company is required to prepare an Accounting Restatement (defined below). This Policy amends and restates, and replaces in its entirety, the Policy Regarding Recoupment of Incentive Compensation, dated October 26, 2022. This Policy is intended to comply with, and shall be interpreted in accordance with, Section 10D of the Securities Exchange Act of 1934, as amended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Exchange Act Rule 10D-1, and Nasdaq Stock Market Listing Rule 5608 (“</w:t>
      </w:r>
      <w:r>
        <w:rPr>
          <w:rFonts w:ascii="Times New Roman" w:cs="Times New Roman" w:eastAsia="Times New Roman" w:hAnsi="Times New Roman"/>
          <w:sz w:val="20"/>
          <w:szCs w:val="20"/>
          <w:b w:val="1"/>
          <w:bCs w:val="1"/>
          <w:color w:val="auto"/>
        </w:rPr>
        <w:t>Rule 5608</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b w:val="1"/>
          <w:bCs w:val="1"/>
          <w:color w:val="auto"/>
        </w:rPr>
      </w:pPr>
    </w:p>
    <w:p>
      <w:pPr>
        <w:ind w:left="522" w:hanging="328"/>
        <w:spacing w:after="0"/>
        <w:tabs>
          <w:tab w:leader="none" w:pos="522" w:val="left"/>
        </w:tabs>
        <w:numPr>
          <w:ilvl w:val="1"/>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Policy, the following terms shall have the meanings set forth below:</w:t>
      </w:r>
    </w:p>
    <w:p>
      <w:pPr>
        <w:spacing w:after="0" w:line="215" w:lineRule="exact"/>
        <w:rPr>
          <w:rFonts w:ascii="Times New Roman" w:cs="Times New Roman" w:eastAsia="Times New Roman" w:hAnsi="Times New Roman"/>
          <w:sz w:val="20"/>
          <w:szCs w:val="20"/>
          <w:b w:val="1"/>
          <w:bCs w:val="1"/>
          <w:color w:val="auto"/>
        </w:rPr>
      </w:pPr>
    </w:p>
    <w:p>
      <w:pPr>
        <w:jc w:val="both"/>
        <w:ind w:left="1162" w:right="20" w:hanging="320"/>
        <w:spacing w:after="0" w:line="223" w:lineRule="auto"/>
        <w:tabs>
          <w:tab w:leader="none" w:pos="1151"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1" w:lineRule="exact"/>
        <w:rPr>
          <w:rFonts w:ascii="Times New Roman" w:cs="Times New Roman" w:eastAsia="Times New Roman" w:hAnsi="Times New Roman"/>
          <w:sz w:val="20"/>
          <w:szCs w:val="20"/>
          <w:color w:val="auto"/>
        </w:rPr>
      </w:pPr>
    </w:p>
    <w:p>
      <w:pPr>
        <w:jc w:val="both"/>
        <w:ind w:left="1162" w:hanging="320"/>
        <w:spacing w:after="0" w:line="215" w:lineRule="auto"/>
        <w:tabs>
          <w:tab w:leader="none" w:pos="116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Erroneously Awarded Compensation</w:t>
      </w:r>
      <w:r>
        <w:rPr>
          <w:rFonts w:ascii="Times New Roman" w:cs="Times New Roman" w:eastAsia="Times New Roman" w:hAnsi="Times New Roman"/>
          <w:sz w:val="20"/>
          <w:szCs w:val="20"/>
          <w:color w:val="auto"/>
        </w:rPr>
        <w:t>” shall mean the amount of Incentive Compensation Received by an Executive Officer during a Recovery Period that exceeds the amount of Incentive Compensation the Executive Officer otherwise would have Received had such Incentive Compensation been determined based on the restated amounts. For Incentive Compensation based on stock price or total shareholder return, where the amount of Erroneously Awarded Compensation is not subject to mathematical recalculation directly from the information in the applicable Accounting Restatement, the amount of Erroneously Awarded Compensation must be based on a reasonable estimate of the effect of the Accounting Restatement on the stock price or total shareholder return upon which such Incentive Compensation was Received. The amount of Erroneously Awarded Compensation shall be computed without regard to any taxes paid.</w:t>
      </w:r>
    </w:p>
    <w:p>
      <w:pPr>
        <w:spacing w:after="0" w:line="201" w:lineRule="exact"/>
        <w:rPr>
          <w:rFonts w:ascii="Times New Roman" w:cs="Times New Roman" w:eastAsia="Times New Roman" w:hAnsi="Times New Roman"/>
          <w:sz w:val="20"/>
          <w:szCs w:val="20"/>
          <w:color w:val="auto"/>
        </w:rPr>
      </w:pPr>
    </w:p>
    <w:p>
      <w:pPr>
        <w:ind w:left="1162" w:hanging="320"/>
        <w:spacing w:after="0" w:line="301" w:lineRule="auto"/>
        <w:tabs>
          <w:tab w:leader="none" w:pos="1151"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shall mean a current or former executive officer of the Company, within the meaning of and as determined in accordance with Section 10D of the Exchange Act, Exchange Act Rule 10D-1, and Rule 5608.</w:t>
      </w:r>
    </w:p>
    <w:p>
      <w:pPr>
        <w:spacing w:after="0" w:line="138" w:lineRule="exact"/>
        <w:rPr>
          <w:rFonts w:ascii="Times New Roman" w:cs="Times New Roman" w:eastAsia="Times New Roman" w:hAnsi="Times New Roman"/>
          <w:sz w:val="20"/>
          <w:szCs w:val="20"/>
          <w:color w:val="auto"/>
        </w:rPr>
      </w:pPr>
    </w:p>
    <w:p>
      <w:pPr>
        <w:jc w:val="both"/>
        <w:ind w:left="1162" w:hanging="320"/>
        <w:spacing w:after="0" w:line="223" w:lineRule="auto"/>
        <w:tabs>
          <w:tab w:leader="none" w:pos="116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Reporting Measures</w:t>
      </w:r>
      <w:r>
        <w:rPr>
          <w:rFonts w:ascii="Times New Roman" w:cs="Times New Roman" w:eastAsia="Times New Roman" w:hAnsi="Times New Roman"/>
          <w:sz w:val="20"/>
          <w:szCs w:val="20"/>
          <w:color w:val="auto"/>
        </w:rPr>
        <w:t>” shall mean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in the Company’s financial statements or included in a filing with the SEC.</w:t>
      </w:r>
    </w:p>
    <w:p>
      <w:pPr>
        <w:spacing w:after="0" w:line="184" w:lineRule="exact"/>
        <w:rPr>
          <w:rFonts w:ascii="Times New Roman" w:cs="Times New Roman" w:eastAsia="Times New Roman" w:hAnsi="Times New Roman"/>
          <w:sz w:val="20"/>
          <w:szCs w:val="20"/>
          <w:color w:val="auto"/>
        </w:rPr>
      </w:pPr>
    </w:p>
    <w:p>
      <w:pPr>
        <w:ind w:left="1162" w:hanging="320"/>
        <w:spacing w:after="0" w:line="235" w:lineRule="auto"/>
        <w:tabs>
          <w:tab w:leader="none" w:pos="1151"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 Compensation</w:t>
      </w:r>
      <w:r>
        <w:rPr>
          <w:rFonts w:ascii="Times New Roman" w:cs="Times New Roman" w:eastAsia="Times New Roman" w:hAnsi="Times New Roman"/>
          <w:sz w:val="20"/>
          <w:szCs w:val="20"/>
          <w:color w:val="auto"/>
        </w:rPr>
        <w:t>” shall mean any compensation that is granted, earned, or vested based wholly or in part upon the attainment of a Financial Reporting Measure.</w:t>
      </w:r>
    </w:p>
    <w:p>
      <w:pPr>
        <w:spacing w:after="0" w:line="211" w:lineRule="exact"/>
        <w:rPr>
          <w:rFonts w:ascii="Times New Roman" w:cs="Times New Roman" w:eastAsia="Times New Roman" w:hAnsi="Times New Roman"/>
          <w:sz w:val="20"/>
          <w:szCs w:val="20"/>
          <w:color w:val="auto"/>
        </w:rPr>
      </w:pPr>
    </w:p>
    <w:p>
      <w:pPr>
        <w:jc w:val="both"/>
        <w:ind w:left="1162" w:hanging="320"/>
        <w:spacing w:after="0" w:line="277" w:lineRule="auto"/>
        <w:tabs>
          <w:tab w:leader="none" w:pos="1156"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Compensation shall be deemed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in the Company’s fiscal period during which the Financial Reporting Measure specified in the Incentive Compensation award is attained, even if the payment or grant of the Incentive Compensation occurs after the end of that period.</w:t>
      </w:r>
    </w:p>
    <w:p>
      <w:pPr>
        <w:spacing w:after="0" w:line="162" w:lineRule="exact"/>
        <w:rPr>
          <w:rFonts w:ascii="Times New Roman" w:cs="Times New Roman" w:eastAsia="Times New Roman" w:hAnsi="Times New Roman"/>
          <w:sz w:val="20"/>
          <w:szCs w:val="20"/>
          <w:color w:val="auto"/>
        </w:rPr>
      </w:pPr>
    </w:p>
    <w:p>
      <w:pPr>
        <w:jc w:val="both"/>
        <w:ind w:left="1162" w:hanging="320"/>
        <w:spacing w:after="0" w:line="227" w:lineRule="auto"/>
        <w:tabs>
          <w:tab w:leader="none" w:pos="116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Recovery Period</w:t>
      </w:r>
      <w:r>
        <w:rPr>
          <w:rFonts w:ascii="Times New Roman" w:cs="Times New Roman" w:eastAsia="Times New Roman" w:hAnsi="Times New Roman"/>
          <w:sz w:val="20"/>
          <w:szCs w:val="20"/>
          <w:color w:val="auto"/>
        </w:rPr>
        <w:t>” shall mean (1) the three completed fiscal years of the Company immediately preceding the Restatement Date and (2) any transition period (that results from a change in the Company’s fiscal year) within or immediately following those three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55" w:lineRule="exact"/>
        <w:rPr>
          <w:rFonts w:ascii="Times New Roman" w:cs="Times New Roman" w:eastAsia="Times New Roman" w:hAnsi="Times New Roman"/>
          <w:sz w:val="20"/>
          <w:szCs w:val="20"/>
          <w:color w:val="auto"/>
        </w:rPr>
      </w:pPr>
    </w:p>
    <w:p>
      <w:pPr>
        <w:ind w:left="122" w:hanging="122"/>
        <w:spacing w:after="0"/>
        <w:tabs>
          <w:tab w:leader="none" w:pos="12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1098283557\2\AMERICAS</w:t>
      </w:r>
    </w:p>
    <w:p>
      <w:pPr>
        <w:sectPr>
          <w:pgSz w:w="11900" w:h="16838" w:orient="portrait"/>
          <w:cols w:equalWidth="0" w:num="1">
            <w:col w:w="11102"/>
          </w:cols>
          <w:pgMar w:left="458" w:top="105" w:right="339" w:bottom="1440" w:gutter="0" w:footer="0" w:header="0"/>
        </w:sectPr>
      </w:pPr>
    </w:p>
    <w:bookmarkStart w:id="100" w:name="page101"/>
    <w:bookmarkEnd w:id="100"/>
    <w:p>
      <w:pPr>
        <w:spacing w:after="0" w:line="108" w:lineRule="exact"/>
        <w:rPr>
          <w:sz w:val="20"/>
          <w:szCs w:val="20"/>
          <w:color w:val="auto"/>
        </w:rPr>
      </w:pPr>
    </w:p>
    <w:p>
      <w:pPr>
        <w:ind w:left="1162"/>
        <w:spacing w:after="0"/>
        <w:rPr>
          <w:sz w:val="20"/>
          <w:szCs w:val="20"/>
          <w:color w:val="auto"/>
        </w:rPr>
      </w:pPr>
      <w:r>
        <w:rPr>
          <w:rFonts w:ascii="Times New Roman" w:cs="Times New Roman" w:eastAsia="Times New Roman" w:hAnsi="Times New Roman"/>
          <w:sz w:val="20"/>
          <w:szCs w:val="20"/>
          <w:color w:val="auto"/>
        </w:rPr>
        <w:t>completed fiscal years that is within the scope of the recovery period described in Rule 5608.</w:t>
      </w:r>
    </w:p>
    <w:p>
      <w:pPr>
        <w:spacing w:after="0" w:line="198" w:lineRule="exact"/>
        <w:rPr>
          <w:sz w:val="20"/>
          <w:szCs w:val="20"/>
          <w:color w:val="auto"/>
        </w:rPr>
      </w:pPr>
    </w:p>
    <w:p>
      <w:pPr>
        <w:jc w:val="both"/>
        <w:ind w:left="1162" w:hanging="320"/>
        <w:spacing w:after="0" w:line="220" w:lineRule="auto"/>
        <w:tabs>
          <w:tab w:leader="none" w:pos="1162"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Restatement Date</w:t>
      </w:r>
      <w:r>
        <w:rPr>
          <w:rFonts w:ascii="Times New Roman" w:cs="Times New Roman" w:eastAsia="Times New Roman" w:hAnsi="Times New Roman"/>
          <w:sz w:val="20"/>
          <w:szCs w:val="20"/>
          <w:color w:val="auto"/>
        </w:rPr>
        <w:t>” shall mean the date the Company is required to prepare an Accounting Restatement. Such date shall be the earlier of (1) the date the Board, a committee of the Board, or the officer(s) of the Company authorized to take such action if Board action is not required, concludes, or reasonably should have concluded, that the Company is required to prepare an Accounting Restatement, or (2) the date a court, regulator, or other legally authorized body directs the Company to prepare an Accounting Restatement.</w:t>
      </w:r>
    </w:p>
    <w:p>
      <w:pPr>
        <w:spacing w:after="0" w:line="187" w:lineRule="exact"/>
        <w:rPr>
          <w:rFonts w:ascii="Times New Roman" w:cs="Times New Roman" w:eastAsia="Times New Roman" w:hAnsi="Times New Roman"/>
          <w:sz w:val="20"/>
          <w:szCs w:val="20"/>
          <w:color w:val="auto"/>
        </w:rPr>
      </w:pPr>
    </w:p>
    <w:p>
      <w:pPr>
        <w:ind w:left="1162" w:hanging="320"/>
        <w:spacing w:after="0"/>
        <w:tabs>
          <w:tab w:leader="none" w:pos="1162"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shall mean the U.S. Securities and Exchange Commission.</w:t>
      </w:r>
    </w:p>
    <w:p>
      <w:pPr>
        <w:spacing w:after="0" w:line="202" w:lineRule="exact"/>
        <w:rPr>
          <w:rFonts w:ascii="Times New Roman" w:cs="Times New Roman" w:eastAsia="Times New Roman" w:hAnsi="Times New Roman"/>
          <w:sz w:val="20"/>
          <w:szCs w:val="20"/>
          <w:color w:val="auto"/>
        </w:rPr>
      </w:pPr>
    </w:p>
    <w:p>
      <w:pPr>
        <w:ind w:left="522" w:hanging="328"/>
        <w:spacing w:after="0"/>
        <w:tabs>
          <w:tab w:leader="none" w:pos="522" w:val="left"/>
        </w:tabs>
        <w:numPr>
          <w:ilvl w:val="1"/>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Erroneously Awarded Compensation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left="1162" w:hanging="320"/>
        <w:spacing w:after="0" w:line="222" w:lineRule="auto"/>
        <w:tabs>
          <w:tab w:leader="none" w:pos="1151"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is required to prepare an Accounting Restatement, the Administrator shall review all Incentive Compensation Received by any Executive Officer during the applicable Recovery Period to determine if any Erroneously Awarded Compensation has been Received, and the Company shall recover, reasonably promptly, any Erroneously Awarded Compensation.</w:t>
      </w:r>
    </w:p>
    <w:p>
      <w:pPr>
        <w:spacing w:after="0" w:line="188" w:lineRule="exact"/>
        <w:rPr>
          <w:rFonts w:ascii="Times New Roman" w:cs="Times New Roman" w:eastAsia="Times New Roman" w:hAnsi="Times New Roman"/>
          <w:sz w:val="20"/>
          <w:szCs w:val="20"/>
          <w:color w:val="auto"/>
        </w:rPr>
      </w:pPr>
    </w:p>
    <w:p>
      <w:pPr>
        <w:jc w:val="both"/>
        <w:ind w:left="1162" w:hanging="320"/>
        <w:spacing w:after="0" w:line="216" w:lineRule="auto"/>
        <w:tabs>
          <w:tab w:leader="none" w:pos="1162"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affect the recovery by requiring repayment, reimbursement or return of Incentive Compensation previously paid, seeking recovery of any gain realized on the vesting, exercise, settlement, sale, transfer or other disposition of any equity-based awards, cancelling outstanding vested or unvested awards, cancelling or offsetting the recouped amount from any compensation otherwise owed by the Company to the Executive Officer or from any future compensation, and/or any other means or combination of means or remedial or recovery action permitted by law as determined by the Administrator in its sole discretion.</w:t>
      </w:r>
    </w:p>
    <w:p>
      <w:pPr>
        <w:spacing w:after="0" w:line="175" w:lineRule="exact"/>
        <w:rPr>
          <w:rFonts w:ascii="Times New Roman" w:cs="Times New Roman" w:eastAsia="Times New Roman" w:hAnsi="Times New Roman"/>
          <w:sz w:val="20"/>
          <w:szCs w:val="20"/>
          <w:color w:val="auto"/>
        </w:rPr>
      </w:pPr>
    </w:p>
    <w:p>
      <w:pPr>
        <w:ind w:left="1162" w:right="20" w:hanging="320"/>
        <w:spacing w:after="0"/>
        <w:tabs>
          <w:tab w:leader="none" w:pos="1151"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Section 4, in no event may the Company seek to recover an amount that is less than the Erroneously Awarded Compensation owed by an Executive Officer.</w:t>
      </w:r>
    </w:p>
    <w:p>
      <w:pPr>
        <w:spacing w:after="0" w:line="215" w:lineRule="exact"/>
        <w:rPr>
          <w:rFonts w:ascii="Times New Roman" w:cs="Times New Roman" w:eastAsia="Times New Roman" w:hAnsi="Times New Roman"/>
          <w:sz w:val="20"/>
          <w:szCs w:val="20"/>
          <w:color w:val="auto"/>
        </w:rPr>
      </w:pPr>
    </w:p>
    <w:p>
      <w:pPr>
        <w:ind w:left="1162" w:hanging="320"/>
        <w:spacing w:after="0"/>
        <w:tabs>
          <w:tab w:leader="none" w:pos="1162"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all Incentive Compensation Received by a person (1) after beginning service as an Executive Officer;</w:t>
      </w:r>
    </w:p>
    <w:p>
      <w:pPr>
        <w:spacing w:after="0" w:line="28" w:lineRule="exact"/>
        <w:rPr>
          <w:rFonts w:ascii="Times New Roman" w:cs="Times New Roman" w:eastAsia="Times New Roman" w:hAnsi="Times New Roman"/>
          <w:sz w:val="20"/>
          <w:szCs w:val="20"/>
          <w:color w:val="auto"/>
        </w:rPr>
      </w:pPr>
    </w:p>
    <w:p>
      <w:pPr>
        <w:jc w:val="both"/>
        <w:ind w:left="1162"/>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who served as an Executive Officer at any time during the performance period for that Incentive Compensation; (3) while the Company has a class of securities listed on a national securities exchange or a national securities association; and (4) during the Recovery Period. For the avoidance of doubt, this Policy shall apply to all such Executive Officers who Received Erroneously Awarded Compensation during the applicable Recovery Period, regardless of whether any misconduct occurred or an Executive Officer was responsible for the preparation of the Company’s financial statements. Further, the Company’s obligation to recover Erroneously Awarded Compensation is not dependent on if or when restated financial statements are filed.</w:t>
      </w:r>
    </w:p>
    <w:p>
      <w:pPr>
        <w:spacing w:after="0" w:line="207" w:lineRule="exact"/>
        <w:rPr>
          <w:rFonts w:ascii="Times New Roman" w:cs="Times New Roman" w:eastAsia="Times New Roman" w:hAnsi="Times New Roman"/>
          <w:sz w:val="20"/>
          <w:szCs w:val="20"/>
          <w:color w:val="auto"/>
        </w:rPr>
      </w:pPr>
    </w:p>
    <w:p>
      <w:pPr>
        <w:jc w:val="both"/>
        <w:ind w:left="522" w:hanging="328"/>
        <w:spacing w:after="0" w:line="269" w:lineRule="auto"/>
        <w:tabs>
          <w:tab w:leader="none" w:pos="522" w:val="left"/>
        </w:tabs>
        <w:numPr>
          <w:ilvl w:val="1"/>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Exceptions to Recovery of Erroneously Awarded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recover Erroneously Awarded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in accordance with this Policy except to the extent that the conditions set forth in Exchange Act Rule 10D-1 and Rule 5608 are met, and the Company’s Compensation Committee, or in the absence of an independent compensation committee, a majority of the independent directors serving on the Board, has made a determination that recovery would be impracticable in accordance with Exchange Act Rule 10D-1 and Rule 5608.</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383" w:lineRule="exact"/>
        <w:rPr>
          <w:rFonts w:ascii="Times New Roman" w:cs="Times New Roman" w:eastAsia="Times New Roman" w:hAnsi="Times New Roman"/>
          <w:sz w:val="20"/>
          <w:szCs w:val="20"/>
          <w:b w:val="1"/>
          <w:bCs w:val="1"/>
          <w:color w:val="auto"/>
        </w:rPr>
      </w:pPr>
    </w:p>
    <w:p>
      <w:pPr>
        <w:ind w:left="122" w:hanging="122"/>
        <w:spacing w:after="0"/>
        <w:tabs>
          <w:tab w:leader="none" w:pos="12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1098283557\2\AMERICAS</w:t>
      </w:r>
    </w:p>
    <w:p>
      <w:pPr>
        <w:sectPr>
          <w:pgSz w:w="11900" w:h="16838" w:orient="portrait"/>
          <w:cols w:equalWidth="0" w:num="1">
            <w:col w:w="11102"/>
          </w:cols>
          <w:pgMar w:left="458" w:top="1440" w:right="339" w:bottom="1440" w:gutter="0" w:footer="0" w:header="0"/>
        </w:sectPr>
      </w:pPr>
    </w:p>
    <w:bookmarkStart w:id="101" w:name="page102"/>
    <w:bookmarkEnd w:id="101"/>
    <w:p>
      <w:pPr>
        <w:spacing w:after="0" w:line="104" w:lineRule="exact"/>
        <w:rPr>
          <w:sz w:val="20"/>
          <w:szCs w:val="20"/>
          <w:color w:val="auto"/>
        </w:rPr>
      </w:pPr>
    </w:p>
    <w:p>
      <w:pPr>
        <w:jc w:val="both"/>
        <w:ind w:left="522" w:hanging="328"/>
        <w:spacing w:after="0" w:line="223" w:lineRule="auto"/>
        <w:tabs>
          <w:tab w:leader="none" w:pos="522"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shall maintain documentation relating to the Administrator’s review process, including any computation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restated amounts or the Erroneously Awarded Compensation. Further, if the amount of Erroneously Awarded Compensation is determined pursuant to the second sentence of Section 2(b), the Company shall maintain documentation of any estimated Erroneously Awarded Compensation and provide such documentation to Nasdaq.</w:t>
      </w:r>
    </w:p>
    <w:p>
      <w:pPr>
        <w:spacing w:after="0" w:line="198" w:lineRule="exact"/>
        <w:rPr>
          <w:rFonts w:ascii="Times New Roman" w:cs="Times New Roman" w:eastAsia="Times New Roman" w:hAnsi="Times New Roman"/>
          <w:sz w:val="20"/>
          <w:szCs w:val="20"/>
          <w:b w:val="1"/>
          <w:bCs w:val="1"/>
          <w:color w:val="auto"/>
        </w:rPr>
      </w:pPr>
    </w:p>
    <w:p>
      <w:pPr>
        <w:jc w:val="both"/>
        <w:ind w:left="522" w:hanging="328"/>
        <w:spacing w:after="0" w:line="269" w:lineRule="auto"/>
        <w:tabs>
          <w:tab w:leader="none" w:pos="522"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Indemnification Prohibition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no circumstances shall the Company indemnify any Executive Officer against, or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coverage for, the loss of any Erroneously Awarded Compensation or any claims relating to the Company’s enforcement of its rights under this Policy. Further, the Company shall not enter into any agreement that exempts any Incentive Compensation from the application of this Policy or that waives the Company’s right to recover any Erroneously Awarded Compensation. This Policy shall supersede any such agreement (whether entered into before, on, or after the Effective Date).</w:t>
      </w:r>
    </w:p>
    <w:p>
      <w:pPr>
        <w:spacing w:after="0" w:line="196" w:lineRule="exact"/>
        <w:rPr>
          <w:rFonts w:ascii="Times New Roman" w:cs="Times New Roman" w:eastAsia="Times New Roman" w:hAnsi="Times New Roman"/>
          <w:sz w:val="20"/>
          <w:szCs w:val="20"/>
          <w:b w:val="1"/>
          <w:bCs w:val="1"/>
          <w:color w:val="auto"/>
        </w:rPr>
      </w:pPr>
    </w:p>
    <w:p>
      <w:pPr>
        <w:jc w:val="both"/>
        <w:ind w:left="522" w:hanging="328"/>
        <w:spacing w:after="0" w:line="263" w:lineRule="auto"/>
        <w:tabs>
          <w:tab w:leader="none" w:pos="522"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be administered, interpreted and enforced by the Board, or, if so designated by the Board,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committee to which such authority may be delegated (the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The Administrator has full power and authority to interpret and construe this Policy and to make all determinations that it deems necessary, appropriate or advisable for the administration of this Policy, subject to and unless otherwise provided in this Policy or in Exchange Act Rule 10D-1 or Rule 5608. Any determinations made by the Administrator in good faith pursuant to this Policy or otherwise made in accordance with this Policy, Section 10D of the Exchange Act, Exchange Act Rule 10D-1 and Rule 5608. shall be final and binding on all affected individuals.</w:t>
      </w:r>
    </w:p>
    <w:p>
      <w:pPr>
        <w:spacing w:after="0" w:line="179" w:lineRule="exact"/>
        <w:rPr>
          <w:rFonts w:ascii="Times New Roman" w:cs="Times New Roman" w:eastAsia="Times New Roman" w:hAnsi="Times New Roman"/>
          <w:sz w:val="20"/>
          <w:szCs w:val="20"/>
          <w:b w:val="1"/>
          <w:bCs w:val="1"/>
          <w:color w:val="auto"/>
        </w:rPr>
      </w:pPr>
    </w:p>
    <w:p>
      <w:pPr>
        <w:jc w:val="both"/>
        <w:ind w:left="522" w:hanging="328"/>
        <w:spacing w:after="0" w:line="215" w:lineRule="auto"/>
        <w:tabs>
          <w:tab w:leader="none" w:pos="522"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Agreements; Other Recoupment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intends that this Policy will be applied to the fullest extent of the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may require that any employment agreement, award agreement, or similar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under applicable law or pursuant to the terms of any similar additional policy adopted by the Company to supplement this Policy; any similar or other policy or provision in any employment agreement, award terms, award agreement or similar agreement; any compensation, incentive, or severance plan or policy; and any other remedies at law or in equity available to the Company.</w:t>
      </w:r>
    </w:p>
    <w:p>
      <w:pPr>
        <w:spacing w:after="0" w:line="174" w:lineRule="exact"/>
        <w:rPr>
          <w:rFonts w:ascii="Times New Roman" w:cs="Times New Roman" w:eastAsia="Times New Roman" w:hAnsi="Times New Roman"/>
          <w:sz w:val="20"/>
          <w:szCs w:val="20"/>
          <w:b w:val="1"/>
          <w:bCs w:val="1"/>
          <w:color w:val="auto"/>
        </w:rPr>
      </w:pPr>
    </w:p>
    <w:p>
      <w:pPr>
        <w:jc w:val="both"/>
        <w:ind w:left="522" w:hanging="328"/>
        <w:spacing w:after="0" w:line="232" w:lineRule="auto"/>
        <w:tabs>
          <w:tab w:leader="none" w:pos="522"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be effective as of November 1,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The terms of this Policy shall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Incentive Compensation that is Received by Executive Officers on or after the Effective Date, even if such Incentive Compensation was approved, awarded, granted, or paid to Executive Officers prior to the Effective Date.</w:t>
      </w:r>
    </w:p>
    <w:p>
      <w:pPr>
        <w:spacing w:after="0" w:line="170" w:lineRule="exact"/>
        <w:rPr>
          <w:rFonts w:ascii="Times New Roman" w:cs="Times New Roman" w:eastAsia="Times New Roman" w:hAnsi="Times New Roman"/>
          <w:sz w:val="20"/>
          <w:szCs w:val="20"/>
          <w:b w:val="1"/>
          <w:bCs w:val="1"/>
          <w:color w:val="auto"/>
        </w:rPr>
      </w:pPr>
    </w:p>
    <w:p>
      <w:pPr>
        <w:jc w:val="both"/>
        <w:ind w:left="522" w:hanging="328"/>
        <w:spacing w:after="0" w:line="232" w:lineRule="auto"/>
        <w:tabs>
          <w:tab w:leader="none" w:pos="513"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provision of this Policy is determined to be unenforceable or invalid under any applicable law, such provision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applied to the maximum extent permitted by applicable law and shall automatically be deemed amended in a manner consistent with its objectives to the extent necessary to conform to any limitations required under applicable law.</w:t>
      </w:r>
    </w:p>
    <w:p>
      <w:pPr>
        <w:spacing w:after="0" w:line="170" w:lineRule="exact"/>
        <w:rPr>
          <w:rFonts w:ascii="Times New Roman" w:cs="Times New Roman" w:eastAsia="Times New Roman" w:hAnsi="Times New Roman"/>
          <w:sz w:val="20"/>
          <w:szCs w:val="20"/>
          <w:b w:val="1"/>
          <w:bCs w:val="1"/>
          <w:color w:val="auto"/>
        </w:rPr>
      </w:pPr>
    </w:p>
    <w:p>
      <w:pPr>
        <w:ind w:left="522" w:right="160" w:hanging="328"/>
        <w:spacing w:after="0" w:line="245" w:lineRule="auto"/>
        <w:tabs>
          <w:tab w:leader="none" w:pos="502"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be binding and enforceable against all Executive Officers and their beneficiaries, heirs, executors,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administrators, or other legal representatives.</w:t>
      </w:r>
    </w:p>
    <w:p>
      <w:pPr>
        <w:spacing w:after="0" w:line="178" w:lineRule="exact"/>
        <w:rPr>
          <w:rFonts w:ascii="Times New Roman" w:cs="Times New Roman" w:eastAsia="Times New Roman" w:hAnsi="Times New Roman"/>
          <w:sz w:val="20"/>
          <w:szCs w:val="20"/>
          <w:b w:val="1"/>
          <w:bCs w:val="1"/>
          <w:color w:val="auto"/>
        </w:rPr>
      </w:pPr>
    </w:p>
    <w:p>
      <w:pPr>
        <w:jc w:val="both"/>
        <w:ind w:left="522" w:right="180" w:hanging="328"/>
        <w:spacing w:after="0" w:line="223" w:lineRule="auto"/>
        <w:tabs>
          <w:tab w:leader="none" w:pos="513"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Board may amend this Policy from time to time in its discretion and shall amend this Policy as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deems necessary, including when it determines that it is legally required by, or to comply with, any federal securities laws, regulations adopted by the SEC, or any rules or standards adopted by a national securities exchange on which the Company’s securities are listed. The Board may terminate this Policy at any time.</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342" w:lineRule="exact"/>
        <w:rPr>
          <w:rFonts w:ascii="Times New Roman" w:cs="Times New Roman" w:eastAsia="Times New Roman" w:hAnsi="Times New Roman"/>
          <w:sz w:val="20"/>
          <w:szCs w:val="20"/>
          <w:b w:val="1"/>
          <w:bCs w:val="1"/>
          <w:color w:val="auto"/>
        </w:rPr>
      </w:pPr>
    </w:p>
    <w:p>
      <w:pPr>
        <w:ind w:left="122" w:hanging="122"/>
        <w:spacing w:after="0"/>
        <w:tabs>
          <w:tab w:leader="none" w:pos="1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pacing w:after="0" w:line="139" w:lineRule="exact"/>
        <w:rPr>
          <w:sz w:val="20"/>
          <w:szCs w:val="20"/>
          <w:color w:val="auto"/>
        </w:rPr>
      </w:pPr>
    </w:p>
    <w:p>
      <w:pPr>
        <w:ind w:left="9602"/>
        <w:spacing w:after="0"/>
        <w:rPr>
          <w:sz w:val="20"/>
          <w:szCs w:val="20"/>
          <w:color w:val="auto"/>
        </w:rPr>
      </w:pPr>
      <w:r>
        <w:rPr>
          <w:rFonts w:ascii="Arial" w:cs="Arial" w:eastAsia="Arial" w:hAnsi="Arial"/>
          <w:sz w:val="12"/>
          <w:szCs w:val="12"/>
          <w:color w:val="auto"/>
        </w:rPr>
        <w:t>1098283557\2\AMERICAS</w:t>
      </w:r>
    </w:p>
    <w:p>
      <w:pPr>
        <w:sectPr>
          <w:pgSz w:w="11900" w:h="16838" w:orient="portrait"/>
          <w:cols w:equalWidth="0" w:num="1">
            <w:col w:w="11102"/>
          </w:cols>
          <w:pgMar w:left="458" w:top="1440" w:right="339" w:bottom="1440" w:gutter="0" w:footer="0" w:header="0"/>
        </w:sectPr>
      </w:pPr>
    </w:p>
    <w:bookmarkStart w:id="102" w:name="page103"/>
    <w:bookmarkEnd w:id="102"/>
    <w:p>
      <w:pPr>
        <w:spacing w:after="0" w:line="108" w:lineRule="exact"/>
        <w:rPr>
          <w:sz w:val="20"/>
          <w:szCs w:val="20"/>
          <w:color w:val="auto"/>
        </w:rPr>
      </w:pPr>
    </w:p>
    <w:p>
      <w:pPr>
        <w:ind w:left="660" w:right="160"/>
        <w:spacing w:after="0" w:line="227" w:lineRule="auto"/>
        <w:rPr>
          <w:sz w:val="20"/>
          <w:szCs w:val="20"/>
          <w:color w:val="auto"/>
        </w:rPr>
      </w:pPr>
      <w:r>
        <w:rPr>
          <w:rFonts w:ascii="Times New Roman" w:cs="Times New Roman" w:eastAsia="Times New Roman" w:hAnsi="Times New Roman"/>
          <w:sz w:val="19"/>
          <w:szCs w:val="19"/>
          <w:color w:val="auto"/>
        </w:rPr>
        <w:t>Notwithstanding anything contrary herein, no amendment or termination of this Policy shall be effective if such amendment or termination would cause the Company to violate any federal securities laws, SEC rules, or rules of any national securities exchange</w:t>
      </w:r>
    </w:p>
    <w:p>
      <w:pPr>
        <w:ind w:left="660"/>
        <w:spacing w:after="0"/>
        <w:rPr>
          <w:sz w:val="20"/>
          <w:szCs w:val="20"/>
          <w:color w:val="auto"/>
        </w:rPr>
      </w:pPr>
      <w:r>
        <w:rPr>
          <w:rFonts w:ascii="Times New Roman" w:cs="Times New Roman" w:eastAsia="Times New Roman" w:hAnsi="Times New Roman"/>
          <w:sz w:val="20"/>
          <w:szCs w:val="20"/>
          <w:color w:val="auto"/>
        </w:rPr>
        <w:t>on which the Company’s securities are listed.</w:t>
      </w: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Approved by the Board: October 30,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November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- 4 -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1098283557\2\AMERICAS</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w:t>
      </w:r>
    </w:p>
    <w:p>
      <w:pPr>
        <w:jc w:val="center"/>
        <w:spacing w:after="0"/>
        <w:rPr>
          <w:sz w:val="20"/>
          <w:szCs w:val="20"/>
          <w:color w:val="auto"/>
        </w:rPr>
      </w:pPr>
      <w:r>
        <w:rPr>
          <w:rFonts w:ascii="Times New Roman" w:cs="Times New Roman" w:eastAsia="Times New Roman" w:hAnsi="Times New Roman"/>
          <w:sz w:val="20"/>
          <w:szCs w:val="20"/>
          <w:b w:val="1"/>
          <w:bCs w:val="1"/>
          <w:color w:val="auto"/>
        </w:rPr>
        <w:t>CLAWBACK POLICY ACKNOWLEDGMENT</w:t>
      </w:r>
    </w:p>
    <w:p>
      <w:pPr>
        <w:spacing w:after="0" w:line="19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I, the undersigned, for good and valuable consideration, the receipt and sufficiency of which is hereby acknowledged, and intending to be legally bound, acknowledge and agree to the following:</w:t>
      </w:r>
    </w:p>
    <w:p>
      <w:pPr>
        <w:spacing w:after="0" w:line="175" w:lineRule="exact"/>
        <w:rPr>
          <w:sz w:val="20"/>
          <w:szCs w:val="20"/>
          <w:color w:val="auto"/>
        </w:rPr>
      </w:pPr>
    </w:p>
    <w:p>
      <w:pPr>
        <w:ind w:left="660" w:right="180" w:hanging="328"/>
        <w:spacing w:after="0"/>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received and reviewed a copy of the Amended and Restated Clawback Policy (as the same may be amended, restated, supplemented or otherwise modified from time to time, the “Policy”) of Limoneira Company (the “Company”).</w:t>
      </w:r>
    </w:p>
    <w:p>
      <w:pPr>
        <w:spacing w:after="0" w:line="188" w:lineRule="exact"/>
        <w:rPr>
          <w:rFonts w:ascii="Times New Roman" w:cs="Times New Roman" w:eastAsia="Times New Roman" w:hAnsi="Times New Roman"/>
          <w:sz w:val="20"/>
          <w:szCs w:val="20"/>
          <w:color w:val="auto"/>
        </w:rPr>
      </w:pPr>
    </w:p>
    <w:p>
      <w:pPr>
        <w:jc w:val="both"/>
        <w:ind w:left="660" w:right="160" w:hanging="328"/>
        <w:spacing w:after="0" w:line="226" w:lineRule="auto"/>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of the Policy (or, if later than the Effective Date of the Policy, the date I became an Executive Officer of the Company), and not the date of my execution of this Acknowledgment, I am, and will continue to be, fully bound by, and subject to, all of the terms and conditions of the Policy during and after my employment with the Company.</w:t>
      </w:r>
    </w:p>
    <w:p>
      <w:pPr>
        <w:spacing w:after="0" w:line="187" w:lineRule="exact"/>
        <w:rPr>
          <w:rFonts w:ascii="Times New Roman" w:cs="Times New Roman" w:eastAsia="Times New Roman" w:hAnsi="Times New Roman"/>
          <w:sz w:val="20"/>
          <w:szCs w:val="20"/>
          <w:color w:val="auto"/>
        </w:rPr>
      </w:pPr>
    </w:p>
    <w:p>
      <w:pPr>
        <w:jc w:val="both"/>
        <w:ind w:left="660" w:right="160" w:hanging="328"/>
        <w:spacing w:after="0" w:line="213" w:lineRule="auto"/>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abide by the terms of the Policy and Company determinations under the Policy. In the event it is determined by the Company that any amounts granted, awarded, earned or paid to me must be forfeited or reimbursed to the Company under the Policy, I will promptly take any action necessary to effectuate such forfeiture and/or reimbursement. Incentive Compensation (as defined in the Policy), including under awards that were granted or made to me prior to the Policy Effective Date, is subject to the Policy to the extent provided therein. This includes cash and equity. In the event of any inconsistency between the Policy and the terms of any employment or severance agreement, plan or policy to which I am a party or in which I participate, or the terms of any compensation plan, program, award or agreement under which any compensation has been granted, awarded, earned, or paid, the terms of the Policy shall govern and such agreement, plan, policy or program shall be deemed to have been amended to the extent necessary to give full effect to the Policy.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80"/>
        <w:spacing w:after="0"/>
        <w:rPr>
          <w:sz w:val="20"/>
          <w:szCs w:val="20"/>
          <w:color w:val="auto"/>
        </w:rPr>
      </w:pPr>
      <w:r>
        <w:rPr>
          <w:rFonts w:ascii="Calibri" w:cs="Calibri" w:eastAsia="Calibri" w:hAnsi="Calibri"/>
          <w:sz w:val="20"/>
          <w:szCs w:val="20"/>
          <w:color w:val="auto"/>
        </w:rPr>
        <w:t>_______________________________________</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Calibri" w:cs="Calibri" w:eastAsia="Calibri" w:hAnsi="Calibri"/>
          <w:sz w:val="20"/>
          <w:szCs w:val="20"/>
          <w:color w:val="auto"/>
        </w:rPr>
        <w:t>_______________________________________</w:t>
      </w:r>
    </w:p>
    <w:p>
      <w:pPr>
        <w:spacing w:after="0" w:line="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Calibri" w:cs="Calibri" w:eastAsia="Calibri" w:hAnsi="Calibri"/>
          <w:sz w:val="20"/>
          <w:szCs w:val="20"/>
          <w:color w:val="auto"/>
        </w:rPr>
        <w:t>_______________________________________</w:t>
      </w:r>
    </w:p>
    <w:p>
      <w:pPr>
        <w:spacing w:after="0" w:line="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- 5 -</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1098283557\2\AMERICAS</w:t>
      </w:r>
    </w:p>
    <w:p>
      <w:pPr>
        <w:sectPr>
          <w:pgSz w:w="11900" w:h="16838" w:orient="portrait"/>
          <w:cols w:equalWidth="0" w:num="1">
            <w:col w:w="11240"/>
          </w:cols>
          <w:pgMar w:left="320" w:top="144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i w:val="1"/>
          <w:iCs w:val="1"/>
          <w:color w:val="auto"/>
        </w:rPr>
        <w:t>(a Delaware Limited Liability Company)</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color w:val="auto"/>
        </w:rPr>
        <w:t>Financial Statements</w:t>
      </w:r>
    </w:p>
    <w:p>
      <w:pPr>
        <w:spacing w:after="0" w:line="27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October 31, 2023</w:t>
      </w:r>
    </w:p>
    <w:p>
      <w:pPr>
        <w:sectPr>
          <w:pgSz w:w="11900" w:h="16838" w:orient="portrait"/>
          <w:cols w:equalWidth="0" w:num="1">
            <w:col w:w="10120"/>
          </w:cols>
          <w:pgMar w:left="1440" w:top="846" w:right="339" w:bottom="1440" w:gutter="0" w:footer="0" w:header="0"/>
        </w:sectPr>
      </w:pPr>
    </w:p>
    <w:bookmarkStart w:id="105" w:name="page106"/>
    <w:bookmarkEnd w:id="105"/>
    <w:p>
      <w:pPr>
        <w:jc w:val="center"/>
        <w:ind w:right="-699"/>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25"/>
          <w:szCs w:val="25"/>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2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56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2920" w:type="dxa"/>
            <w:vAlign w:val="bottom"/>
          </w:tcPr>
          <w:p>
            <w:pPr>
              <w:spacing w:after="0"/>
              <w:rPr>
                <w:sz w:val="24"/>
                <w:szCs w:val="24"/>
                <w:color w:val="auto"/>
              </w:rPr>
            </w:pPr>
          </w:p>
        </w:tc>
      </w:tr>
      <w:tr>
        <w:trPr>
          <w:trHeight w:val="56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Balance Sheets</w:t>
            </w:r>
          </w:p>
        </w:tc>
        <w:tc>
          <w:tcPr>
            <w:tcW w:w="2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Statements of Operations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Statements of Members’ Capital</w:t>
            </w:r>
          </w:p>
        </w:tc>
        <w:tc>
          <w:tcPr>
            <w:tcW w:w="2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Statements of Cash Flows</w:t>
            </w:r>
          </w:p>
        </w:tc>
        <w:tc>
          <w:tcPr>
            <w:tcW w:w="2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bl>
    <w:p>
      <w:pPr>
        <w:sectPr>
          <w:pgSz w:w="11900" w:h="16838" w:orient="portrait"/>
          <w:cols w:equalWidth="0" w:num="1">
            <w:col w:w="10400"/>
          </w:cols>
          <w:pgMar w:left="560" w:top="111" w:right="939" w:bottom="1440" w:gutter="0" w:footer="0" w:header="0"/>
        </w:sectPr>
      </w:pPr>
    </w:p>
    <w:bookmarkStart w:id="106" w:name="page107"/>
    <w:bookmarkEnd w:id="106"/>
    <w:p>
      <w:pPr>
        <w:ind w:left="2920"/>
        <w:spacing w:after="0"/>
        <w:rPr>
          <w:sz w:val="20"/>
          <w:szCs w:val="20"/>
          <w:color w:val="auto"/>
        </w:rPr>
      </w:pPr>
      <w:r>
        <w:rPr>
          <w:rFonts w:ascii="Times New Roman" w:cs="Times New Roman" w:eastAsia="Times New Roman" w:hAnsi="Times New Roman"/>
          <w:sz w:val="22"/>
          <w:szCs w:val="22"/>
          <w:b w:val="1"/>
          <w:bCs w:val="1"/>
          <w:color w:val="333333"/>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Members of Limoneira Lewis Community Builders,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have audited the accompanying balance sheets of Limoneira Lewis Community Builders, LLC (“the Company”) as of October 31, 2023 and 2022, the related statements of operations, members’ capital and cash flows for each of the three years in the period ended October 31, 2023, and the related notes (collectively referred to as the “financial statements”). In our opinion, the financial statements present fairly, in all material respects, the financial position of the Company at October 31, 2023 and 2022, and the results of its operations and its cash flows for each of the three years in the period ended October 31, 2023, in conformity with U.S. generally accepted accounting principles.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1418" w:right="339" w:bottom="1440" w:gutter="0" w:footer="0" w:header="0"/>
        </w:sectPr>
      </w:pPr>
    </w:p>
    <w:bookmarkStart w:id="107" w:name="page108"/>
    <w:bookmarkEnd w:id="107"/>
    <w:p>
      <w:pPr>
        <w:spacing w:after="0" w:line="29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i w:val="1"/>
          <w:iCs w:val="1"/>
          <w:color w:val="auto"/>
        </w:rPr>
        <w:t>How We Addressed the Matter in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Land Sales Revenue Recognition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the year ended October 31, 2023, the Company’s revenues from land sales totaled </w:t>
      </w:r>
      <w:r>
        <w:rPr>
          <w:rFonts w:ascii="Verdana" w:cs="Verdana" w:eastAsia="Verdana" w:hAnsi="Verdana"/>
          <w:sz w:val="20"/>
          <w:szCs w:val="20"/>
          <w:color w:val="auto"/>
        </w:rPr>
        <w:t>$</w:t>
      </w:r>
      <w:r>
        <w:rPr>
          <w:rFonts w:ascii="Times New Roman" w:cs="Times New Roman" w:eastAsia="Times New Roman" w:hAnsi="Times New Roman"/>
          <w:sz w:val="20"/>
          <w:szCs w:val="20"/>
          <w:color w:val="auto"/>
        </w:rPr>
        <w:t>30.9 million. As more</w:t>
      </w:r>
    </w:p>
    <w:p>
      <w:pPr>
        <w:ind w:right="20"/>
        <w:spacing w:after="0" w:line="215" w:lineRule="auto"/>
        <w:rPr>
          <w:sz w:val="20"/>
          <w:szCs w:val="20"/>
          <w:color w:val="auto"/>
        </w:rPr>
      </w:pPr>
      <w:r>
        <w:rPr>
          <w:rFonts w:ascii="Times New Roman" w:cs="Times New Roman" w:eastAsia="Times New Roman" w:hAnsi="Times New Roman"/>
          <w:sz w:val="19"/>
          <w:szCs w:val="19"/>
          <w:color w:val="auto"/>
        </w:rPr>
        <w:t>fully described in Note 2 to the financial statements, the Company evaluates each of its land sale contracts to identify the related performance obligations, determines and allocates the overall transaction price to the identified</w:t>
      </w:r>
    </w:p>
    <w:p>
      <w:pPr>
        <w:spacing w:after="0" w:line="211" w:lineRule="auto"/>
        <w:rPr>
          <w:sz w:val="20"/>
          <w:szCs w:val="20"/>
          <w:color w:val="auto"/>
        </w:rPr>
      </w:pPr>
      <w:r>
        <w:rPr>
          <w:rFonts w:ascii="Times New Roman" w:cs="Times New Roman" w:eastAsia="Times New Roman" w:hAnsi="Times New Roman"/>
          <w:sz w:val="20"/>
          <w:szCs w:val="20"/>
          <w:color w:val="auto"/>
        </w:rPr>
        <w:t>performance obligations, and recognizes revenue based on the extent to which the performance obligations have</w:t>
      </w:r>
    </w:p>
    <w:p>
      <w:pPr>
        <w:ind w:right="20"/>
        <w:spacing w:after="0" w:line="204" w:lineRule="auto"/>
        <w:rPr>
          <w:sz w:val="20"/>
          <w:szCs w:val="20"/>
          <w:color w:val="auto"/>
        </w:rPr>
      </w:pPr>
      <w:r>
        <w:rPr>
          <w:rFonts w:ascii="Times New Roman" w:cs="Times New Roman" w:eastAsia="Times New Roman" w:hAnsi="Times New Roman"/>
          <w:sz w:val="20"/>
          <w:szCs w:val="20"/>
          <w:color w:val="auto"/>
        </w:rPr>
        <w:t>been satisfied. The Company also evaluates the terms of variable consideration attributable to each land sale contract, including factors indicating the need to constrain the amount of revenue to be recognized, and evaluates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any other unique contract terms which may otherwise impact revenue recognition under Accounting Standards Codification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(ASC 606).</w:t>
      </w:r>
    </w:p>
    <w:p>
      <w:pPr>
        <w:spacing w:after="0" w:line="122"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Auditing the Company’s recognition and measurement of land sales revenue is especially challenging because the application of the ASC 606 revenue recognition model to land sale transactions is complex and involves</w:t>
      </w:r>
    </w:p>
    <w:p>
      <w:pPr>
        <w:spacing w:after="0" w:line="2"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significant judgments related to the identification of performance obligations within the context of each contract; the determination of overall transaction price, including estimates of variable consideration and determining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need to constrain the amount of revenue to be recognized; and evaluation of any unique contract terms which could impact revenue recognition.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test the land sales revenue recognized by the Company, our audit procedures included, among others, testing</w:t>
      </w:r>
    </w:p>
    <w:p>
      <w:pPr>
        <w:spacing w:after="0" w:line="204" w:lineRule="auto"/>
        <w:rPr>
          <w:sz w:val="20"/>
          <w:szCs w:val="20"/>
          <w:color w:val="auto"/>
        </w:rPr>
      </w:pPr>
      <w:r>
        <w:rPr>
          <w:rFonts w:ascii="Times New Roman" w:cs="Times New Roman" w:eastAsia="Times New Roman" w:hAnsi="Times New Roman"/>
          <w:sz w:val="20"/>
          <w:szCs w:val="20"/>
          <w:color w:val="auto"/>
        </w:rPr>
        <w:t>each land sale transaction and assessing the methodologies and evaluating the significant judgments used by the Company in applying the ASC 606 revenue recognition model to its land sales contracts. We tested each of the</w:t>
      </w:r>
    </w:p>
    <w:p>
      <w:pPr>
        <w:spacing w:after="0" w:line="211" w:lineRule="auto"/>
        <w:rPr>
          <w:sz w:val="20"/>
          <w:szCs w:val="20"/>
          <w:color w:val="auto"/>
        </w:rPr>
      </w:pPr>
      <w:r>
        <w:rPr>
          <w:rFonts w:ascii="Times New Roman" w:cs="Times New Roman" w:eastAsia="Times New Roman" w:hAnsi="Times New Roman"/>
          <w:sz w:val="20"/>
          <w:szCs w:val="20"/>
          <w:color w:val="auto"/>
        </w:rPr>
        <w:t>Company’s land sale transactions in the current year through inspection of the terms of the purchase and sale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agreements and other relevant agreements, inspection of closing statements, vouching of significant cash proceeds received, and recalculation of revenue recognized. We evaluated the methodology utilized and significant</w:t>
      </w:r>
    </w:p>
    <w:p>
      <w:pPr>
        <w:spacing w:after="0" w:line="211" w:lineRule="auto"/>
        <w:rPr>
          <w:sz w:val="20"/>
          <w:szCs w:val="20"/>
          <w:color w:val="auto"/>
        </w:rPr>
      </w:pPr>
      <w:r>
        <w:rPr>
          <w:rFonts w:ascii="Times New Roman" w:cs="Times New Roman" w:eastAsia="Times New Roman" w:hAnsi="Times New Roman"/>
          <w:sz w:val="20"/>
          <w:szCs w:val="20"/>
          <w:color w:val="auto"/>
        </w:rPr>
        <w:t>judgments made by management in the application of the ASC 606 revenue recognition model to each land sale</w:t>
      </w:r>
    </w:p>
    <w:p>
      <w:pPr>
        <w:ind w:right="20"/>
        <w:spacing w:after="0" w:line="215" w:lineRule="auto"/>
        <w:rPr>
          <w:sz w:val="20"/>
          <w:szCs w:val="20"/>
          <w:color w:val="auto"/>
        </w:rPr>
      </w:pPr>
      <w:r>
        <w:rPr>
          <w:rFonts w:ascii="Times New Roman" w:cs="Times New Roman" w:eastAsia="Times New Roman" w:hAnsi="Times New Roman"/>
          <w:sz w:val="19"/>
          <w:szCs w:val="19"/>
          <w:color w:val="auto"/>
        </w:rPr>
        <w:t>transaction, including: the identification of performance obligations within the context of each contract; the determination of the overall transaction price, including variable consideration, and related judgments involved in</w:t>
      </w:r>
    </w:p>
    <w:p>
      <w:pPr>
        <w:spacing w:after="0" w:line="211" w:lineRule="auto"/>
        <w:rPr>
          <w:sz w:val="20"/>
          <w:szCs w:val="20"/>
          <w:color w:val="auto"/>
        </w:rPr>
      </w:pPr>
      <w:r>
        <w:rPr>
          <w:rFonts w:ascii="Times New Roman" w:cs="Times New Roman" w:eastAsia="Times New Roman" w:hAnsi="Times New Roman"/>
          <w:sz w:val="20"/>
          <w:szCs w:val="20"/>
          <w:color w:val="auto"/>
        </w:rPr>
        <w:t>determining whether to constrain revenue related to variable consideration; and the evaluation of any unique</w:t>
      </w:r>
    </w:p>
    <w:p>
      <w:pPr>
        <w:ind w:right="20"/>
        <w:spacing w:after="0" w:line="215" w:lineRule="auto"/>
        <w:rPr>
          <w:sz w:val="20"/>
          <w:szCs w:val="20"/>
          <w:color w:val="auto"/>
        </w:rPr>
      </w:pPr>
      <w:r>
        <w:rPr>
          <w:rFonts w:ascii="Times New Roman" w:cs="Times New Roman" w:eastAsia="Times New Roman" w:hAnsi="Times New Roman"/>
          <w:sz w:val="19"/>
          <w:szCs w:val="19"/>
          <w:color w:val="auto"/>
        </w:rPr>
        <w:t>contract terms and related impact on the overall recognition or measurement of revenue. We also performed inquiries of operational personnel outside the accounting function to corroborate our inquiries of management and</w:t>
      </w:r>
    </w:p>
    <w:p>
      <w:pPr>
        <w:ind w:right="20"/>
        <w:spacing w:after="0" w:line="228" w:lineRule="auto"/>
        <w:rPr>
          <w:sz w:val="20"/>
          <w:szCs w:val="20"/>
          <w:color w:val="auto"/>
        </w:rPr>
      </w:pPr>
      <w:r>
        <w:rPr>
          <w:rFonts w:ascii="Times New Roman" w:cs="Times New Roman" w:eastAsia="Times New Roman" w:hAnsi="Times New Roman"/>
          <w:sz w:val="20"/>
          <w:szCs w:val="20"/>
          <w:color w:val="auto"/>
        </w:rPr>
        <w:t>to identify any contrary information toward the satisfaction of performance obligations and overall recognition and measurement of revenue within the ASC 606 model.</w:t>
      </w:r>
    </w:p>
    <w:p>
      <w:pPr>
        <w:sectPr>
          <w:pgSz w:w="11900" w:h="16838" w:orient="portrait"/>
          <w:cols w:equalWidth="0" w:num="2">
            <w:col w:w="1540" w:space="480"/>
            <w:col w:w="9100"/>
          </w:cols>
          <w:pgMar w:left="340" w:top="1440" w:right="439" w:bottom="1440" w:gutter="0" w:footer="0" w:header="0"/>
        </w:sectPr>
      </w:pPr>
    </w:p>
    <w:bookmarkStart w:id="108" w:name="page109"/>
    <w:bookmarkEnd w:id="108"/>
    <w:p>
      <w:pPr>
        <w:spacing w:after="0" w:line="293" w:lineRule="exact"/>
        <w:rPr>
          <w:sz w:val="20"/>
          <w:szCs w:val="20"/>
          <w:color w:val="auto"/>
        </w:rPr>
      </w:pPr>
    </w:p>
    <w:p>
      <w:pPr>
        <w:ind w:left="20" w:right="400"/>
        <w:spacing w:after="0" w:line="259"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right="300"/>
        <w:spacing w:after="0" w:line="258" w:lineRule="auto"/>
        <w:rPr>
          <w:sz w:val="20"/>
          <w:szCs w:val="20"/>
          <w:color w:val="auto"/>
        </w:rPr>
      </w:pPr>
      <w:r>
        <w:rPr>
          <w:rFonts w:ascii="Times New Roman" w:cs="Times New Roman" w:eastAsia="Times New Roman" w:hAnsi="Times New Roman"/>
          <w:sz w:val="19"/>
          <w:szCs w:val="19"/>
          <w:i w:val="1"/>
          <w:iCs w:val="1"/>
          <w:color w:val="auto"/>
        </w:rPr>
        <w:t>How We Addressed the Matter in Our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Project Budgeting and Cost of Land Sales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discussed in Note 2 to the financial statements, cost of land sales is determined based on an allocation of costs</w:t>
      </w:r>
    </w:p>
    <w:p>
      <w:pPr>
        <w:ind w:right="20"/>
        <w:spacing w:after="0" w:line="204" w:lineRule="auto"/>
        <w:rPr>
          <w:sz w:val="20"/>
          <w:szCs w:val="20"/>
          <w:color w:val="auto"/>
        </w:rPr>
      </w:pPr>
      <w:r>
        <w:rPr>
          <w:rFonts w:ascii="Times New Roman" w:cs="Times New Roman" w:eastAsia="Times New Roman" w:hAnsi="Times New Roman"/>
          <w:sz w:val="20"/>
          <w:szCs w:val="20"/>
          <w:color w:val="auto"/>
        </w:rPr>
        <w:t>to individual land parcels sold based on specific identification, if practicable, or an allocation based on a method which approximates relative fair value. Costs allocated to land parcels sold include actual development costs</w:t>
      </w:r>
    </w:p>
    <w:p>
      <w:pPr>
        <w:spacing w:after="0" w:line="223" w:lineRule="auto"/>
        <w:rPr>
          <w:sz w:val="20"/>
          <w:szCs w:val="20"/>
          <w:color w:val="auto"/>
        </w:rPr>
      </w:pPr>
      <w:r>
        <w:rPr>
          <w:rFonts w:ascii="Times New Roman" w:cs="Times New Roman" w:eastAsia="Times New Roman" w:hAnsi="Times New Roman"/>
          <w:sz w:val="19"/>
          <w:szCs w:val="19"/>
          <w:color w:val="auto"/>
        </w:rPr>
        <w:t>incurred and estimates of future development costs, including common costs and amenities within the project. For</w:t>
      </w:r>
    </w:p>
    <w:p>
      <w:pPr>
        <w:spacing w:after="0" w:line="204" w:lineRule="auto"/>
        <w:rPr>
          <w:sz w:val="20"/>
          <w:szCs w:val="20"/>
          <w:color w:val="auto"/>
        </w:rPr>
      </w:pPr>
      <w:r>
        <w:rPr>
          <w:rFonts w:ascii="Times New Roman" w:cs="Times New Roman" w:eastAsia="Times New Roman" w:hAnsi="Times New Roman"/>
          <w:sz w:val="20"/>
          <w:szCs w:val="20"/>
          <w:color w:val="auto"/>
        </w:rPr>
        <w:t>purposes of allocating development costs, estimates of future sales prices and development costs reflected in the project budget are reevaluated throughout the year, with adjustments being allocated prospectively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remaining parcels available for sale.</w:t>
      </w:r>
    </w:p>
    <w:p>
      <w:pPr>
        <w:spacing w:after="0" w:line="16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Auditing the Company’s cost of land sales is especially challenging as it involves significant management estimation related to projecting future development costs and land sales prices and involves judgment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complexity in applying the appropriate costing methodology to each land sale.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test cost of land sales recorded by the Company, our audit procedures included, among others, evaluating</w:t>
      </w:r>
    </w:p>
    <w:p>
      <w:pPr>
        <w:ind w:right="20"/>
        <w:spacing w:after="0" w:line="204" w:lineRule="auto"/>
        <w:rPr>
          <w:sz w:val="20"/>
          <w:szCs w:val="20"/>
          <w:color w:val="auto"/>
        </w:rPr>
      </w:pPr>
      <w:r>
        <w:rPr>
          <w:rFonts w:ascii="Times New Roman" w:cs="Times New Roman" w:eastAsia="Times New Roman" w:hAnsi="Times New Roman"/>
          <w:sz w:val="20"/>
          <w:szCs w:val="20"/>
          <w:color w:val="auto"/>
        </w:rPr>
        <w:t>management’s methodology for estimating future development costs and land sales prices associated with the project and allocating such costs to individual land sales, as well as evaluating the underlying data and</w:t>
      </w:r>
    </w:p>
    <w:p>
      <w:pPr>
        <w:spacing w:after="0" w:line="211" w:lineRule="auto"/>
        <w:rPr>
          <w:sz w:val="20"/>
          <w:szCs w:val="20"/>
          <w:color w:val="auto"/>
        </w:rPr>
      </w:pPr>
      <w:r>
        <w:rPr>
          <w:rFonts w:ascii="Times New Roman" w:cs="Times New Roman" w:eastAsia="Times New Roman" w:hAnsi="Times New Roman"/>
          <w:sz w:val="20"/>
          <w:szCs w:val="20"/>
          <w:color w:val="auto"/>
        </w:rPr>
        <w:t>assumptions used by management. We tested projected future sales prices by comparing against actual historical</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sales and evaluating underlying assumptions against market data. We tested projected future development costs by comparing against development obligations in contractual agreements to determine completeness and accuracy,</w:t>
      </w:r>
    </w:p>
    <w:p>
      <w:pPr>
        <w:spacing w:after="0" w:line="222" w:lineRule="auto"/>
        <w:rPr>
          <w:sz w:val="20"/>
          <w:szCs w:val="20"/>
          <w:color w:val="auto"/>
        </w:rPr>
      </w:pPr>
      <w:r>
        <w:rPr>
          <w:rFonts w:ascii="Times New Roman" w:cs="Times New Roman" w:eastAsia="Times New Roman" w:hAnsi="Times New Roman"/>
          <w:sz w:val="19"/>
          <w:szCs w:val="19"/>
          <w:color w:val="auto"/>
        </w:rPr>
        <w:t>comparing cost projections to historical actuals for similar work performed at the project, and comparing projected</w:t>
      </w:r>
    </w:p>
    <w:p>
      <w:pPr>
        <w:spacing w:after="0" w:line="204" w:lineRule="auto"/>
        <w:rPr>
          <w:sz w:val="20"/>
          <w:szCs w:val="20"/>
          <w:color w:val="auto"/>
        </w:rPr>
      </w:pPr>
      <w:r>
        <w:rPr>
          <w:rFonts w:ascii="Times New Roman" w:cs="Times New Roman" w:eastAsia="Times New Roman" w:hAnsi="Times New Roman"/>
          <w:sz w:val="20"/>
          <w:szCs w:val="20"/>
          <w:color w:val="auto"/>
        </w:rPr>
        <w:t>costs to current commitments in place on a sample basis. We also evaluated changes in budgeted revenue and cost amounts from previous periods for reasonableness relative to changes in the project development and other</w:t>
      </w:r>
    </w:p>
    <w:p>
      <w:pPr>
        <w:spacing w:after="0" w:line="223" w:lineRule="auto"/>
        <w:rPr>
          <w:sz w:val="20"/>
          <w:szCs w:val="20"/>
          <w:color w:val="auto"/>
        </w:rPr>
      </w:pPr>
      <w:r>
        <w:rPr>
          <w:rFonts w:ascii="Times New Roman" w:cs="Times New Roman" w:eastAsia="Times New Roman" w:hAnsi="Times New Roman"/>
          <w:sz w:val="19"/>
          <w:szCs w:val="19"/>
          <w:color w:val="auto"/>
        </w:rPr>
        <w:t>factors. Further, we performed inquiries with operational personnel outside the accounting function to corroborate</w:t>
      </w:r>
    </w:p>
    <w:p>
      <w:pPr>
        <w:ind w:right="20"/>
        <w:spacing w:after="0" w:line="221" w:lineRule="auto"/>
        <w:rPr>
          <w:sz w:val="20"/>
          <w:szCs w:val="20"/>
          <w:color w:val="auto"/>
        </w:rPr>
      </w:pPr>
      <w:r>
        <w:rPr>
          <w:rFonts w:ascii="Times New Roman" w:cs="Times New Roman" w:eastAsia="Times New Roman" w:hAnsi="Times New Roman"/>
          <w:sz w:val="20"/>
          <w:szCs w:val="20"/>
          <w:color w:val="auto"/>
        </w:rPr>
        <w:t>information obtained from management and inspected evidence of the project’s physical condition to compare overall status of the development to information reflected in the project budget.</w:t>
      </w:r>
    </w:p>
    <w:p>
      <w:pPr>
        <w:spacing w:after="0" w:line="1498" w:lineRule="exact"/>
        <w:rPr>
          <w:sz w:val="20"/>
          <w:szCs w:val="20"/>
          <w:color w:val="auto"/>
        </w:rPr>
      </w:pPr>
    </w:p>
    <w:p>
      <w:pPr>
        <w:sectPr>
          <w:pgSz w:w="11900" w:h="16838" w:orient="portrait"/>
          <w:cols w:equalWidth="0" w:num="2">
            <w:col w:w="1860" w:space="180"/>
            <w:col w:w="9100"/>
          </w:cols>
          <w:pgMar w:left="320" w:top="1440" w:right="4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15, 2023</w:t>
      </w:r>
    </w:p>
    <w:p>
      <w:pPr>
        <w:sectPr>
          <w:pgSz w:w="11900" w:h="16838" w:orient="portrait"/>
          <w:cols w:equalWidth="0" w:num="1">
            <w:col w:w="11140"/>
          </w:cols>
          <w:pgMar w:left="320" w:top="1440" w:right="4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Balance Sheets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8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20"/>
                <w:szCs w:val="20"/>
                <w:b w:val="1"/>
                <w:bCs w:val="1"/>
                <w:color w:val="auto"/>
              </w:rPr>
              <w:t>October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25"/>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445"/>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34"/>
        </w:trPr>
        <w:tc>
          <w:tcPr>
            <w:tcW w:w="8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Land held for development and sale</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105,979</w:t>
            </w:r>
          </w:p>
        </w:tc>
        <w:tc>
          <w:tcPr>
            <w:tcW w:w="10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112,221</w:t>
            </w:r>
          </w:p>
        </w:tc>
        <w:tc>
          <w:tcPr>
            <w:tcW w:w="0" w:type="dxa"/>
            <w:vAlign w:val="bottom"/>
          </w:tcPr>
          <w:p>
            <w:pPr>
              <w:spacing w:after="0"/>
              <w:rPr>
                <w:sz w:val="1"/>
                <w:szCs w:val="1"/>
                <w:color w:val="auto"/>
              </w:rPr>
            </w:pPr>
          </w:p>
        </w:tc>
      </w:tr>
      <w:tr>
        <w:trPr>
          <w:trHeight w:val="289"/>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Due from affiliates (Note 7)</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Refundable deposits and other assets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34"/>
        </w:trPr>
        <w:tc>
          <w:tcPr>
            <w:tcW w:w="8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00" w:type="dxa"/>
            <w:vAlign w:val="bottom"/>
            <w:vMerge w:val="continue"/>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124,939</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116,596</w:t>
            </w:r>
          </w:p>
        </w:tc>
        <w:tc>
          <w:tcPr>
            <w:tcW w:w="0" w:type="dxa"/>
            <w:vAlign w:val="bottom"/>
          </w:tcPr>
          <w:p>
            <w:pPr>
              <w:spacing w:after="0"/>
              <w:rPr>
                <w:sz w:val="1"/>
                <w:szCs w:val="1"/>
                <w:color w:val="auto"/>
              </w:rPr>
            </w:pPr>
          </w:p>
        </w:tc>
      </w:tr>
      <w:tr>
        <w:trPr>
          <w:trHeight w:val="21"/>
        </w:trPr>
        <w:tc>
          <w:tcPr>
            <w:tcW w:w="8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members’ capital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82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8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Unsecured line of credit (Note 5)</w:t>
            </w:r>
          </w:p>
        </w:tc>
        <w:tc>
          <w:tcPr>
            <w:tcW w:w="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5,884</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Unearned revenue</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Due to affiliates (Note 7)</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0" w:type="dxa"/>
            <w:vAlign w:val="bottom"/>
          </w:tcPr>
          <w:p>
            <w:pPr>
              <w:spacing w:after="0"/>
              <w:rPr>
                <w:sz w:val="1"/>
                <w:szCs w:val="1"/>
                <w:color w:val="auto"/>
              </w:rPr>
            </w:pPr>
          </w:p>
        </w:tc>
      </w:tr>
      <w:tr>
        <w:trPr>
          <w:trHeight w:val="35"/>
        </w:trPr>
        <w:tc>
          <w:tcPr>
            <w:tcW w:w="8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10,531</w:t>
            </w:r>
          </w:p>
        </w:tc>
        <w:tc>
          <w:tcPr>
            <w:tcW w:w="0" w:type="dxa"/>
            <w:vAlign w:val="bottom"/>
          </w:tcPr>
          <w:p>
            <w:pPr>
              <w:spacing w:after="0"/>
              <w:rPr>
                <w:sz w:val="1"/>
                <w:szCs w:val="1"/>
                <w:color w:val="auto"/>
              </w:rPr>
            </w:pPr>
          </w:p>
        </w:tc>
      </w:tr>
      <w:tr>
        <w:trPr>
          <w:trHeight w:val="553"/>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8)</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Members’ capital:</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Limoneira EA1 Land, LLC</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52,431</w:t>
            </w:r>
          </w:p>
        </w:tc>
        <w:tc>
          <w:tcPr>
            <w:tcW w:w="0" w:type="dxa"/>
            <w:vAlign w:val="bottom"/>
          </w:tcPr>
          <w:p>
            <w:pPr>
              <w:spacing w:after="0"/>
              <w:rPr>
                <w:sz w:val="1"/>
                <w:szCs w:val="1"/>
                <w:color w:val="auto"/>
              </w:rPr>
            </w:pPr>
          </w:p>
        </w:tc>
      </w:tr>
      <w:tr>
        <w:trPr>
          <w:trHeight w:val="297"/>
        </w:trPr>
        <w:tc>
          <w:tcPr>
            <w:tcW w:w="82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Lewis Santa Paula Member, LLC</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59,553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53,634</w:t>
            </w:r>
          </w:p>
        </w:tc>
        <w:tc>
          <w:tcPr>
            <w:tcW w:w="0" w:type="dxa"/>
            <w:vAlign w:val="bottom"/>
          </w:tcPr>
          <w:p>
            <w:pPr>
              <w:spacing w:after="0"/>
              <w:rPr>
                <w:sz w:val="1"/>
                <w:szCs w:val="1"/>
                <w:color w:val="auto"/>
              </w:rPr>
            </w:pPr>
          </w:p>
        </w:tc>
      </w:tr>
      <w:tr>
        <w:trPr>
          <w:trHeight w:val="35"/>
        </w:trPr>
        <w:tc>
          <w:tcPr>
            <w:tcW w:w="8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117,835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106,065</w:t>
            </w:r>
          </w:p>
        </w:tc>
        <w:tc>
          <w:tcPr>
            <w:tcW w:w="0" w:type="dxa"/>
            <w:vAlign w:val="bottom"/>
          </w:tcPr>
          <w:p>
            <w:pPr>
              <w:spacing w:after="0"/>
              <w:rPr>
                <w:sz w:val="1"/>
                <w:szCs w:val="1"/>
                <w:color w:val="auto"/>
              </w:rPr>
            </w:pPr>
          </w:p>
        </w:tc>
      </w:tr>
      <w:tr>
        <w:trPr>
          <w:trHeight w:val="35"/>
        </w:trPr>
        <w:tc>
          <w:tcPr>
            <w:tcW w:w="82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and members’ capital</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124,939</w:t>
            </w:r>
          </w:p>
        </w:tc>
        <w:tc>
          <w:tcPr>
            <w:tcW w:w="100" w:type="dxa"/>
            <w:vAlign w:val="bottom"/>
          </w:tcPr>
          <w:p>
            <w:pPr>
              <w:spacing w:after="0"/>
              <w:rPr>
                <w:sz w:val="24"/>
                <w:szCs w:val="2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116,596</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354"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Statements of Operations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40" w:type="dxa"/>
            <w:vAlign w:val="bottom"/>
            <w:gridSpan w:val="6"/>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Year Ended October 31,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35"/>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Land sales</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30,933</w:t>
            </w:r>
          </w:p>
        </w:tc>
        <w:tc>
          <w:tcPr>
            <w:tcW w:w="8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100" w:type="dxa"/>
            <w:vAlign w:val="bottom"/>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42,853</w:t>
            </w:r>
          </w:p>
        </w:tc>
        <w:tc>
          <w:tcPr>
            <w:tcW w:w="0" w:type="dxa"/>
            <w:vAlign w:val="bottom"/>
          </w:tcPr>
          <w:p>
            <w:pPr>
              <w:spacing w:after="0"/>
              <w:rPr>
                <w:sz w:val="1"/>
                <w:szCs w:val="1"/>
                <w:color w:val="auto"/>
              </w:rPr>
            </w:pPr>
          </w:p>
        </w:tc>
      </w:tr>
      <w:tr>
        <w:trPr>
          <w:trHeight w:val="553"/>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Cost of land sales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(32,735)</w:t>
            </w:r>
          </w:p>
        </w:tc>
        <w:tc>
          <w:tcPr>
            <w:tcW w:w="0" w:type="dxa"/>
            <w:vAlign w:val="bottom"/>
          </w:tcPr>
          <w:p>
            <w:pPr>
              <w:spacing w:after="0"/>
              <w:rPr>
                <w:sz w:val="1"/>
                <w:szCs w:val="1"/>
                <w:color w:val="auto"/>
              </w:rPr>
            </w:pPr>
          </w:p>
        </w:tc>
      </w:tr>
      <w:tr>
        <w:trPr>
          <w:trHeight w:val="34"/>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6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10,118</w:t>
            </w:r>
          </w:p>
        </w:tc>
        <w:tc>
          <w:tcPr>
            <w:tcW w:w="0" w:type="dxa"/>
            <w:vAlign w:val="bottom"/>
          </w:tcPr>
          <w:p>
            <w:pPr>
              <w:spacing w:after="0"/>
              <w:rPr>
                <w:sz w:val="1"/>
                <w:szCs w:val="1"/>
                <w:color w:val="auto"/>
              </w:rPr>
            </w:pPr>
          </w:p>
        </w:tc>
      </w:tr>
      <w:tr>
        <w:trPr>
          <w:trHeight w:val="35"/>
        </w:trPr>
        <w:tc>
          <w:tcPr>
            <w:tcW w:w="66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9"/>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34"/>
        </w:trPr>
        <w:tc>
          <w:tcPr>
            <w:tcW w:w="66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3"/>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w:t>
            </w:r>
          </w:p>
        </w:tc>
        <w:tc>
          <w:tcPr>
            <w:tcW w:w="8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100" w:type="dxa"/>
            <w:vAlign w:val="bottom"/>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9,087</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354" w:right="339" w:bottom="1440" w:gutter="0" w:footer="0" w:header="0"/>
        </w:sectPr>
      </w:pPr>
    </w:p>
    <w:bookmarkStart w:id="111" w:name="page112"/>
    <w:bookmarkEnd w:id="111"/>
    <w:p>
      <w:pPr>
        <w:jc w:val="center"/>
        <w:ind w:left="1780"/>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25"/>
          <w:szCs w:val="25"/>
          <w:color w:val="auto"/>
        </w:rPr>
        <w:t>Statements of Members’ Capital</w:t>
      </w:r>
    </w:p>
    <w:p>
      <w:pPr>
        <w:spacing w:after="0" w:line="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(in thousands)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color w:val="auto"/>
                <w:w w:val="99"/>
              </w:rPr>
              <w:t>Limoneira EA1</w:t>
            </w:r>
          </w:p>
        </w:tc>
        <w:tc>
          <w:tcPr>
            <w:tcW w:w="180" w:type="dxa"/>
            <w:vAlign w:val="bottom"/>
          </w:tcPr>
          <w:p>
            <w:pPr>
              <w:spacing w:after="0"/>
              <w:rPr>
                <w:sz w:val="19"/>
                <w:szCs w:val="19"/>
                <w:color w:val="auto"/>
              </w:rPr>
            </w:pPr>
          </w:p>
        </w:tc>
        <w:tc>
          <w:tcPr>
            <w:tcW w:w="150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8"/>
              </w:rPr>
              <w:t>Lewis</w:t>
            </w:r>
          </w:p>
        </w:tc>
        <w:tc>
          <w:tcPr>
            <w:tcW w:w="0" w:type="dxa"/>
            <w:vAlign w:val="bottom"/>
          </w:tcPr>
          <w:p>
            <w:pPr>
              <w:spacing w:after="0"/>
              <w:rPr>
                <w:sz w:val="1"/>
                <w:szCs w:val="1"/>
                <w:color w:val="auto"/>
              </w:rPr>
            </w:pPr>
          </w:p>
        </w:tc>
      </w:tr>
      <w:tr>
        <w:trPr>
          <w:trHeight w:val="122"/>
        </w:trPr>
        <w:tc>
          <w:tcPr>
            <w:tcW w:w="5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vMerge w:val="restart"/>
          </w:tcPr>
          <w:p>
            <w:pPr>
              <w:jc w:val="center"/>
              <w:ind w:right="81"/>
              <w:spacing w:after="0"/>
              <w:rPr>
                <w:sz w:val="20"/>
                <w:szCs w:val="20"/>
                <w:color w:val="auto"/>
              </w:rPr>
            </w:pPr>
            <w:r>
              <w:rPr>
                <w:rFonts w:ascii="Times New Roman" w:cs="Times New Roman" w:eastAsia="Times New Roman" w:hAnsi="Times New Roman"/>
                <w:sz w:val="20"/>
                <w:szCs w:val="20"/>
                <w:color w:val="auto"/>
                <w:w w:val="97"/>
              </w:rPr>
              <w:t>Santa Paula</w:t>
            </w:r>
          </w:p>
        </w:tc>
        <w:tc>
          <w:tcPr>
            <w:tcW w:w="0" w:type="dxa"/>
            <w:vAlign w:val="bottom"/>
          </w:tcPr>
          <w:p>
            <w:pPr>
              <w:spacing w:after="0"/>
              <w:rPr>
                <w:sz w:val="1"/>
                <w:szCs w:val="1"/>
                <w:color w:val="auto"/>
              </w:rPr>
            </w:pPr>
          </w:p>
        </w:tc>
      </w:tr>
      <w:tr>
        <w:trPr>
          <w:trHeight w:val="122"/>
        </w:trPr>
        <w:tc>
          <w:tcPr>
            <w:tcW w:w="5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color w:val="auto"/>
                <w:w w:val="98"/>
              </w:rPr>
              <w:t>Land, LLC</w:t>
            </w:r>
          </w:p>
        </w:tc>
        <w:tc>
          <w:tcPr>
            <w:tcW w:w="1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20"/>
                <w:szCs w:val="20"/>
                <w:color w:val="auto"/>
                <w:w w:val="98"/>
              </w:rPr>
              <w:t>Member, LLC</w:t>
            </w:r>
          </w:p>
        </w:tc>
        <w:tc>
          <w:tcPr>
            <w:tcW w:w="0" w:type="dxa"/>
            <w:vAlign w:val="bottom"/>
          </w:tcPr>
          <w:p>
            <w:pPr>
              <w:spacing w:after="0"/>
              <w:rPr>
                <w:sz w:val="1"/>
                <w:szCs w:val="1"/>
                <w:color w:val="auto"/>
              </w:rPr>
            </w:pPr>
          </w:p>
        </w:tc>
      </w:tr>
      <w:tr>
        <w:trPr>
          <w:trHeight w:val="122"/>
        </w:trPr>
        <w:tc>
          <w:tcPr>
            <w:tcW w:w="5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2020</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96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48,261</w:t>
            </w:r>
          </w:p>
        </w:tc>
        <w:tc>
          <w:tcPr>
            <w:tcW w:w="0" w:type="dxa"/>
            <w:vAlign w:val="bottom"/>
          </w:tcPr>
          <w:p>
            <w:pPr>
              <w:spacing w:after="0"/>
              <w:rPr>
                <w:sz w:val="1"/>
                <w:szCs w:val="1"/>
                <w:color w:val="auto"/>
              </w:rPr>
            </w:pPr>
          </w:p>
        </w:tc>
      </w:tr>
      <w:tr>
        <w:trPr>
          <w:trHeight w:val="297"/>
        </w:trPr>
        <w:tc>
          <w:tcPr>
            <w:tcW w:w="59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Contributions</w:t>
            </w:r>
          </w:p>
        </w:tc>
        <w:tc>
          <w:tcPr>
            <w:tcW w:w="18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9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4,579</w:t>
            </w:r>
          </w:p>
        </w:tc>
        <w:tc>
          <w:tcPr>
            <w:tcW w:w="0" w:type="dxa"/>
            <w:vAlign w:val="bottom"/>
          </w:tcPr>
          <w:p>
            <w:pPr>
              <w:spacing w:after="0"/>
              <w:rPr>
                <w:sz w:val="1"/>
                <w:szCs w:val="1"/>
                <w:color w:val="auto"/>
              </w:rPr>
            </w:pPr>
          </w:p>
        </w:tc>
      </w:tr>
      <w:tr>
        <w:trPr>
          <w:trHeight w:val="35"/>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2021</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52,840</w:t>
            </w:r>
          </w:p>
        </w:tc>
        <w:tc>
          <w:tcPr>
            <w:tcW w:w="0" w:type="dxa"/>
            <w:vAlign w:val="bottom"/>
          </w:tcPr>
          <w:p>
            <w:pPr>
              <w:spacing w:after="0"/>
              <w:rPr>
                <w:sz w:val="1"/>
                <w:szCs w:val="1"/>
                <w:color w:val="auto"/>
              </w:rPr>
            </w:pPr>
          </w:p>
        </w:tc>
      </w:tr>
      <w:tr>
        <w:trPr>
          <w:trHeight w:val="297"/>
        </w:trPr>
        <w:tc>
          <w:tcPr>
            <w:tcW w:w="59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Contributions</w:t>
            </w:r>
          </w:p>
        </w:tc>
        <w:tc>
          <w:tcPr>
            <w:tcW w:w="18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9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0" w:type="dxa"/>
            <w:vAlign w:val="bottom"/>
          </w:tcPr>
          <w:p>
            <w:pPr>
              <w:spacing w:after="0"/>
              <w:rPr>
                <w:sz w:val="1"/>
                <w:szCs w:val="1"/>
                <w:color w:val="auto"/>
              </w:rPr>
            </w:pPr>
          </w:p>
        </w:tc>
      </w:tr>
      <w:tr>
        <w:trPr>
          <w:trHeight w:val="34"/>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2022</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53,634</w:t>
            </w:r>
          </w:p>
        </w:tc>
        <w:tc>
          <w:tcPr>
            <w:tcW w:w="0" w:type="dxa"/>
            <w:vAlign w:val="bottom"/>
          </w:tcPr>
          <w:p>
            <w:pPr>
              <w:spacing w:after="0"/>
              <w:rPr>
                <w:sz w:val="1"/>
                <w:szCs w:val="1"/>
                <w:color w:val="auto"/>
              </w:rPr>
            </w:pPr>
          </w:p>
        </w:tc>
      </w:tr>
      <w:tr>
        <w:trPr>
          <w:trHeight w:val="297"/>
        </w:trPr>
        <w:tc>
          <w:tcPr>
            <w:tcW w:w="59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Contributions</w:t>
            </w:r>
          </w:p>
        </w:tc>
        <w:tc>
          <w:tcPr>
            <w:tcW w:w="18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59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5,919</w:t>
            </w:r>
          </w:p>
        </w:tc>
        <w:tc>
          <w:tcPr>
            <w:tcW w:w="0" w:type="dxa"/>
            <w:vAlign w:val="bottom"/>
          </w:tcPr>
          <w:p>
            <w:pPr>
              <w:spacing w:after="0"/>
              <w:rPr>
                <w:sz w:val="1"/>
                <w:szCs w:val="1"/>
                <w:color w:val="auto"/>
              </w:rPr>
            </w:pPr>
          </w:p>
        </w:tc>
      </w:tr>
      <w:tr>
        <w:trPr>
          <w:trHeight w:val="34"/>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October 31, 2023</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96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59,553</w:t>
            </w:r>
          </w:p>
        </w:tc>
        <w:tc>
          <w:tcPr>
            <w:tcW w:w="0" w:type="dxa"/>
            <w:vAlign w:val="bottom"/>
          </w:tcPr>
          <w:p>
            <w:pPr>
              <w:spacing w:after="0"/>
              <w:rPr>
                <w:sz w:val="1"/>
                <w:szCs w:val="1"/>
                <w:color w:val="auto"/>
              </w:rPr>
            </w:pPr>
          </w:p>
        </w:tc>
      </w:tr>
      <w:tr>
        <w:trPr>
          <w:trHeight w:val="35"/>
        </w:trPr>
        <w:tc>
          <w:tcPr>
            <w:tcW w:w="59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Total</w:t>
      </w:r>
    </w:p>
    <w:p>
      <w:pPr>
        <w:spacing w:after="0" w:line="22"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Members'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102870</wp:posOffset>
            </wp:positionV>
            <wp:extent cx="10718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60" w:lineRule="exact"/>
        <w:rPr>
          <w:sz w:val="20"/>
          <w:szCs w:val="20"/>
          <w:color w:val="auto"/>
        </w:rPr>
      </w:pPr>
    </w:p>
    <w:p>
      <w:pPr>
        <w:ind w:left="1050" w:hanging="1050"/>
        <w:spacing w:after="0"/>
        <w:tabs>
          <w:tab w:leader="none" w:pos="105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95,169</w:t>
      </w:r>
    </w:p>
    <w:p>
      <w:pPr>
        <w:spacing w:after="0" w:line="78" w:lineRule="exact"/>
        <w:rPr>
          <w:rFonts w:ascii="Times New Roman" w:cs="Times New Roman" w:eastAsia="Times New Roman" w:hAnsi="Times New Roman"/>
          <w:sz w:val="19"/>
          <w:szCs w:val="19"/>
          <w:color w:val="auto"/>
        </w:rPr>
      </w:pPr>
    </w:p>
    <w:p>
      <w:pPr>
        <w:ind w:left="139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t>
      </w:r>
    </w:p>
    <w:p>
      <w:pPr>
        <w:spacing w:after="0" w:line="6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9,087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40005</wp:posOffset>
            </wp:positionV>
            <wp:extent cx="10718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104,256</w:t>
      </w:r>
    </w:p>
    <w:p>
      <w:pPr>
        <w:spacing w:after="0" w:line="6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w:t>
      </w:r>
    </w:p>
    <w:p>
      <w:pPr>
        <w:spacing w:after="0" w:line="6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40005</wp:posOffset>
            </wp:positionV>
            <wp:extent cx="10718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106,065</w:t>
      </w:r>
    </w:p>
    <w:p>
      <w:pPr>
        <w:spacing w:after="0" w:line="6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w:t>
      </w:r>
    </w:p>
    <w:p>
      <w:pPr>
        <w:spacing w:after="0" w:line="6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11,770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40005</wp:posOffset>
            </wp:positionV>
            <wp:extent cx="10718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1" w:lineRule="exact"/>
        <w:rPr>
          <w:sz w:val="20"/>
          <w:szCs w:val="20"/>
          <w:color w:val="auto"/>
        </w:rPr>
      </w:pPr>
    </w:p>
    <w:p>
      <w:pPr>
        <w:ind w:left="950" w:hanging="950"/>
        <w:spacing w:after="0"/>
        <w:tabs>
          <w:tab w:leader="none" w:pos="95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117,835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46990</wp:posOffset>
            </wp:positionV>
            <wp:extent cx="10718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73025</wp:posOffset>
            </wp:positionV>
            <wp:extent cx="10718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098" w:lineRule="exact"/>
        <w:rPr>
          <w:sz w:val="20"/>
          <w:szCs w:val="20"/>
          <w:color w:val="auto"/>
        </w:rPr>
      </w:pPr>
    </w:p>
    <w:p>
      <w:pPr>
        <w:sectPr>
          <w:pgSz w:w="11900" w:h="16838" w:orient="portrait"/>
          <w:cols w:equalWidth="0" w:num="2">
            <w:col w:w="9460" w:space="110"/>
            <w:col w:w="167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354" w:right="33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120" w:type="dxa"/>
            <w:vAlign w:val="bottom"/>
            <w:gridSpan w:val="6"/>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Year ended October 31,</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w:t>
            </w:r>
          </w:p>
        </w:tc>
        <w:tc>
          <w:tcPr>
            <w:tcW w:w="100" w:type="dxa"/>
            <w:vAlign w:val="bottom"/>
          </w:tcPr>
          <w:p>
            <w:pPr>
              <w:spacing w:after="0"/>
              <w:rPr>
                <w:sz w:val="24"/>
                <w:szCs w:val="24"/>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100" w:type="dxa"/>
            <w:vAlign w:val="bottom"/>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9,087</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(used in) operating activities: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Land held for development and sale</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23,255</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Refundable deposits and other assets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Note receivable – land sale</w:t>
            </w:r>
          </w:p>
        </w:tc>
        <w:tc>
          <w:tcPr>
            <w:tcW w:w="3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6,084</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Due from affiliates</w:t>
            </w:r>
          </w:p>
        </w:tc>
        <w:tc>
          <w:tcPr>
            <w:tcW w:w="3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(5,771)</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Contract assets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297"/>
        </w:trPr>
        <w:tc>
          <w:tcPr>
            <w:tcW w:w="672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Unearned revenue</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0" w:type="dxa"/>
            <w:vAlign w:val="bottom"/>
          </w:tcPr>
          <w:p>
            <w:pPr>
              <w:spacing w:after="0"/>
              <w:rPr>
                <w:sz w:val="1"/>
                <w:szCs w:val="1"/>
                <w:color w:val="auto"/>
              </w:rPr>
            </w:pPr>
          </w:p>
        </w:tc>
      </w:tr>
      <w:tr>
        <w:trPr>
          <w:trHeight w:val="297"/>
        </w:trPr>
        <w:tc>
          <w:tcPr>
            <w:tcW w:w="67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Due to affiliates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32,661</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5"/>
        </w:trPr>
        <w:tc>
          <w:tcPr>
            <w:tcW w:w="6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Borrowings from line of credit</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5,812</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Principal repayments on line of credit</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(36,180)</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Payment of deferred loan costs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(30,593)</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5"/>
        </w:trPr>
        <w:tc>
          <w:tcPr>
            <w:tcW w:w="6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cash</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2,068</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beginning</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ending</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20" w:type="dxa"/>
            <w:vAlign w:val="bottom"/>
            <w:vMerge w:val="continue"/>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13,874</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5"/>
        </w:trPr>
        <w:tc>
          <w:tcPr>
            <w:tcW w:w="6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interest (including amounts capitalized to</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Project)</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w:t>
            </w:r>
          </w:p>
        </w:tc>
        <w:tc>
          <w:tcPr>
            <w:tcW w:w="100" w:type="dxa"/>
            <w:vAlign w:val="bottom"/>
          </w:tcPr>
          <w:p>
            <w:pPr>
              <w:spacing w:after="0"/>
              <w:rPr>
                <w:sz w:val="24"/>
                <w:szCs w:val="24"/>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100" w:type="dxa"/>
            <w:vAlign w:val="bottom"/>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0" w:type="dxa"/>
            <w:vAlign w:val="bottom"/>
          </w:tcPr>
          <w:p>
            <w:pPr>
              <w:spacing w:after="0"/>
              <w:rPr>
                <w:sz w:val="1"/>
                <w:szCs w:val="1"/>
                <w:color w:val="auto"/>
              </w:rPr>
            </w:pPr>
          </w:p>
        </w:tc>
      </w:tr>
      <w:tr>
        <w:trPr>
          <w:trHeight w:val="35"/>
        </w:trPr>
        <w:tc>
          <w:tcPr>
            <w:tcW w:w="67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00" w:type="dxa"/>
            <w:vAlign w:val="bottom"/>
            <w:gridSpan w:val="6"/>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Year ended October 31,</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20" w:type="dxa"/>
            <w:vAlign w:val="bottom"/>
            <w:vMerge w:val="continue"/>
          </w:tcPr>
          <w:p>
            <w:pPr>
              <w:spacing w:after="0"/>
              <w:rPr>
                <w:sz w:val="22"/>
                <w:szCs w:val="22"/>
                <w:color w:val="auto"/>
              </w:rPr>
            </w:pP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12,863</w:t>
            </w:r>
          </w:p>
        </w:tc>
        <w:tc>
          <w:tcPr>
            <w:tcW w:w="8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cash equivalents and restricted cash</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720" w:type="dxa"/>
            <w:vAlign w:val="bottom"/>
            <w:vMerge w:val="continue"/>
          </w:tcPr>
          <w:p>
            <w:pPr>
              <w:spacing w:after="0"/>
              <w:rPr>
                <w:sz w:val="22"/>
                <w:szCs w:val="22"/>
                <w:color w:val="auto"/>
              </w:rPr>
            </w:pP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13,874</w:t>
            </w:r>
          </w:p>
        </w:tc>
        <w:tc>
          <w:tcPr>
            <w:tcW w:w="8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w:t>
            </w:r>
          </w:p>
        </w:tc>
        <w:tc>
          <w:tcPr>
            <w:tcW w:w="0" w:type="dxa"/>
            <w:vAlign w:val="bottom"/>
          </w:tcPr>
          <w:p>
            <w:pPr>
              <w:spacing w:after="0"/>
              <w:rPr>
                <w:sz w:val="1"/>
                <w:szCs w:val="1"/>
                <w:color w:val="auto"/>
              </w:rPr>
            </w:pPr>
          </w:p>
        </w:tc>
      </w:tr>
      <w:tr>
        <w:trPr>
          <w:trHeight w:val="35"/>
        </w:trPr>
        <w:tc>
          <w:tcPr>
            <w:tcW w:w="67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w:t>
      </w:r>
    </w:p>
    <w:p>
      <w:pPr>
        <w:sectPr>
          <w:pgSz w:w="11900" w:h="16838" w:orient="portrait"/>
          <w:cols w:equalWidth="0" w:num="1">
            <w:col w:w="11240"/>
          </w:cols>
          <w:pgMar w:left="320" w:top="111" w:right="339" w:bottom="5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11" w:right="339" w:bottom="526"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960" w:firstLine="8"/>
        <w:spacing w:after="0" w:line="528" w:lineRule="auto"/>
        <w:tabs>
          <w:tab w:leader="none" w:pos="324" w:val="left"/>
        </w:tabs>
        <w:numPr>
          <w:ilvl w:val="0"/>
          <w:numId w:val="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Organization Organization and Business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Limoneira Lewis Community Builders, LLC (“Limoneira Lewis” or the “Company”), a Delaware Limited Liability Company, is a joint venture between Lewis Santa Paula Member, LLC (“Lewis”) and Limoneira EA1 Land, LLC (“Limoneira”) (together, the “Members”) for the primary purpose of developing a 501 acre area of land in Santa Paula, California into residential properties (the “Project”). Limoneira Lewis was formed on November 3, 2015 and began operations on November 10, 2015 in conjunction with the contribution of land and related entitlements for an agreed-upon value of $40,000,000 by Limoneira (the “Property”) to the Company and a concurrent assignment of a 50% interest in the Company to Lewis for $20,000,000 cash consideration, which were reflected as initial capital contributions from the Members. Initial capital contributions of the Members also included the value of certain pre-formation development costs and expenses (“Pre-Assignment Expenses”) incurred by Limoneira of $1,374,279 and Lewis of $217,774.</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terms of the Company are governed pursuant to the Limited Liability Company Agreement, as amended (the “LLC Agreement”). Each Member’s liability is limited pursuant to the Delaware Limited Liability Company Act. The term of the Company shall continue until the Company is dissolved pursuant to the provisions of the LLC Agreement.</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Lewis is the designated manager of the Company (“Manager”) and manages the business activities of the Company pursuant to the terms of the LLC Agreement through an affiliated entity, Lewis Management Corp., a California Corporation (the “Manager Affiliate”). All major decisions, as defined by the LLC Agreement, are decided by an executive committee consisting of two representatives each from Lewis and Limoneira.</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Capital contributions are made by the Members for funding of Project Costs pursuant to terms of the LLC Agreement. Through October 31, 2023, the Members’ capital contributions include the Members’ initial capital contributions representing the value of the contributed property and Pre-Assignment Expenses and additional contributions totaling $82,799,000 in the aggregate.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March 3, 2008, Limoneira entered into a Development Agreement with the City of Santa Paula (the “City”) to develop the property which was transferred to the Company on November 10, 2015. The Development Agreement was amended and restated on February 26, 2015. The Amended Development Agreement currently provides for up to 1,500 total residential units, an estimated 240,000 square feet of office, retail, light industrial and assisted living facilities, approximately 19 acres for educational and other civic facilities and approximately 223 acres of undeveloped land, including open space and agricultural preserves, parks and greenways.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780" w:firstLine="8"/>
        <w:spacing w:after="0" w:line="502" w:lineRule="auto"/>
        <w:tabs>
          <w:tab w:leader="none" w:pos="324"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(continued) Distributions</w:t>
      </w:r>
    </w:p>
    <w:p>
      <w:pPr>
        <w:spacing w:after="0" w:line="283" w:lineRule="auto"/>
        <w:rPr>
          <w:sz w:val="20"/>
          <w:szCs w:val="20"/>
          <w:color w:val="auto"/>
        </w:rPr>
      </w:pPr>
      <w:r>
        <w:rPr>
          <w:rFonts w:ascii="Times New Roman" w:cs="Times New Roman" w:eastAsia="Times New Roman" w:hAnsi="Times New Roman"/>
          <w:sz w:val="20"/>
          <w:szCs w:val="20"/>
          <w:color w:val="auto"/>
        </w:rPr>
        <w:t>Pursuant to the LLC Agreement, distributions of Net Cash Flow, as defined, shall be distributed to the Members in the following order of priority (using terms as defined in the LLC Agreement):</w:t>
      </w:r>
    </w:p>
    <w:p>
      <w:pPr>
        <w:spacing w:after="0" w:line="173" w:lineRule="exact"/>
        <w:rPr>
          <w:sz w:val="20"/>
          <w:szCs w:val="20"/>
          <w:color w:val="auto"/>
        </w:rPr>
      </w:pPr>
    </w:p>
    <w:p>
      <w:pPr>
        <w:ind w:left="660" w:hanging="328"/>
        <w:spacing w:after="0" w:line="283" w:lineRule="auto"/>
        <w:tabs>
          <w:tab w:leader="none" w:pos="65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to the Members in proportion to their respective Additional Capital Contribution IRR Deficiencies, until each Member’s Additional Contribution IRR Deficiency is reduced to zero, representing a 12% return, compounded annually;</w:t>
      </w:r>
    </w:p>
    <w:p>
      <w:pPr>
        <w:spacing w:after="0" w:line="186"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48% to Limoneira and 52% to Lewis until Lewis’ Initial Contribution IRR Deficiency is reduced to zero, representing a 12% return, compounded annually;</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25% to Limoneira and 75% to Lewis until aggregate distributions on this tier equal $10,000,000;</w:t>
      </w:r>
    </w:p>
    <w:p>
      <w:pPr>
        <w:spacing w:after="0" w:line="24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Fourth, 60% to Limoneira and 40% to Lewis until aggregate distributions on this tier equal $20,000,000;</w:t>
      </w:r>
    </w:p>
    <w:p>
      <w:pPr>
        <w:spacing w:after="0" w:line="255"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Fifth, 50% to Limoneira and 50% to Lewis until aggregate distributions on this tier equal $20,000,000;</w:t>
      </w:r>
    </w:p>
    <w:p>
      <w:pPr>
        <w:spacing w:after="0" w:line="25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Sixth, 78% to Limoneira and 22% to Lewis until aggregate distributions on this tier equal $25,000,000;</w:t>
      </w:r>
    </w:p>
    <w:p>
      <w:pPr>
        <w:spacing w:after="0" w:line="241" w:lineRule="exact"/>
        <w:rPr>
          <w:rFonts w:ascii="Arial" w:cs="Arial" w:eastAsia="Arial" w:hAnsi="Arial"/>
          <w:sz w:val="20"/>
          <w:szCs w:val="20"/>
          <w:color w:val="auto"/>
        </w:rPr>
      </w:pPr>
    </w:p>
    <w:p>
      <w:pPr>
        <w:ind w:left="660" w:hanging="328"/>
        <w:spacing w:after="0"/>
        <w:tabs>
          <w:tab w:leader="none" w:pos="66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Seventh, 95% to Limoneira and 5% to Lewis until aggregate distributions on this tier equal $20,000,000;</w:t>
      </w:r>
    </w:p>
    <w:p>
      <w:pPr>
        <w:spacing w:after="0" w:line="255"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 70% to Limoneira and 30% to Lewis.</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Pursuant to the LLC Agreement, distributions of Net Cash Flow may also be affected by certain Net Cash Flow Override provisions based on the status of an affiliated joint venture project between the Members formed in September 2022, LLCB II (Note 7). Pursuant to these provisions, if either (i) LLCB II is dissolved prior to the date (if any) that LLCB II obtains the Site Specific Entitlements, as defined, or (ii) there is a Material Adverse Impact, as defined, after LLCB II obtains the Site Specific Entitlements, then the first $4,000,000 of Net Cash Flow of the Company available for distribution to the Members shall be distributed to Lewis prior to any other distributions being made to the Members under the distribution priorities above. The LLC Agreement also states that Lewis shall have the right to elect to dissolve LLCB</w:t>
      </w:r>
    </w:p>
    <w:p>
      <w:pPr>
        <w:spacing w:after="0" w:line="4" w:lineRule="exact"/>
        <w:rPr>
          <w:sz w:val="20"/>
          <w:szCs w:val="20"/>
          <w:color w:val="auto"/>
        </w:rPr>
      </w:pPr>
    </w:p>
    <w:p>
      <w:pPr>
        <w:ind w:firstLine="8"/>
        <w:spacing w:after="0" w:line="253" w:lineRule="auto"/>
        <w:tabs>
          <w:tab w:leader="none" w:pos="19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terms of the operating agreement of LLCB II thereby triggering the application of these Net Cash Flow Override provisions without regard to any fiduciary or other duties owed to Limoneira other than the covenant of good faith and fair dealing.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420" w:firstLine="8"/>
        <w:spacing w:after="0" w:line="528" w:lineRule="auto"/>
        <w:tabs>
          <w:tab w:leader="none" w:pos="324" w:val="left"/>
        </w:tabs>
        <w:numPr>
          <w:ilvl w:val="0"/>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Organization (continued) Allocations of Income and Losses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income and losses each period are allocated to the Members in respect of how such income or loss would affect related cash distributions that would be made to the Members if the Company were to be liquidated as of the reporting date and proceeds equal to the book value of members’ capital were to be distributed pursuant to the cash distribution priorities of the LLC Agreement. The allocations of income and losses reflected herein assume that no Net Cash Flow Override provisions have been triggered as of the reporting date.</w:t>
      </w:r>
    </w:p>
    <w:p>
      <w:pPr>
        <w:spacing w:after="0" w:line="209" w:lineRule="exact"/>
        <w:rPr>
          <w:sz w:val="20"/>
          <w:szCs w:val="20"/>
          <w:color w:val="auto"/>
        </w:rPr>
      </w:pPr>
    </w:p>
    <w:p>
      <w:pPr>
        <w:ind w:right="7200" w:firstLine="8"/>
        <w:spacing w:after="0" w:line="502" w:lineRule="auto"/>
        <w:tabs>
          <w:tab w:leader="none" w:pos="324"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Presentation</w:t>
      </w:r>
    </w:p>
    <w:p>
      <w:pPr>
        <w:jc w:val="both"/>
        <w:spacing w:after="0" w:line="258" w:lineRule="auto"/>
        <w:rPr>
          <w:sz w:val="20"/>
          <w:szCs w:val="20"/>
          <w:color w:val="auto"/>
        </w:rPr>
      </w:pPr>
      <w:r>
        <w:rPr>
          <w:rFonts w:ascii="Times New Roman" w:cs="Times New Roman" w:eastAsia="Times New Roman" w:hAnsi="Times New Roman"/>
          <w:sz w:val="20"/>
          <w:szCs w:val="20"/>
          <w:color w:val="auto"/>
        </w:rPr>
        <w:t>The accompanying financial statements have been prepared in conformity with accounting principles generally accepted in the United States (“GAAP”). All references to authoritative accounting literature in the Company’s financial statements were referenced in accordance with the Financial Accounting Standards Board (“FASB”) Accounting Standards Codification (“ASC”), which is the single source of authoritative nongovernmental GAAP in the United States.</w:t>
      </w:r>
    </w:p>
    <w:p>
      <w:pPr>
        <w:spacing w:after="0" w:line="19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Acreage, square footage, number of units or lots, and other similar non-financial measures included in these notes to the financial statements are presented on an unaudited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highly liquid investments with a remaining maturity of three months or less when purchased are considered to be cash equivalents. As of October 31, 2023, restricted cash balances of $1,011,000 relate to contractual escrow holdbacks for remaining seller improvements to be completed by the Company related to one of the current year land sales. No other cash balances held by the Company during the periods presented were legally restricted as to use.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of demand deposits with a financial institution. The Company’s cash balances from time to time exceed federally insurable limits. However, the Company believes there is minimal credit risk relative to its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100" w:firstLine="8"/>
        <w:spacing w:after="0" w:line="528" w:lineRule="auto"/>
        <w:tabs>
          <w:tab w:leader="none" w:pos="202" w:val="left"/>
        </w:tabs>
        <w:numPr>
          <w:ilvl w:val="0"/>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Summary of Significant Accounting Policies (continued) Land Held for Development and Sale and Cost of Land Sales</w:t>
      </w:r>
    </w:p>
    <w:p>
      <w:pPr>
        <w:spacing w:after="0" w:line="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Land held for development and sale consists of unimproved land and costs related to improvements including infrastructure and other capitalizable project costs. Capitalized costs include direct and indirect land costs, development and construction costs, direct labor, real estate taxes, and interest related to development and construction. Capitalized costs also include prepaid insurance policies and other similar costs which do not extend beyond the projected development period of the related project components.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Cost of land sales is determined based on an allocation of costs to individual land parcels sold based on specific identification, if practicable, or an allocation based on a method which approximates relative fair value in accordance with ASC 970, </w:t>
      </w:r>
      <w:r>
        <w:rPr>
          <w:rFonts w:ascii="Times New Roman" w:cs="Times New Roman" w:eastAsia="Times New Roman" w:hAnsi="Times New Roman"/>
          <w:sz w:val="21"/>
          <w:szCs w:val="21"/>
          <w:i w:val="1"/>
          <w:iCs w:val="1"/>
          <w:color w:val="auto"/>
        </w:rPr>
        <w:t>Real Estate - General</w:t>
      </w:r>
      <w:r>
        <w:rPr>
          <w:rFonts w:ascii="Times New Roman" w:cs="Times New Roman" w:eastAsia="Times New Roman" w:hAnsi="Times New Roman"/>
          <w:sz w:val="20"/>
          <w:szCs w:val="20"/>
          <w:color w:val="auto"/>
        </w:rPr>
        <w:t>. Costs allocated to land parcels sold include actual development costs incurred and estimates of future development costs, including common costs and amenities within the Project. For purposes of allocating development costs, estimates of future sales prices and development costs reflected in the project budget are reevaluated throughout the year, with adjustments being allocated prospectively to the remaining parcels available for sale.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Land held for development and sale is carried at cost. The Company tests its land held for development and sale for impairment in accordance with ASC 360, </w:t>
      </w:r>
      <w:r>
        <w:rPr>
          <w:rFonts w:ascii="Times New Roman" w:cs="Times New Roman" w:eastAsia="Times New Roman" w:hAnsi="Times New Roman"/>
          <w:sz w:val="21"/>
          <w:szCs w:val="21"/>
          <w:i w:val="1"/>
          <w:iCs w:val="1"/>
          <w:color w:val="auto"/>
        </w:rPr>
        <w:t>Property, Plant and Equipment</w:t>
      </w:r>
      <w:r>
        <w:rPr>
          <w:rFonts w:ascii="Times New Roman" w:cs="Times New Roman" w:eastAsia="Times New Roman" w:hAnsi="Times New Roman"/>
          <w:sz w:val="20"/>
          <w:szCs w:val="20"/>
          <w:color w:val="auto"/>
        </w:rPr>
        <w:t>, whenever events or changes in circumstances indicate that the carrying value of its project may not be recoverable. Such events or changes in circumstances may include, among others, a significant adverse change in the business climate that could affect the value of the project, an accumulation of costs significantly in excess of the amount originally expected, or current period operating or cash flow loss combined with a history of operating or cash flow losses or a forecast that demonstrates continuing losses.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If such indicators of impairment are identified, the project is tested for recoverability by comparing the carrying amount of the asset to the undiscounted future net cash flows expected to be generated from the project. If the carrying value of the project is determined to not be recoverable, an impairment charge is recognized equal to the amount by which the carrying value exceeds its estimated fair value. Fair value is determined based on estimated future cash flows discounted for inherent risks associated with the project, or other valuation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1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300" w:firstLine="8"/>
        <w:spacing w:after="0" w:line="502" w:lineRule="auto"/>
        <w:tabs>
          <w:tab w:leader="none" w:pos="202"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(continued) Revenue Recognition</w:t>
      </w:r>
    </w:p>
    <w:p>
      <w:pPr>
        <w:jc w:val="both"/>
        <w:spacing w:after="0" w:line="270" w:lineRule="auto"/>
        <w:rPr>
          <w:sz w:val="20"/>
          <w:szCs w:val="20"/>
          <w:color w:val="auto"/>
        </w:rPr>
      </w:pPr>
      <w:r>
        <w:rPr>
          <w:rFonts w:ascii="Times New Roman" w:cs="Times New Roman" w:eastAsia="Times New Roman" w:hAnsi="Times New Roman"/>
          <w:sz w:val="19"/>
          <w:szCs w:val="19"/>
          <w:color w:val="auto"/>
        </w:rPr>
        <w:t>Land sale transactions are made pursuant to contracts under which the Company typically has a performance obligation to deliver specified land parcels to the buyer when closing conditions are met. The Company evaluates each land sale contract to determine its performance obligations under the contract, including whether there is a distinct promise to perform post-closing land development work that is material within the context of the contract, and uses objective criteria to determine the completion of the applicable performance obligations, whether</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a point in time or over time. Revenues from land sales are recognized when the Company has satisfied the performance obligations within the sales contract. Under its land sale contracts, the Company typically receives an initial cash deposit from the buyer at the time the contract is executed and receives the remaining fixed price consideration, through a third-party escrow agent, at closing when title and control of the land transfers to the buyer.</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instances where the Company has one or more performance obligations to perform land development work after the closing date, a portion of the transaction price under the land sale contract is allocated to such performance obligations and is recognized as revenue over time based upon the estimated progress toward the satisfaction of the related performance obligation, which is generally measured based on costs incurred relative to the total costs expected to satisfy the performance obligation.</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Company’s land sales contracts to homebuilders also generally provide for additional variable consideration in the form of a marketing fee based on a percentage of the sales prices of homes built and sold on the land as well as the ability to receive future profit participation payments on profitability above specified thresholds achieved on sales of the homes by the homebuilder. The Company’s performance obligations related to these fees are generally satisfied as of or in advance of when payments for such fees are received, which may result in the recognition of a contract asset for the estimated future variable consideration expected to be received. In determining the amount of revenue to recognize related to these fees, the Company estimates the total variable consideration it expects to receive utilizing the expected value approach and constrains the amount to be recognized to the extent such variable consideration is subject to a risk of significant revenue reversal. The Company considers various factors in determining whether a constraint is necessary, including its experience to date and degree to which the variable consideration is susceptible to factors outside its influence.</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amount and timing of revenue and cash flows related to marketing fee and profit participation payments are impacted by the ultimate timing and sales prices of homes sold by homebuilders.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1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 (continued)</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also evaluates the terms of anti-speculation or similar clauses contained in its land sales contracts which may provide the Company the contingent right to repurchase such land if the buyer fails to comply with provisions of the sales contract to determine whether the customer under its contracts has obtained control of the land in determining satisfaction of the related performance obligation.</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Deposits received under customer contracts prior to closing of land sales, or other payments received under a contract for which related performance obligation is not yet complete, represent contract liabilities and are recorded as unearned revenue. Contract assets are recognized to the extent revenues are recorded but the related amounts are not yet receivable under the terms of the contract. Trade receivables are recorded to the extent amounts are receivable from the customer and the Company’s right to the consideration is no longer conditional. Contract assets and trade receivables are evaluated for impairment or collectability in accordance with respective guidance. All of the Company’s contracts with its customers and the related performance obligations have an original expected duration of one year or less.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Line of Credit</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line of credit is recorded at amortized cost. Loan costs associated with securing the line of credit are deferred and are recognized as a component of interest cost over the term of the line of credit and are presented as a reduction of the line of credit balance on the accompanying balance sheets. In periods where there are no balances outstanding on the line of credit, unamortized loan costs are reclassified to other assets. Interest costs are capitalized to the Project during periods in which development activities are ongoing.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a limited liability company, the Company is subject to certain minimal taxes and fees; however, no provision for income taxes has been made in the accompanying financial statements as the Members are individual responsible for reporting their respective share of the Company’s income or loss.</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 xml:space="preserve">Based on its evaluation under ASC 740, </w:t>
      </w:r>
      <w:r>
        <w:rPr>
          <w:rFonts w:ascii="Times New Roman" w:cs="Times New Roman" w:eastAsia="Times New Roman" w:hAnsi="Times New Roman"/>
          <w:sz w:val="21"/>
          <w:szCs w:val="21"/>
          <w:i w:val="1"/>
          <w:iCs w:val="1"/>
          <w:color w:val="auto"/>
        </w:rPr>
        <w:t>Income Taxes,</w:t>
      </w:r>
      <w:r>
        <w:rPr>
          <w:rFonts w:ascii="Times New Roman" w:cs="Times New Roman" w:eastAsia="Times New Roman" w:hAnsi="Times New Roman"/>
          <w:sz w:val="20"/>
          <w:szCs w:val="20"/>
          <w:color w:val="auto"/>
        </w:rPr>
        <w:t xml:space="preserve"> the Company has concluded that there are no significant tax positions requiring recognition in its financial statements, nor has the Company been assessed interest or penalties by any tax jurisdictions.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and Expenses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Other income and expenses are recorded in the period earned or incurred. Selling costs and costs related to marketing of the community are generally recorded to sales and marketing expenses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1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300" w:firstLine="8"/>
        <w:spacing w:after="0" w:line="502" w:lineRule="auto"/>
        <w:tabs>
          <w:tab w:leader="none" w:pos="202"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(continued) Comprehensive Income and Loss</w:t>
      </w:r>
    </w:p>
    <w:p>
      <w:pPr>
        <w:spacing w:after="0"/>
        <w:rPr>
          <w:sz w:val="20"/>
          <w:szCs w:val="20"/>
          <w:color w:val="auto"/>
        </w:rPr>
      </w:pPr>
      <w:r>
        <w:rPr>
          <w:rFonts w:ascii="Times New Roman" w:cs="Times New Roman" w:eastAsia="Times New Roman" w:hAnsi="Times New Roman"/>
          <w:sz w:val="20"/>
          <w:szCs w:val="20"/>
          <w:color w:val="auto"/>
        </w:rPr>
        <w:t>For all periods presented, comprehensive income is the same as net income reported for the respective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4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preparation of these financial statements in accordance with generally accepted accounting principles requires management to make estimates and assumptions that affect the reported amounts of assets and liabilities and the revenues and expenses for the periods presented. Actual amounts and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 xml:space="preserve">In June 2016, the FASB issued ASU No. 2016-13, </w:t>
      </w:r>
      <w:r>
        <w:rPr>
          <w:rFonts w:ascii="Times New Roman" w:cs="Times New Roman" w:eastAsia="Times New Roman" w:hAnsi="Times New Roman"/>
          <w:sz w:val="19"/>
          <w:szCs w:val="19"/>
          <w:i w:val="1"/>
          <w:iCs w:val="1"/>
          <w:color w:val="auto"/>
        </w:rPr>
        <w:t>Financial Instruments - Credit Losses (Topic 326): Measurement of Credit Losses 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Financial Instruments </w:t>
      </w:r>
      <w:r>
        <w:rPr>
          <w:rFonts w:ascii="Times New Roman" w:cs="Times New Roman" w:eastAsia="Times New Roman" w:hAnsi="Times New Roman"/>
          <w:sz w:val="19"/>
          <w:szCs w:val="19"/>
          <w:color w:val="auto"/>
        </w:rPr>
        <w:t>(“ASC 326”). This amendment requires the measurement of all expected credit losses for financial assets held 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reporting date based on historical experience, current conditions, and forward-looking estimates. ASC 326 was adopted by the Company effective November 1, 2020. The adoption of ASC 326 did not have a material impact on the Company’s financial statements or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Land Held for Development and Sale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 related to the Company’s land held for development and sale for the years ended October 31, 2023 and 2022 is as follows: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35"/>
        </w:trPr>
        <w:tc>
          <w:tcPr>
            <w:tcW w:w="6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940" w:type="dxa"/>
            <w:vAlign w:val="bottom"/>
            <w:vMerge w:val="continue"/>
          </w:tcPr>
          <w:p>
            <w:pPr>
              <w:spacing w:after="0"/>
              <w:rPr>
                <w:sz w:val="22"/>
                <w:szCs w:val="22"/>
                <w:color w:val="auto"/>
              </w:rPr>
            </w:pP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112,221,000</w:t>
            </w:r>
          </w:p>
        </w:tc>
        <w:tc>
          <w:tcPr>
            <w:tcW w:w="80" w:type="dxa"/>
            <w:vAlign w:val="bottom"/>
          </w:tcPr>
          <w:p>
            <w:pPr>
              <w:spacing w:after="0"/>
              <w:rPr>
                <w:sz w:val="22"/>
                <w:szCs w:val="22"/>
                <w:color w:val="auto"/>
              </w:rPr>
            </w:pPr>
          </w:p>
        </w:tc>
        <w:tc>
          <w:tcPr>
            <w:tcW w:w="5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98,951,000</w:t>
            </w:r>
          </w:p>
        </w:tc>
        <w:tc>
          <w:tcPr>
            <w:tcW w:w="0" w:type="dxa"/>
            <w:vAlign w:val="bottom"/>
          </w:tcPr>
          <w:p>
            <w:pPr>
              <w:spacing w:after="0"/>
              <w:rPr>
                <w:sz w:val="1"/>
                <w:szCs w:val="1"/>
                <w:color w:val="auto"/>
              </w:rPr>
            </w:pPr>
          </w:p>
        </w:tc>
      </w:tr>
      <w:tr>
        <w:trPr>
          <w:trHeight w:val="297"/>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Additional costs incurred</w:t>
            </w:r>
          </w:p>
        </w:tc>
        <w:tc>
          <w:tcPr>
            <w:tcW w:w="4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17,453,000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27,378,000</w:t>
            </w:r>
          </w:p>
        </w:tc>
        <w:tc>
          <w:tcPr>
            <w:tcW w:w="0" w:type="dxa"/>
            <w:vAlign w:val="bottom"/>
          </w:tcPr>
          <w:p>
            <w:pPr>
              <w:spacing w:after="0"/>
              <w:rPr>
                <w:sz w:val="1"/>
                <w:szCs w:val="1"/>
                <w:color w:val="auto"/>
              </w:rPr>
            </w:pPr>
          </w:p>
        </w:tc>
      </w:tr>
      <w:tr>
        <w:trPr>
          <w:trHeight w:val="336"/>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CFD and other reimbursements</w:t>
            </w:r>
            <w:r>
              <w:rPr>
                <w:rFonts w:ascii="Times New Roman" w:cs="Times New Roman" w:eastAsia="Times New Roman" w:hAnsi="Times New Roman"/>
                <w:sz w:val="25"/>
                <w:szCs w:val="25"/>
                <w:color w:val="auto"/>
                <w:vertAlign w:val="superscript"/>
              </w:rPr>
              <w:t>1</w:t>
            </w:r>
          </w:p>
        </w:tc>
        <w:tc>
          <w:tcPr>
            <w:tcW w:w="4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(5,035,000)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(14,108,000)</w:t>
            </w:r>
          </w:p>
        </w:tc>
        <w:tc>
          <w:tcPr>
            <w:tcW w:w="0" w:type="dxa"/>
            <w:vAlign w:val="bottom"/>
          </w:tcPr>
          <w:p>
            <w:pPr>
              <w:spacing w:after="0"/>
              <w:rPr>
                <w:sz w:val="1"/>
                <w:szCs w:val="1"/>
                <w:color w:val="auto"/>
              </w:rPr>
            </w:pPr>
          </w:p>
        </w:tc>
      </w:tr>
      <w:tr>
        <w:trPr>
          <w:trHeight w:val="258"/>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Cost of land sales</w:t>
            </w:r>
          </w:p>
        </w:tc>
        <w:tc>
          <w:tcPr>
            <w:tcW w:w="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(18,660,000)</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
        </w:trPr>
        <w:tc>
          <w:tcPr>
            <w:tcW w:w="69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3"/>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105,979,000</w:t>
            </w:r>
          </w:p>
        </w:tc>
        <w:tc>
          <w:tcPr>
            <w:tcW w:w="80" w:type="dxa"/>
            <w:vAlign w:val="bottom"/>
          </w:tcPr>
          <w:p>
            <w:pPr>
              <w:spacing w:after="0"/>
              <w:rPr>
                <w:sz w:val="24"/>
                <w:szCs w:val="24"/>
                <w:color w:val="auto"/>
              </w:rPr>
            </w:pPr>
          </w:p>
        </w:tc>
        <w:tc>
          <w:tcPr>
            <w:tcW w:w="5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112,221,000</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firstLine="8"/>
        <w:spacing w:after="0" w:line="247" w:lineRule="auto"/>
        <w:tabs>
          <w:tab w:leader="none" w:pos="88"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0"/>
          <w:szCs w:val="20"/>
          <w:color w:val="auto"/>
        </w:rPr>
        <w:t>Includes $5,035,000 and $0 of reimbursements from the City of Santa Paula and other third parties for the years ended October 31, 2023 and 2022,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Management concluded that no impairment charges were warranted related to land held for development and sale through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1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Land Held for Development and Sale (continued)</w:t>
      </w:r>
    </w:p>
    <w:p>
      <w:pPr>
        <w:spacing w:after="0" w:line="2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During the year ended October 31, 2021, the Company closed on the sale of 232 lots in land sale transactions with three homebuilders and recognized total land sale revenues of $42,853,000. Land sale revenues for these periods include related deposit amounts received and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reflected as unearned revenue in previous periods. During the year ended October 31, 2022, there were no new land sale transactions. Land sales revenues recognized during the year ended October 31, 2022 primarily related to profit participation amounts recognized on land sale transactions which had closed in previous periods. During the year ended October 31, 2023, the Company closed on the sale of 121 lots in land sale transactions with two homebuilders and recognized total land sale revenues of $30,933,000, including marketing fee and profit participation revenues.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Included in land sales revenues for the years ended October 31, 2023, 2022 and 2021 were marketing fee revenues of $1,160,000, $27,000 and $1,176,000. As of October 31, 2023 and 2022, $537,000 and $77,000 of contract assets were recorded representing estimated future variable consideration to be received related to marketing fee revenues. Additionally, land sales revenues for the years ended October 31, 2023, 2022 and 2021 included revenues from profit participation arrangements totaling $1,381,000, $2,473,000 and $413,000. Of these amounts, $99,000 and $106,000 was receivable as of October 31, 2023 and 2022, respectively, and included in other assets on the accompanying balance sheets.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As of October 31, 2023 and 2022, there were $39,000 and $200,000, respectively, in refund liabilities which were classified in accounts payable and accrued liabilities on the accompanying balance sheet related to profit participation amounts received by the Company for which a revenue constraint was applied as a result of uncertainty as to whether such amounts would need to be returned.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31, 2023 and 2022, the Company had no deposits related to future lot sale transactions.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connection with one of the land sales closed in June 2020, the Company provided seller financing in the form of a promissory note to the buyer for $6,000,000. The note was subsequently repaid, along with accrued interest totaling $84,000, in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1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Accounts Payable and Accrued Liabilities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payable and accrued liabilities includes the following as of October 31, 2023 and 2022:</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7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34"/>
        </w:trPr>
        <w:tc>
          <w:tcPr>
            <w:tcW w:w="7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Trade accounts payable</w:t>
            </w: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7100" w:type="dxa"/>
            <w:vAlign w:val="bottom"/>
            <w:vMerge w:val="continue"/>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56,000</w:t>
            </w:r>
          </w:p>
        </w:tc>
        <w:tc>
          <w:tcPr>
            <w:tcW w:w="24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319,000</w:t>
            </w:r>
          </w:p>
        </w:tc>
        <w:tc>
          <w:tcPr>
            <w:tcW w:w="0" w:type="dxa"/>
            <w:vAlign w:val="bottom"/>
          </w:tcPr>
          <w:p>
            <w:pPr>
              <w:spacing w:after="0"/>
              <w:rPr>
                <w:sz w:val="1"/>
                <w:szCs w:val="1"/>
                <w:color w:val="auto"/>
              </w:rPr>
            </w:pPr>
          </w:p>
        </w:tc>
      </w:tr>
      <w:tr>
        <w:trPr>
          <w:trHeight w:val="29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Retentions payable</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1,550,000</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1,900,000</w:t>
            </w:r>
          </w:p>
        </w:tc>
        <w:tc>
          <w:tcPr>
            <w:tcW w:w="0" w:type="dxa"/>
            <w:vAlign w:val="bottom"/>
          </w:tcPr>
          <w:p>
            <w:pPr>
              <w:spacing w:after="0"/>
              <w:rPr>
                <w:sz w:val="1"/>
                <w:szCs w:val="1"/>
                <w:color w:val="auto"/>
              </w:rPr>
            </w:pPr>
          </w:p>
        </w:tc>
      </w:tr>
      <w:tr>
        <w:trPr>
          <w:trHeight w:val="29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Accrued liabilities</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3,818,000</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3,665,000</w:t>
            </w:r>
          </w:p>
        </w:tc>
        <w:tc>
          <w:tcPr>
            <w:tcW w:w="0" w:type="dxa"/>
            <w:vAlign w:val="bottom"/>
          </w:tcPr>
          <w:p>
            <w:pPr>
              <w:spacing w:after="0"/>
              <w:rPr>
                <w:sz w:val="1"/>
                <w:szCs w:val="1"/>
                <w:color w:val="auto"/>
              </w:rPr>
            </w:pPr>
          </w:p>
        </w:tc>
      </w:tr>
      <w:tr>
        <w:trPr>
          <w:trHeight w:val="34"/>
        </w:trPr>
        <w:tc>
          <w:tcPr>
            <w:tcW w:w="7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3"/>
        </w:trPr>
        <w:tc>
          <w:tcPr>
            <w:tcW w:w="7100" w:type="dxa"/>
            <w:vAlign w:val="bottom"/>
          </w:tcPr>
          <w:p>
            <w:pPr>
              <w:spacing w:after="0"/>
              <w:rPr>
                <w:sz w:val="24"/>
                <w:szCs w:val="24"/>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5,424,000</w:t>
            </w:r>
          </w:p>
        </w:tc>
        <w:tc>
          <w:tcPr>
            <w:tcW w:w="240" w:type="dxa"/>
            <w:vAlign w:val="bottom"/>
          </w:tcPr>
          <w:p>
            <w:pPr>
              <w:spacing w:after="0"/>
              <w:rPr>
                <w:sz w:val="24"/>
                <w:szCs w:val="24"/>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5,884,000</w:t>
            </w:r>
          </w:p>
        </w:tc>
        <w:tc>
          <w:tcPr>
            <w:tcW w:w="0" w:type="dxa"/>
            <w:vAlign w:val="bottom"/>
          </w:tcPr>
          <w:p>
            <w:pPr>
              <w:spacing w:after="0"/>
              <w:rPr>
                <w:sz w:val="1"/>
                <w:szCs w:val="1"/>
                <w:color w:val="auto"/>
              </w:rPr>
            </w:pPr>
          </w:p>
        </w:tc>
      </w:tr>
      <w:tr>
        <w:trPr>
          <w:trHeight w:val="35"/>
        </w:trPr>
        <w:tc>
          <w:tcPr>
            <w:tcW w:w="7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b w:val="1"/>
          <w:bCs w:val="1"/>
          <w:color w:val="auto"/>
        </w:rPr>
        <w:t xml:space="preserve"> Line of Credit</w:t>
      </w:r>
    </w:p>
    <w:p>
      <w:pPr>
        <w:spacing w:after="0" w:line="2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February 2018, the Company entered into an unsecured revolving line of credit facility with a third-party lender to provide development financing for the Project. The Company exercised its available one-year extension option on the line of credit, which reduced the maximum borrowing amount from $45,000,000 to $35,000,000 and extended the maturity to February 22, 2024. The line of credit bears interest, payable monthly, at an annual rate of the BSBY Daily Floating Rate plus 2.85% (8.23% at October 31, 2023) plus an unused commitment fee of 0.20% per year, payable quarterly.</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As of October 31, 2023 and 2022, the Company had outstanding borrowings of $0 and $4,500,000 under the line of credit, respectively. Unamortized loan costs totaling $22,000 as of October 31, 2023 were classified as other assets as the line of credit had no outstanding</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borrowings as of that date. Loan costs amortized as interest costs during the years ended October 31, 2023 and 2022 totaled $48,000 and $66,000, respectively, all of which were capitalized to the Project. During the years ended October 31, 2023, 2022 and 2021, the Company recorded interest and unused commitment fees on the line of credit of $1,012,000, $164,000 and $398,000, respectively, all of which were capitalized to the Project.</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line of credit is guaranteed by Limoneira and certain owners of Lewis. The loan also requires compliance with certain financial covenants, including liquid asset and tangible net worth requirements of the guarantors, all of which were in compliance as of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1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Disclosures</w:t>
      </w:r>
    </w:p>
    <w:p>
      <w:pPr>
        <w:spacing w:after="0" w:line="26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auto"/>
        </w:rPr>
        <w:t xml:space="preserve">ASC Topic 820, </w:t>
      </w:r>
      <w:r>
        <w:rPr>
          <w:rFonts w:ascii="Times New Roman" w:cs="Times New Roman" w:eastAsia="Times New Roman" w:hAnsi="Times New Roman"/>
          <w:sz w:val="21"/>
          <w:szCs w:val="21"/>
          <w:i w:val="1"/>
          <w:iCs w:val="1"/>
          <w:color w:val="auto"/>
        </w:rPr>
        <w:t>Fair Value Measurement,</w:t>
      </w:r>
      <w:r>
        <w:rPr>
          <w:rFonts w:ascii="Times New Roman" w:cs="Times New Roman" w:eastAsia="Times New Roman" w:hAnsi="Times New Roman"/>
          <w:sz w:val="20"/>
          <w:szCs w:val="20"/>
          <w:color w:val="auto"/>
        </w:rPr>
        <w:t xml:space="preserve"> provides a framework for measuring fair value and has established a fair value hierarchy which prioritizes the inputs used in measuring fair value. The hierarchy is summarized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Fair value determined based on quoted prices in active markets for identical assets.</w:t>
      </w:r>
    </w:p>
    <w:p>
      <w:pPr>
        <w:spacing w:after="0" w:line="243"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Level 2 – Fair value determined using significant observable inputs, such as those principally derived from or corroborated by observable market data, by correlation or other means.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Fair value determined using significant unobservable inputs, such as pricing models, discounted cash flows, or similar techniques.</w:t>
      </w:r>
    </w:p>
    <w:p>
      <w:pPr>
        <w:spacing w:after="0" w:line="243"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GAAP requires the measurement of certain financial instruments at fair value on a recurring basis, and certain other financial and non-financial assets at fair value on a nonrecurring basis. Additionally, GAAP requires fair value disclosures for certain assets and liabilities.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There were no recurring or nonrecurring fair value measurements made in the periods presented in the accompanying financial statements through October 31, 2023. The following table presents the carrying amounts and estimated fair values of the Company’s financial liabilities as of October 31, 2023 and 2022:</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120" w:type="dxa"/>
            <w:vAlign w:val="bottom"/>
          </w:tcPr>
          <w:p>
            <w:pPr>
              <w:spacing w:after="0"/>
              <w:rPr>
                <w:sz w:val="22"/>
                <w:szCs w:val="22"/>
                <w:color w:val="auto"/>
              </w:rPr>
            </w:pPr>
          </w:p>
        </w:tc>
        <w:tc>
          <w:tcPr>
            <w:tcW w:w="3080" w:type="dxa"/>
            <w:vAlign w:val="bottom"/>
            <w:gridSpan w:val="4"/>
          </w:tcPr>
          <w:p>
            <w:pPr>
              <w:ind w:left="980"/>
              <w:spacing w:after="0"/>
              <w:rPr>
                <w:sz w:val="20"/>
                <w:szCs w:val="20"/>
                <w:color w:val="auto"/>
              </w:rPr>
            </w:pPr>
            <w:r>
              <w:rPr>
                <w:rFonts w:ascii="Times New Roman" w:cs="Times New Roman" w:eastAsia="Times New Roman" w:hAnsi="Times New Roman"/>
                <w:sz w:val="20"/>
                <w:szCs w:val="20"/>
                <w:b w:val="1"/>
                <w:bCs w:val="1"/>
                <w:color w:val="auto"/>
              </w:rPr>
              <w:t>October 31, 2023</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60" w:type="dxa"/>
            <w:vAlign w:val="bottom"/>
            <w:gridSpan w:val="4"/>
          </w:tcPr>
          <w:p>
            <w:pPr>
              <w:jc w:val="right"/>
              <w:ind w:right="901"/>
              <w:spacing w:after="0"/>
              <w:rPr>
                <w:sz w:val="20"/>
                <w:szCs w:val="20"/>
                <w:color w:val="auto"/>
              </w:rPr>
            </w:pPr>
            <w:r>
              <w:rPr>
                <w:rFonts w:ascii="Times New Roman" w:cs="Times New Roman" w:eastAsia="Times New Roman" w:hAnsi="Times New Roman"/>
                <w:sz w:val="20"/>
                <w:szCs w:val="20"/>
                <w:b w:val="1"/>
                <w:bCs w:val="1"/>
                <w:color w:val="auto"/>
              </w:rPr>
              <w:t>October 31, 2022</w:t>
            </w:r>
          </w:p>
        </w:tc>
        <w:tc>
          <w:tcPr>
            <w:tcW w:w="0" w:type="dxa"/>
            <w:vAlign w:val="bottom"/>
          </w:tcPr>
          <w:p>
            <w:pPr>
              <w:spacing w:after="0"/>
              <w:rPr>
                <w:sz w:val="1"/>
                <w:szCs w:val="1"/>
                <w:color w:val="auto"/>
              </w:rPr>
            </w:pPr>
          </w:p>
        </w:tc>
      </w:tr>
      <w:tr>
        <w:trPr>
          <w:trHeight w:val="35"/>
        </w:trPr>
        <w:tc>
          <w:tcPr>
            <w:tcW w:w="41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300" w:type="dxa"/>
            <w:vAlign w:val="bottom"/>
          </w:tcPr>
          <w:p>
            <w:pPr>
              <w:jc w:val="center"/>
              <w:ind w:left="261"/>
              <w:spacing w:after="0"/>
              <w:rPr>
                <w:sz w:val="20"/>
                <w:szCs w:val="20"/>
                <w:color w:val="auto"/>
              </w:rPr>
            </w:pPr>
            <w:r>
              <w:rPr>
                <w:rFonts w:ascii="Times New Roman" w:cs="Times New Roman" w:eastAsia="Times New Roman" w:hAnsi="Times New Roman"/>
                <w:sz w:val="20"/>
                <w:szCs w:val="20"/>
                <w:b w:val="1"/>
                <w:bCs w:val="1"/>
                <w:color w:val="auto"/>
                <w:w w:val="98"/>
              </w:rPr>
              <w:t>Carrying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Carrying</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120" w:type="dxa"/>
            <w:vAlign w:val="bottom"/>
          </w:tcPr>
          <w:p>
            <w:pPr>
              <w:spacing w:after="0"/>
              <w:rPr>
                <w:sz w:val="22"/>
                <w:szCs w:val="22"/>
                <w:color w:val="auto"/>
              </w:rPr>
            </w:pPr>
          </w:p>
        </w:tc>
        <w:tc>
          <w:tcPr>
            <w:tcW w:w="1300" w:type="dxa"/>
            <w:vAlign w:val="bottom"/>
          </w:tcPr>
          <w:p>
            <w:pPr>
              <w:jc w:val="center"/>
              <w:ind w:left="261"/>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60" w:type="dxa"/>
            <w:vAlign w:val="bottom"/>
          </w:tcPr>
          <w:p>
            <w:pPr>
              <w:spacing w:after="0"/>
              <w:rPr>
                <w:sz w:val="22"/>
                <w:szCs w:val="22"/>
                <w:color w:val="auto"/>
              </w:rPr>
            </w:pP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35"/>
        </w:trPr>
        <w:tc>
          <w:tcPr>
            <w:tcW w:w="4120" w:type="dxa"/>
            <w:vAlign w:val="bottom"/>
            <w:vMerge w:val="restart"/>
          </w:tcPr>
          <w:p>
            <w:pPr>
              <w:jc w:val="center"/>
              <w:ind w:right="2441"/>
              <w:spacing w:after="0"/>
              <w:rPr>
                <w:sz w:val="20"/>
                <w:szCs w:val="20"/>
                <w:color w:val="auto"/>
              </w:rPr>
            </w:pPr>
            <w:r>
              <w:rPr>
                <w:rFonts w:ascii="Times New Roman" w:cs="Times New Roman" w:eastAsia="Times New Roman" w:hAnsi="Times New Roman"/>
                <w:sz w:val="20"/>
                <w:szCs w:val="20"/>
                <w:color w:val="auto"/>
                <w:w w:val="99"/>
              </w:rPr>
              <w:t>Financial liabilities:</w:t>
            </w:r>
          </w:p>
        </w:tc>
        <w:tc>
          <w:tcPr>
            <w:tcW w:w="1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120" w:type="dxa"/>
            <w:vAlign w:val="bottom"/>
          </w:tcPr>
          <w:p>
            <w:pPr>
              <w:jc w:val="center"/>
              <w:ind w:right="2421"/>
              <w:spacing w:after="0"/>
              <w:rPr>
                <w:sz w:val="20"/>
                <w:szCs w:val="20"/>
                <w:color w:val="auto"/>
              </w:rPr>
            </w:pPr>
            <w:r>
              <w:rPr>
                <w:rFonts w:ascii="Times New Roman" w:cs="Times New Roman" w:eastAsia="Times New Roman" w:hAnsi="Times New Roman"/>
                <w:sz w:val="20"/>
                <w:szCs w:val="20"/>
                <w:color w:val="auto"/>
                <w:w w:val="99"/>
              </w:rPr>
              <w:t>Line of credit</w:t>
            </w:r>
          </w:p>
        </w:tc>
        <w:tc>
          <w:tcPr>
            <w:tcW w:w="1300" w:type="dxa"/>
            <w:vAlign w:val="bottom"/>
          </w:tcPr>
          <w:p>
            <w:pPr>
              <w:jc w:val="right"/>
              <w:ind w:right="1081"/>
              <w:spacing w:after="0"/>
              <w:rPr>
                <w:sz w:val="20"/>
                <w:szCs w:val="20"/>
                <w:color w:val="auto"/>
              </w:rPr>
            </w:pPr>
            <w:r>
              <w:rPr>
                <w:rFonts w:ascii="Times New Roman" w:cs="Times New Roman" w:eastAsia="Times New Roman" w:hAnsi="Times New Roman"/>
                <w:sz w:val="20"/>
                <w:szCs w:val="20"/>
                <w:color w:val="auto"/>
                <w:w w:val="99"/>
              </w:rPr>
              <w:t>$</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4,500,000</w:t>
            </w:r>
          </w:p>
        </w:tc>
        <w:tc>
          <w:tcPr>
            <w:tcW w:w="8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4,500,000</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fair value of the Company’s line of credit was estimated using a discounted cash flow analysis based on management’s estimates of current market interest rates for instruments with similar characteristics including remaining loan term and other credit enhancements. The Company classifies these inputs as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1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300" w:firstLine="8"/>
        <w:spacing w:after="0" w:line="528" w:lineRule="auto"/>
        <w:tabs>
          <w:tab w:leader="none" w:pos="324"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Related Party Transactions Cost Reimbursements to Members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reimburses for approved costs and expenses incurred by the Manager and Limoneira, or their affiliates, on behalf of the Company, including for employees providing services in conjunction with development activities for the Project. For the years ended October 31, 2023, 2022 and 2021, $1,812,000, $1,925,000 and $1,597,000, respectively, of such costs were incurred by the Members on behalf of the Company, all of which were capitalized to the Project. During the years ended October 31, 2023, 2022 and 2021, certain additional reimbursable employee costs of $56,000, $89,000, and $119,000, respectively, were incurred by the Company for employees of the Manager providing services for the Project which were recorded as sales and marketing expenses. As of October 31, 2023 and 2022, $53,000 and $147,000, respectively, of such cost reimbursements remained payable by the Company to the Members, which are included in due to affiliates on the accompanying balance sheets.</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During the years ended October 31, 2023, 2022 and 2021, the Company received $0, $14,108,000 and $3,199,000, respectively, in total CFD reimbursement proceeds (Note 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Retained Land and Infrastructure Cost Reimbursements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conjunction with Limoneira’s initial contribution of land to the Company, certain additional land (referred to as the “Retained Land”) was legally conveyed to the Company for which Limoneira retained beneficial ownership. The land was transferred back to Limoneira in August 2018 for no consideration upon recording of a revised tract map that subdivided the Retained Property as a legal parcel.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1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Related Party Transactions (continued)</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Limoneira has agreed to reimburse the Company for certain allocated infrastructure costs incurred by the Company which benefit the Retained Property and certain adjacent real property owned by Limoneira commonly referred to as East Area 2, as defined in the Retained Property Development Agreement between the Company and Limoneira. As of October 31, 2023 and 2022, estimated such reimbursements from Limoneira totaled $3,378,000 which is classified as due from affiliates on the accompanying balance sheet and is net of related future CFD proceeds attributable to Limoneira.</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September 28, 2022, affiliates of Lewis and Limoneira formed a new joint venture (“LLCB II”) to acquire the Retained Property from Limoneira for the intended purpose of pursuing entitlements and developing multifamily residential units.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Leasing Transactions with Related Parties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has agreed to lease two offices from Limoneira in two office buildings in Santa Paula, California. The leases are month-to-month leases at a rate of $472 and $1,350 per month and may be terminated by either party with 30 days’ notice.</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 has agreed to lease property from Limoneira in Santa Paula, California. The lease is a ten-year lease at a rate of $250 per month. The Company can terminate the lease with 30 days’ notice following the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0"/>
          <w:szCs w:val="20"/>
          <w:color w:val="auto"/>
        </w:rPr>
        <w:t xml:space="preserve"> anniversary of the effective date of the lease.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Commitments and Contingencies</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Company’s commitments and contingencies include the usual litigation and obligations incurred by real estate owners, developers and operators in the normal course of business, none of which, in the opinion of management, are expected to have a material adverse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1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5"/>
          <w:szCs w:val="25"/>
          <w:b w:val="1"/>
          <w:bCs w:val="1"/>
          <w:color w:val="auto"/>
        </w:rPr>
        <w:t>LIMONEIRA LEWIS COMMUNITY BUILDERS, LLC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 Delaware Limited Liability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8. Commitments and Contingencies (continued)</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there can be no assurance, the Company is not aware of any material environmental liability that could have a material adverse effect on its financial condition or results of operations. However, identification of contamination affecting the Project, changes in applicable environmental laws and regulations, the uses and conditions of properties in the vicinity of the Project, the activities of entities who may purchase from the Company land within the project and other environmental conditions of which the Company is unaware with respect to the Project could result in future environmental liabilities.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Limoneira is required to transfer sufficient groundwater production and/or water rights to the City to allow the Company to satisfy the requirements of the Development Agreement and any other groundwater protection and/or water rights required by the City or other governmental agency in connection with existing or future entitlements for the Project.</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Currently, there are no guarantees by any of the Members or their affiliates in place on any of the obligations of the Company, except as related to the line of credit as described in Note 5. The Company is also required to complete development obligations related to the Project pursuant to the Development Agreement as well as pursuant to the terms of contracts with individual homebuilders and other parties.</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Company expects to be reimbursed for certain infrastructure costs it incurs related to the Project from the proceeds of bonds to be issued from one or more communities facilities districts (“CFDs”). Through October 31, 2023, the Company had received $32,029,000 in net CFD reimbursements. As of October 31, 2023, there were $34,345,000 in total bonds issued and outstanding by the CFDs associated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 These bond obligations are not recorded as liabilities of the Company as the estimated payments associated with the bonds are not</w:t>
      </w:r>
    </w:p>
    <w:p>
      <w:pPr>
        <w:spacing w:after="0" w:line="4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fixed and determinable. Additionally, the Company is not liable to satisfy shortfalls in annual debt service obligations and has not pledged assets or provided other credit enhancements in support of the bond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2023, a lawsuit was filed against the Company pertaining to an alleged personal injury claim occurring on the site of the Project. The Company is unable to estimate the exposure to potential loss related to this claim, if any, but does not believe any such future potential loss would be material to the Company’s financial results or position.</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9. Subsequent Events</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has evaluated events subsequent to October 31, 2023 through December 15, 2023, the date the financial statements were available to be issued, for their impact on the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20</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lvl w:ilvl="1">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lvl w:ilvl="1">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lvl w:ilvl="1">
      <w:lvlJc w:val="left"/>
      <w:lvlText w:val="\endash "/>
      <w:numFmt w:val="bullet"/>
      <w:start w:val="1"/>
    </w:lvl>
  </w:abstractNum>
  <w:abstractNum w:abstractNumId="35">
    <w:nsid w:val="275AC794"/>
    <w:multiLevelType w:val="hybridMultilevel"/>
    <w:lvl w:ilvl="0">
      <w:lvlJc w:val="left"/>
      <w:lvlText w:val="%1."/>
      <w:numFmt w:val="decimal"/>
      <w:start w:val="2"/>
    </w:lvl>
  </w:abstractNum>
  <w:abstractNum w:abstractNumId="36">
    <w:nsid w:val="39386575"/>
    <w:multiLevelType w:val="hybridMultilevel"/>
    <w:lvl w:ilvl="0">
      <w:lvlJc w:val="left"/>
      <w:lvlText w:val="%1."/>
      <w:numFmt w:val="decimal"/>
      <w:start w:val="2"/>
    </w:lvl>
  </w:abstractNum>
  <w:abstractNum w:abstractNumId="37">
    <w:nsid w:val="1CF10FD8"/>
    <w:multiLevelType w:val="hybridMultilevel"/>
    <w:lvl w:ilvl="0">
      <w:lvlJc w:val="left"/>
      <w:lvlText w:val="%1."/>
      <w:numFmt w:val="decimal"/>
      <w:start w:val="2"/>
    </w:lvl>
  </w:abstractNum>
  <w:abstractNum w:abstractNumId="38">
    <w:nsid w:val="180115BE"/>
    <w:multiLevelType w:val="hybridMultilevel"/>
    <w:lvl w:ilvl="0">
      <w:lvlJc w:val="left"/>
      <w:lvlText w:val="%1."/>
      <w:numFmt w:val="decimal"/>
      <w:start w:val="2"/>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1."/>
      <w:numFmt w:val="decimal"/>
      <w:start w:val="2"/>
    </w:lvl>
  </w:abstractNum>
  <w:abstractNum w:abstractNumId="41">
    <w:nsid w:val="354FE9F9"/>
    <w:multiLevelType w:val="hybridMultilevel"/>
    <w:lvl w:ilvl="0">
      <w:lvlJc w:val="left"/>
      <w:lvlText w:val="%1."/>
      <w:numFmt w:val="decimal"/>
      <w:start w:val="3"/>
    </w:lvl>
  </w:abstractNum>
  <w:abstractNum w:abstractNumId="42">
    <w:nsid w:val="15B5AF5C"/>
    <w:multiLevelType w:val="hybridMultilevel"/>
    <w:lvl w:ilvl="0">
      <w:lvlJc w:val="left"/>
      <w:lvlText w:val="%1."/>
      <w:numFmt w:val="decimal"/>
      <w:start w:val="7"/>
    </w:lvl>
  </w:abstractNum>
  <w:abstractNum w:abstractNumId="43">
    <w:nsid w:val="741226BB"/>
    <w:multiLevelType w:val="hybridMultilevel"/>
    <w:lvl w:ilvl="0">
      <w:lvlJc w:val="left"/>
      <w:lvlText w:val="%1."/>
      <w:numFmt w:val="decimal"/>
      <w:start w:val="7"/>
    </w:lvl>
  </w:abstractNum>
  <w:abstractNum w:abstractNumId="44">
    <w:nsid w:val="D34B6A8"/>
    <w:multiLevelType w:val="hybridMultilevel"/>
    <w:lvl w:ilvl="0">
      <w:lvlJc w:val="left"/>
      <w:lvlText w:val="%1."/>
      <w:numFmt w:val="decimal"/>
      <w:start w:val="13"/>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6"/>
    </w:lvl>
  </w:abstractNum>
  <w:abstractNum w:abstractNumId="47">
    <w:nsid w:val="61574095"/>
    <w:multiLevelType w:val="hybridMultilevel"/>
    <w:lvl w:ilvl="0">
      <w:lvlJc w:val="left"/>
      <w:lvlText w:val="%1."/>
      <w:numFmt w:val="decimal"/>
      <w:start w:val="19"/>
    </w:lvl>
  </w:abstractNum>
  <w:abstractNum w:abstractNumId="48">
    <w:nsid w:val="7E0C57B1"/>
    <w:multiLevelType w:val="hybridMultilevel"/>
    <w:lvl w:ilvl="0">
      <w:lvlJc w:val="left"/>
      <w:lvlText w:val="%1."/>
      <w:numFmt w:val="decimal"/>
      <w:start w:val="19"/>
    </w:lvl>
  </w:abstractNum>
  <w:abstractNum w:abstractNumId="49">
    <w:nsid w:val="77AE35EB"/>
    <w:multiLevelType w:val="hybridMultilevel"/>
    <w:lvl w:ilvl="0">
      <w:lvlJc w:val="left"/>
      <w:lvlText w:val="%1."/>
      <w:numFmt w:val="decimal"/>
      <w:start w:val="20"/>
    </w:lvl>
  </w:abstractNum>
  <w:abstractNum w:abstractNumId="50">
    <w:nsid w:val="579BE4F1"/>
    <w:multiLevelType w:val="hybridMultilevel"/>
    <w:lvl w:ilvl="0">
      <w:lvlJc w:val="left"/>
      <w:lvlText w:val="(%1)"/>
      <w:numFmt w:val="lowerLetter"/>
      <w:start w:val="2"/>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1"/>
    </w:lvl>
    <w:lvl w:ilvl="1">
      <w:lvlJc w:val="left"/>
      <w:lvlText w:val="(%2)"/>
      <w:numFmt w:val="lowerLetter"/>
      <w:start w:val="1"/>
    </w:lvl>
  </w:abstractNum>
  <w:abstractNum w:abstractNumId="55">
    <w:nsid w:val="1DBABF00"/>
    <w:multiLevelType w:val="hybridMultilevel"/>
    <w:lvl w:ilvl="0">
      <w:lvlJc w:val="left"/>
      <w:lvlText w:val="%1."/>
      <w:numFmt w:val="decimal"/>
      <w:start w:val="1"/>
    </w:lvl>
    <w:lvl w:ilvl="1">
      <w:lvlJc w:val="left"/>
      <w:lvlText w:val="(%2)"/>
      <w:numFmt w:val="lowerLetter"/>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9">
    <w:nsid w:val="5DB70AE5"/>
    <w:multiLevelType w:val="hybridMultilevel"/>
    <w:lvl w:ilvl="0">
      <w:lvlJc w:val="left"/>
      <w:lvlText w:val="-"/>
      <w:numFmt w:val="bullet"/>
      <w:start w:val="1"/>
    </w:lvl>
    <w:lvl w:ilvl="1">
      <w:lvlJc w:val="left"/>
      <w:lvlText w:val="%2"/>
      <w:numFmt w:val="decimal"/>
      <w:start w:val="1"/>
    </w:lvl>
    <w:lvl w:ilvl="2">
      <w:lvlJc w:val="left"/>
      <w:lvlText w:val="%3."/>
      <w:numFmt w:val="lowerLetter"/>
      <w:start w:val="8"/>
    </w:lvl>
  </w:abstractNum>
  <w:abstractNum w:abstractNumId="60">
    <w:nsid w:val="100F8FC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1">
    <w:nsid w:val="6590700B"/>
    <w:multiLevelType w:val="hybridMultilevel"/>
    <w:lvl w:ilvl="0">
      <w:lvlJc w:val="left"/>
      <w:lvlText w:val="-"/>
      <w:numFmt w:val="bullet"/>
      <w:start w:val="1"/>
    </w:lvl>
    <w:lvl w:ilvl="1">
      <w:lvlJc w:val="left"/>
      <w:lvlText w:val="%2."/>
      <w:numFmt w:val="decimal"/>
      <w:start w:val="5"/>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upperLetter"/>
      <w:start w:val="35"/>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2"/>
    </w:lvl>
  </w:abstractNum>
  <w:abstractNum w:abstractNumId="71">
    <w:nsid w:val="5DC79EA8"/>
    <w:multiLevelType w:val="hybridMultilevel"/>
    <w:lvl w:ilvl="0">
      <w:lvlJc w:val="left"/>
      <w:lvlText w:val="%1."/>
      <w:numFmt w:val="decimal"/>
      <w:start w:val="2"/>
    </w:lvl>
  </w:abstractNum>
  <w:abstractNum w:abstractNumId="72">
    <w:nsid w:val="540A471C"/>
    <w:multiLevelType w:val="hybridMultilevel"/>
    <w:lvl w:ilvl="0">
      <w:lvlJc w:val="left"/>
      <w:lvlText w:val="%1."/>
      <w:numFmt w:val="decimal"/>
      <w:start w:val="2"/>
    </w:lvl>
  </w:abstractNum>
  <w:abstractNum w:abstractNumId="73">
    <w:nsid w:val="7BD3EE7B"/>
    <w:multiLevelType w:val="hybridMultilevel"/>
    <w:lvl w:ilvl="0">
      <w:lvlJc w:val="left"/>
      <w:lvlText w:val="%1."/>
      <w:numFmt w:val="decimal"/>
      <w:start w:val="2"/>
    </w:lvl>
  </w:abstractNum>
  <w:abstractNum w:abstractNumId="74">
    <w:nsid w:val="51D9C564"/>
    <w:multiLevelType w:val="hybridMultilevel"/>
    <w:lvl w:ilvl="0">
      <w:lvlJc w:val="left"/>
      <w:lvlText w:val="1"/>
      <w:numFmt w:val="bullet"/>
      <w:start w:val="1"/>
    </w:lvl>
  </w:abstractNum>
  <w:abstractNum w:abstractNumId="75">
    <w:nsid w:val="613EFDC5"/>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12" Type="http://schemas.openxmlformats.org/officeDocument/2006/relationships/hyperlink" Target="http://www.sec.gov/Archives/edgar/data/1342423/000114420410007241/v173157_ex3-2.htm" TargetMode="External"/><Relationship Id="rId113" Type="http://schemas.openxmlformats.org/officeDocument/2006/relationships/hyperlink" Target="http://www.sec.gov/Archives/edgar/data/1342423/000114420410007241/v173157_ex3-3.htm" TargetMode="External"/><Relationship Id="rId114" Type="http://schemas.openxmlformats.org/officeDocument/2006/relationships/hyperlink" Target="http://www.sec.gov/Archives/edgar/data/1342423/000114420410007241/v173157_ex3-6.htm" TargetMode="External"/><Relationship Id="rId115" Type="http://schemas.openxmlformats.org/officeDocument/2006/relationships/hyperlink" Target="http://www.sec.gov/Archives/edgar/data/1342423/000114420410007241/v173157_ex3-1.htm" TargetMode="External"/><Relationship Id="rId116" Type="http://schemas.openxmlformats.org/officeDocument/2006/relationships/hyperlink" Target="http://www.sec.gov/Archives/edgar/data/1342423/000114420410007241/v173157_ex3-7.htm" TargetMode="External"/><Relationship Id="rId117" Type="http://schemas.openxmlformats.org/officeDocument/2006/relationships/hyperlink" Target="http://www.sec.gov/Archives/edgar/data/1342423/000114420410017415/v178900_ex3-9.htm" TargetMode="External"/><Relationship Id="rId118" Type="http://schemas.openxmlformats.org/officeDocument/2006/relationships/hyperlink" Target="http://www.sec.gov/Archives/edgar/data/1342423/000114420417018212/v463210_ex3-1.htm" TargetMode="External"/><Relationship Id="rId119" Type="http://schemas.openxmlformats.org/officeDocument/2006/relationships/hyperlink" Target="http://www.sec.gov/Archives/edgar/data/1342423/000110465921130485/tm2131208d1_ex3-1.htm" TargetMode="External"/><Relationship Id="rId120" Type="http://schemas.openxmlformats.org/officeDocument/2006/relationships/hyperlink" Target="http://www.sec.gov/Archives/edgar/data/1342423/000114420410007241/v173157_ex3-8.htm" TargetMode="External"/><Relationship Id="rId121" Type="http://schemas.openxmlformats.org/officeDocument/2006/relationships/hyperlink" Target="http://www.sec.gov/Archives/edgar/data/1342423/000114420410007241/v173157_ex3-4.htm" TargetMode="External"/><Relationship Id="rId122" Type="http://schemas.openxmlformats.org/officeDocument/2006/relationships/hyperlink" Target="http://www.sec.gov/Archives/edgar/data/1342423/000114420410007241/v173157_ex3-5.htm" TargetMode="External"/><Relationship Id="rId123" Type="http://schemas.openxmlformats.org/officeDocument/2006/relationships/hyperlink" Target="http://www.sec.gov/Archives/edgar/data/1342423/000114420414017379/v372494_ex3-1.htm" TargetMode="External"/><Relationship Id="rId124" Type="http://schemas.openxmlformats.org/officeDocument/2006/relationships/hyperlink" Target="http://www.sec.gov/Archives/edgar/data/1342423/000134242322000038/lmnr-103122ex47.htm" TargetMode="External"/><Relationship Id="rId127" Type="http://schemas.openxmlformats.org/officeDocument/2006/relationships/hyperlink" Target="http://www.sec.gov/Archives/edgar/data/1342423/000114420410046536/v195082_ex10-1.htm" TargetMode="External"/><Relationship Id="rId128" Type="http://schemas.openxmlformats.org/officeDocument/2006/relationships/hyperlink" Target="http://www.sec.gov/Archives/edgar/data/1342423/000114420410046536/v195082_ex10-2.htm" TargetMode="External"/><Relationship Id="rId129" Type="http://schemas.openxmlformats.org/officeDocument/2006/relationships/hyperlink" Target="http://www.sec.gov/Archives/edgar/data/1342423/000114420410007241/v173157_ex10-6.htm" TargetMode="External"/><Relationship Id="rId130" Type="http://schemas.openxmlformats.org/officeDocument/2006/relationships/hyperlink" Target="http://www.sec.gov/Archives/edgar/data/1342423/000114420410017415/v178900_ex10-24.htm" TargetMode="External"/><Relationship Id="rId131" Type="http://schemas.openxmlformats.org/officeDocument/2006/relationships/hyperlink" Target="http://www.sec.gov/Archives/edgar/data/1342423/000114420413037714/v349189_ex10-1.htm" TargetMode="External"/><Relationship Id="rId132" Type="http://schemas.openxmlformats.org/officeDocument/2006/relationships/hyperlink" Target="http://www.sec.gov/Archives/edgar/data/1342423/000114420415014822/v402486_ex10-1.htm" TargetMode="External"/><Relationship Id="rId133" Type="http://schemas.openxmlformats.org/officeDocument/2006/relationships/hyperlink" Target="http://www.sec.gov/Archives/edgar/data/1342423/000114420414017379/v372494_ex10-1.htm" TargetMode="External"/><Relationship Id="rId134" Type="http://schemas.openxmlformats.org/officeDocument/2006/relationships/hyperlink" Target="http://www.sec.gov/Archives/edgar/data/1342423/000114420415054410/v420019_ex10-1.htm" TargetMode="External"/><Relationship Id="rId135" Type="http://schemas.openxmlformats.org/officeDocument/2006/relationships/hyperlink" Target="http://www.sec.gov/Archives/edgar/data/1342423/000114420415065962/v424649_ex10-1.htm" TargetMode="External"/><Relationship Id="rId136" Type="http://schemas.openxmlformats.org/officeDocument/2006/relationships/hyperlink" Target="http://www.sec.gov/Archives/edgar/data/1342423/000114420415065962/v424649_ex10-3.htm" TargetMode="External"/><Relationship Id="rId137" Type="http://schemas.openxmlformats.org/officeDocument/2006/relationships/hyperlink" Target="http://www.sec.gov/Archives/edgar/data/1342423/000114420418012594/tv487635_ex10-1.htm" TargetMode="External"/><Relationship Id="rId138" Type="http://schemas.openxmlformats.org/officeDocument/2006/relationships/hyperlink" Target="http://www.sec.gov/Archives/edgar/data/1342423/000114420418012594/tv487635_ex10-2.htm" TargetMode="External"/><Relationship Id="rId141" Type="http://schemas.openxmlformats.org/officeDocument/2006/relationships/hyperlink" Target="http://www.sec.gov/Archives/edgar/data/1342423/000114420418012594/tv487635_ex10-3.htm" TargetMode="External"/><Relationship Id="rId142" Type="http://schemas.openxmlformats.org/officeDocument/2006/relationships/hyperlink" Target="http://www.sec.gov/Archives/edgar/data/1342423/000110465921082346/tm2119967d1_ex10-1.htm" TargetMode="External"/><Relationship Id="rId143" Type="http://schemas.openxmlformats.org/officeDocument/2006/relationships/hyperlink" Target="http://www.sec.gov/Archives/edgar/data/1342423/000110465921082346/tm2119967d1_ex10-2.htm" TargetMode="External"/><Relationship Id="rId144" Type="http://schemas.openxmlformats.org/officeDocument/2006/relationships/hyperlink" Target="http://www.sec.gov/Archives/edgar/data/1342423/000110465921082346/tm2119967d1_ex10-3.htm" TargetMode="External"/><Relationship Id="rId145" Type="http://schemas.openxmlformats.org/officeDocument/2006/relationships/hyperlink" Target="http://www.sec.gov/Archives/edgar/data/1342423/000110465921082346/tm2119967d1_ex10-4.htm" TargetMode="External"/><Relationship Id="rId146" Type="http://schemas.openxmlformats.org/officeDocument/2006/relationships/hyperlink" Target="http://www.sec.gov/Archives/edgar/data/1342423/000110465922084701/tm2221856d1_ex10-2.htm" TargetMode="External"/><Relationship Id="rId147" Type="http://schemas.openxmlformats.org/officeDocument/2006/relationships/hyperlink" Target="http://www.sec.gov/Archives/edgar/data/1342423/000110465922084701/tm2221856d1_ex10-3.htm" TargetMode="External"/><Relationship Id="rId148" Type="http://schemas.openxmlformats.org/officeDocument/2006/relationships/hyperlink" Target="http://www.sec.gov/Archives/edgar/data/1342423/000110465922084701/tm2221856d1_ex10-4.htm" TargetMode="External"/><Relationship Id="rId149" Type="http://schemas.openxmlformats.org/officeDocument/2006/relationships/hyperlink" Target="http://www.sec.gov/Archives/edgar/data/1342423/000110465922084701/tm2221856d1_ex10-5.htm" TargetMode="External"/><Relationship Id="rId150" Type="http://schemas.openxmlformats.org/officeDocument/2006/relationships/hyperlink" Target="http://www.sec.gov/Archives/edgar/data/1342423/000110465922098540/tm2225418d1_ex10-1.htm" TargetMode="External"/><Relationship Id="rId151" Type="http://schemas.openxmlformats.org/officeDocument/2006/relationships/hyperlink" Target="http://www.sec.gov/Archives/edgar/data/1342423/000110465922111762/tm2228916d1_ex10-1.htm" TargetMode="External"/><Relationship Id="rId152" Type="http://schemas.openxmlformats.org/officeDocument/2006/relationships/hyperlink" Target="http://www.sec.gov/Archives/edgar/data/1342423/000110465922111762/tm2228916d1_ex10-2.htm" TargetMode="External"/><Relationship Id="rId153" Type="http://schemas.openxmlformats.org/officeDocument/2006/relationships/hyperlink" Target="http://www.sec.gov/Archives/edgar/data/1342423/000110465922112693/tm2229209d1_ex10-1.htm" TargetMode="External"/><Relationship Id="rId156" Type="http://schemas.openxmlformats.org/officeDocument/2006/relationships/hyperlink" Target="http://www.sec.gov/Archives/edgar/data/1342423/000110465922112694/tm2229209d2_ex10-1.htm" TargetMode="External"/><Relationship Id="rId157" Type="http://schemas.openxmlformats.org/officeDocument/2006/relationships/hyperlink" Target="http://www.sec.gov/Archives/edgar/data/1342423/000110465922111555/tm2228945d1_ex10-2.htm" TargetMode="External"/><Relationship Id="rId158" Type="http://schemas.openxmlformats.org/officeDocument/2006/relationships/hyperlink" Target="http://www.sec.gov/Archives/edgar/data/1342423/000110465922112694/tm2229209d2_ex10-4.htm" TargetMode="External"/><Relationship Id="rId159" Type="http://schemas.openxmlformats.org/officeDocument/2006/relationships/hyperlink" Target="http://www.sec.gov/Archives/edgar/data/1342423/000134242323000010/lmnr13123exhibit106.htm" TargetMode="External"/><Relationship Id="rId160" Type="http://schemas.openxmlformats.org/officeDocument/2006/relationships/hyperlink" Target="http://www.sec.gov/Archives/edgar/data/1342423/000134242323000010/lmnr13123exhibit107.htm" TargetMode="External"/><Relationship Id="rId161" Type="http://schemas.openxmlformats.org/officeDocument/2006/relationships/hyperlink" Target="http://www.sec.gov/Archives/edgar/data/1342423/000110465923113864/tm232975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2023-12-21T15:26:03Z</dcterms:created>
  <dcterms:modified xsi:type="dcterms:W3CDTF">2023-12-21T15:26:03Z</dcterms:modified>
</cp:coreProperties>
</file>