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UNITED STATES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 AND EXCHANGE COMMISSION</w:t>
      </w:r>
    </w:p>
    <w:p>
      <w:pPr>
        <w:pStyle w:val="TextBody"/>
        <w:bidi w:val="0"/>
        <w:spacing w:lineRule="auto" w:line="288" w:before="0" w:after="12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tbl>
      <w:tblPr>
        <w:tblW w:w="1740" w:type="dxa"/>
        <w:jc w:val="center"/>
        <w:tblInd w:w="0" w:type="dxa"/>
        <w:tblLayout w:type="fixed"/>
        <w:tblCellMar>
          <w:top w:w="28" w:type="dxa"/>
          <w:left w:w="28" w:type="dxa"/>
          <w:bottom w:w="28" w:type="dxa"/>
          <w:right w:w="28" w:type="dxa"/>
        </w:tblCellMar>
      </w:tblPr>
      <w:tblGrid>
        <w:gridCol w:w="556"/>
        <w:gridCol w:w="490"/>
        <w:gridCol w:w="694"/>
      </w:tblGrid>
      <w:tr>
        <w:trPr/>
        <w:tc>
          <w:tcPr>
            <w:tcW w:w="55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8"/>
              </w:rPr>
            </w:pPr>
            <w:r>
              <w:rPr>
                <w:rFonts w:ascii="Times New Roman;sans-serif" w:hAnsi="Times New Roman;sans-serif"/>
                <w:b/>
                <w:color w:val="000000"/>
                <w:sz w:val="28"/>
              </w:rPr>
              <w:t>FORM 10-Q</w:t>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0" w:after="80"/>
        <w:jc w:val="center"/>
        <w:rPr/>
      </w:pPr>
      <w:r>
        <w:rPr>
          <w:rFonts w:ascii="Times New Roman;sans-serif" w:hAnsi="Times New Roman;sans-serif"/>
          <w:b/>
          <w:color w:val="000000"/>
          <w:sz w:val="18"/>
        </w:rPr>
        <w:t>For The Quarterly Period Ended</w:t>
      </w:r>
      <w:r>
        <w:rPr>
          <w:color w:val="000000"/>
        </w:rPr>
        <w:t xml:space="preserve"> </w:t>
      </w:r>
      <w:r>
        <w:rPr>
          <w:rFonts w:ascii="Times New Roman;sans-serif" w:hAnsi="Times New Roman;sans-serif"/>
          <w:b/>
          <w:color w:val="000000"/>
          <w:sz w:val="28"/>
        </w:rPr>
        <w:t>January 31, 2024</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0" w:after="120"/>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             </w:t>
      </w:r>
    </w:p>
    <w:p>
      <w:pPr>
        <w:pStyle w:val="TextBody"/>
        <w:bidi w:val="0"/>
        <w:spacing w:lineRule="auto" w:line="288" w:before="0" w:after="160"/>
        <w:jc w:val="center"/>
        <w:rPr/>
      </w:pPr>
      <w:r>
        <w:rPr>
          <w:rFonts w:ascii="Times New Roman;sans-serif" w:hAnsi="Times New Roman;sans-serif"/>
          <w:b/>
          <w:color w:val="000000"/>
          <w:sz w:val="18"/>
        </w:rPr>
        <w:t>Commission File Number: 001-347</w:t>
      </w:r>
      <w:r>
        <w:rPr>
          <w:rFonts w:ascii="Times New Roman;sans-serif" w:hAnsi="Times New Roman;sans-serif"/>
          <w:b/>
          <w:color w:val="000000"/>
          <w:sz w:val="20"/>
        </w:rPr>
        <w:t>55</w:t>
      </w:r>
    </w:p>
    <w:tbl>
      <w:tblPr>
        <w:tblW w:w="5639" w:type="dxa"/>
        <w:jc w:val="center"/>
        <w:tblInd w:w="0" w:type="dxa"/>
        <w:tblLayout w:type="fixed"/>
        <w:tblCellMar>
          <w:top w:w="28" w:type="dxa"/>
          <w:left w:w="28" w:type="dxa"/>
          <w:bottom w:w="28" w:type="dxa"/>
          <w:right w:w="28" w:type="dxa"/>
        </w:tblCellMar>
      </w:tblPr>
      <w:tblGrid>
        <w:gridCol w:w="1806"/>
        <w:gridCol w:w="1587"/>
        <w:gridCol w:w="2246"/>
      </w:tblGrid>
      <w:tr>
        <w:trPr/>
        <w:tc>
          <w:tcPr>
            <w:tcW w:w="1806"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48"/>
              </w:rPr>
            </w:pPr>
            <w:r>
              <w:rPr>
                <w:rFonts w:ascii="Times New Roman;sans-serif" w:hAnsi="Times New Roman;sans-serif"/>
                <w:b/>
                <w:color w:val="000000"/>
                <w:sz w:val="48"/>
              </w:rPr>
              <w:t>LIMONEIRA COMPANY</w:t>
            </w:r>
          </w:p>
        </w:tc>
      </w:tr>
      <w:tr>
        <w:trPr/>
        <w:tc>
          <w:tcPr>
            <w:tcW w:w="56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c>
      </w:tr>
    </w:tbl>
    <w:tbl>
      <w:tblPr>
        <w:tblW w:w="7350" w:type="dxa"/>
        <w:jc w:val="left"/>
        <w:tblInd w:w="0" w:type="dxa"/>
        <w:tblLayout w:type="fixed"/>
        <w:tblCellMar>
          <w:top w:w="28" w:type="dxa"/>
          <w:left w:w="28" w:type="dxa"/>
          <w:bottom w:w="28" w:type="dxa"/>
          <w:right w:w="28" w:type="dxa"/>
        </w:tblCellMar>
      </w:tblPr>
      <w:tblGrid>
        <w:gridCol w:w="1560"/>
        <w:gridCol w:w="1374"/>
        <w:gridCol w:w="1386"/>
        <w:gridCol w:w="883"/>
        <w:gridCol w:w="883"/>
        <w:gridCol w:w="1264"/>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77-0260692</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Number)</w:t>
            </w:r>
          </w:p>
        </w:tc>
      </w:tr>
    </w:tbl>
    <w:tbl>
      <w:tblPr>
        <w:tblW w:w="3899" w:type="dxa"/>
        <w:jc w:val="left"/>
        <w:tblInd w:w="0" w:type="dxa"/>
        <w:tblLayout w:type="fixed"/>
        <w:tblCellMar>
          <w:top w:w="28" w:type="dxa"/>
          <w:left w:w="28" w:type="dxa"/>
          <w:bottom w:w="28" w:type="dxa"/>
          <w:right w:w="28" w:type="dxa"/>
        </w:tblCellMar>
      </w:tblPr>
      <w:tblGrid>
        <w:gridCol w:w="1248"/>
        <w:gridCol w:w="1096"/>
        <w:gridCol w:w="1555"/>
      </w:tblGrid>
      <w:tr>
        <w:trPr/>
        <w:tc>
          <w:tcPr>
            <w:tcW w:w="1248"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1141 Cummings Road</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Santa Paula, CA 93060</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 and zip code)</w:t>
            </w:r>
          </w:p>
        </w:tc>
      </w:tr>
    </w:tbl>
    <w:p>
      <w:pPr>
        <w:pStyle w:val="TextBody"/>
        <w:bidi w:val="0"/>
        <w:spacing w:lineRule="auto" w:line="288" w:before="0" w:after="120"/>
        <w:jc w:val="center"/>
        <w:rPr>
          <w:rFonts w:ascii="Times New Roman;sans-serif" w:hAnsi="Times New Roman;sans-serif"/>
          <w:b/>
          <w:color w:val="000000"/>
          <w:sz w:val="18"/>
        </w:rPr>
      </w:pPr>
      <w:r>
        <w:rPr>
          <w:rFonts w:ascii="Times New Roman;sans-serif" w:hAnsi="Times New Roman;sans-serif"/>
          <w:b/>
          <w:color w:val="000000"/>
          <w:sz w:val="18"/>
        </w:rPr>
        <w:t>Registrant’s telephone number, including area code: (805) 525-5541</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7393" w:type="dxa"/>
        <w:jc w:val="left"/>
        <w:tblInd w:w="0" w:type="dxa"/>
        <w:tblLayout w:type="fixed"/>
        <w:tblCellMar>
          <w:top w:w="28" w:type="dxa"/>
          <w:left w:w="28" w:type="dxa"/>
          <w:bottom w:w="28" w:type="dxa"/>
          <w:right w:w="28" w:type="dxa"/>
        </w:tblCellMar>
      </w:tblPr>
      <w:tblGrid>
        <w:gridCol w:w="933"/>
        <w:gridCol w:w="821"/>
        <w:gridCol w:w="826"/>
        <w:gridCol w:w="444"/>
        <w:gridCol w:w="444"/>
        <w:gridCol w:w="446"/>
        <w:gridCol w:w="1019"/>
        <w:gridCol w:w="1019"/>
        <w:gridCol w:w="1441"/>
      </w:tblGrid>
      <w:tr>
        <w:trPr/>
        <w:tc>
          <w:tcPr>
            <w:tcW w:w="93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Title of each class</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Trading symbol</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Name of each exchange on which registered</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 par value $0.01</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LMNR</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The NASDAQ Stock Market LLC</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(NASDAQ Global Select Market)</w:t>
            </w:r>
          </w:p>
        </w:tc>
      </w:tr>
    </w:tbl>
    <w:p>
      <w:pPr>
        <w:pStyle w:val="TextBody"/>
        <w:bidi w:val="0"/>
        <w:spacing w:lineRule="auto" w:line="288" w:before="0" w:after="120"/>
        <w:ind w:left="0" w:right="0" w:firstLine="720"/>
        <w:jc w:val="both"/>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0" w:after="120"/>
        <w:ind w:left="0" w:right="0" w:firstLine="720"/>
        <w:jc w:val="both"/>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7857" w:type="dxa"/>
        <w:jc w:val="left"/>
        <w:tblInd w:w="0" w:type="dxa"/>
        <w:tblLayout w:type="fixed"/>
        <w:tblCellMar>
          <w:top w:w="28" w:type="dxa"/>
          <w:left w:w="28" w:type="dxa"/>
          <w:bottom w:w="28" w:type="dxa"/>
          <w:right w:w="28" w:type="dxa"/>
        </w:tblCellMar>
      </w:tblPr>
      <w:tblGrid>
        <w:gridCol w:w="679"/>
        <w:gridCol w:w="597"/>
        <w:gridCol w:w="599"/>
        <w:gridCol w:w="489"/>
        <w:gridCol w:w="489"/>
        <w:gridCol w:w="491"/>
        <w:gridCol w:w="594"/>
        <w:gridCol w:w="594"/>
        <w:gridCol w:w="596"/>
        <w:gridCol w:w="444"/>
        <w:gridCol w:w="444"/>
        <w:gridCol w:w="446"/>
        <w:gridCol w:w="408"/>
        <w:gridCol w:w="408"/>
        <w:gridCol w:w="579"/>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 ☐</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Accelerated filer ☒</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Non-accelerated filer ☐</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Smaller reporting</w:t>
              <w:br/>
              <w:t>company ☐</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Emerging growth</w:t>
              <w:br/>
              <w:t>company ☐</w:t>
            </w:r>
          </w:p>
        </w:tc>
      </w:tr>
    </w:tbl>
    <w:p>
      <w:pPr>
        <w:pStyle w:val="TextBody"/>
        <w:bidi w:val="0"/>
        <w:spacing w:lineRule="auto" w:line="288" w:before="0" w:after="120"/>
        <w:ind w:left="0" w:right="0" w:firstLine="720"/>
        <w:jc w:val="both"/>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120"/>
        <w:ind w:left="0" w:right="0" w:firstLine="720"/>
        <w:jc w:val="both"/>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of February 29, 2024, there were 18,004,918 shares outstanding of the registrant’s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558"/>
        <w:gridCol w:w="3134"/>
        <w:gridCol w:w="3140"/>
        <w:gridCol w:w="109"/>
        <w:gridCol w:w="109"/>
        <w:gridCol w:w="155"/>
      </w:tblGrid>
      <w:tr>
        <w:trPr/>
        <w:tc>
          <w:tcPr>
            <w:tcW w:w="3558" w:type="dxa"/>
            <w:tcBorders/>
            <w:vAlign w:val="center"/>
          </w:tcPr>
          <w:p>
            <w:pPr>
              <w:pStyle w:val="TableContents"/>
              <w:bidi w:val="0"/>
              <w:spacing w:before="0" w:after="283"/>
              <w:jc w:val="left"/>
              <w:rPr>
                <w:sz w:val="4"/>
                <w:szCs w:val="4"/>
              </w:rPr>
            </w:pPr>
            <w:r>
              <w:rPr>
                <w:sz w:val="4"/>
                <w:szCs w:val="4"/>
              </w:rPr>
            </w:r>
          </w:p>
        </w:tc>
        <w:tc>
          <w:tcPr>
            <w:tcW w:w="3134" w:type="dxa"/>
            <w:tcBorders/>
            <w:vAlign w:val="center"/>
          </w:tcPr>
          <w:p>
            <w:pPr>
              <w:pStyle w:val="TableContents"/>
              <w:bidi w:val="0"/>
              <w:spacing w:before="0" w:after="283"/>
              <w:jc w:val="left"/>
              <w:rPr>
                <w:sz w:val="4"/>
                <w:szCs w:val="4"/>
              </w:rPr>
            </w:pPr>
            <w:r>
              <w:rPr>
                <w:sz w:val="4"/>
                <w:szCs w:val="4"/>
              </w:rPr>
            </w:r>
          </w:p>
        </w:tc>
        <w:tc>
          <w:tcPr>
            <w:tcW w:w="3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 FINANCIAL INFORMATION</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8a61da69ac34bffa8b947fe62c169f2_670">
              <w:r>
                <w:rPr>
                  <w:rStyle w:val="InternetLink"/>
                  <w:rFonts w:ascii="Times New Roman;sans-serif" w:hAnsi="Times New Roman;sans-serif"/>
                  <w:b w:val="false"/>
                  <w:color w:val="0000FF"/>
                  <w:sz w:val="20"/>
                  <w:u w:val="single"/>
                </w:rPr>
                <w:t>4</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 Financial Statements (Unaudited)</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8a61da69ac34bffa8b947fe62c169f2_673">
              <w:r>
                <w:rPr>
                  <w:rStyle w:val="InternetLink"/>
                  <w:rFonts w:ascii="Times New Roman;sans-serif" w:hAnsi="Times New Roman;sans-serif"/>
                  <w:b w:val="false"/>
                  <w:color w:val="0000FF"/>
                  <w:sz w:val="20"/>
                  <w:u w:val="single"/>
                </w:rPr>
                <w:t>4</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 January 31, 2024 and October 31, 2023</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8a61da69ac34bffa8b947fe62c169f2_241">
              <w:r>
                <w:rPr>
                  <w:rStyle w:val="InternetLink"/>
                  <w:rFonts w:ascii="Times New Roman;sans-serif" w:hAnsi="Times New Roman;sans-serif"/>
                  <w:b w:val="false"/>
                  <w:color w:val="0000FF"/>
                  <w:sz w:val="20"/>
                  <w:u w:val="single"/>
                </w:rPr>
                <w:t>4</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Operations – three months ended January 31, 2024 and 2023</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8a61da69ac34bffa8b947fe62c169f2_244">
              <w:r>
                <w:rPr>
                  <w:rStyle w:val="InternetLink"/>
                  <w:rFonts w:ascii="Times New Roman;sans-serif" w:hAnsi="Times New Roman;sans-serif"/>
                  <w:b w:val="false"/>
                  <w:color w:val="0000FF"/>
                  <w:sz w:val="20"/>
                  <w:u w:val="single"/>
                </w:rPr>
                <w:t>5</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Comprehensive (Loss) Income – three months ended January 31, 2024 and 2023</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8a61da69ac34bffa8b947fe62c169f2_250">
              <w:r>
                <w:rPr>
                  <w:rStyle w:val="InternetLink"/>
                  <w:rFonts w:ascii="Times New Roman;sans-serif" w:hAnsi="Times New Roman;sans-serif"/>
                  <w:b w:val="false"/>
                  <w:color w:val="0000FF"/>
                  <w:sz w:val="20"/>
                  <w:u w:val="single"/>
                </w:rPr>
                <w:t>6</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Stockholders' Equity and Temporary Equity – three months ended January 31, 2024 and 2023</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8a61da69ac34bffa8b947fe62c169f2_685">
              <w:r>
                <w:rPr>
                  <w:rStyle w:val="InternetLink"/>
                  <w:rFonts w:ascii="Times New Roman;sans-serif" w:hAnsi="Times New Roman;sans-serif"/>
                  <w:b w:val="false"/>
                  <w:color w:val="0000FF"/>
                  <w:sz w:val="20"/>
                  <w:u w:val="single"/>
                </w:rPr>
                <w:t>7</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 three months ended January 31, 2024 and 2023</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8a61da69ac34bffa8b947fe62c169f2_256">
              <w:r>
                <w:rPr>
                  <w:rStyle w:val="InternetLink"/>
                  <w:rFonts w:ascii="Times New Roman;sans-serif" w:hAnsi="Times New Roman;sans-serif"/>
                  <w:b w:val="false"/>
                  <w:color w:val="0000FF"/>
                  <w:sz w:val="20"/>
                  <w:u w:val="single"/>
                </w:rPr>
                <w:t>8</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8a61da69ac34bffa8b947fe62c169f2_262">
              <w:r>
                <w:rPr>
                  <w:rStyle w:val="InternetLink"/>
                  <w:rFonts w:ascii="Times New Roman;sans-serif" w:hAnsi="Times New Roman;sans-serif"/>
                  <w:b w:val="false"/>
                  <w:color w:val="0000FF"/>
                  <w:sz w:val="20"/>
                  <w:u w:val="single"/>
                </w:rPr>
                <w:t>10</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 Management's Discussion and Analysis of Financial Condition and Results of Operations</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8a61da69ac34bffa8b947fe62c169f2_877">
              <w:r>
                <w:rPr>
                  <w:rStyle w:val="InternetLink"/>
                  <w:rFonts w:ascii="Times New Roman;sans-serif" w:hAnsi="Times New Roman;sans-serif"/>
                  <w:b w:val="false"/>
                  <w:color w:val="0000FF"/>
                  <w:sz w:val="20"/>
                  <w:u w:val="single"/>
                </w:rPr>
                <w:t>25</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 Quantitative and Qualitative Disclosures about Market Risk</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8a61da69ac34bffa8b947fe62c169f2_964">
              <w:r>
                <w:rPr>
                  <w:rStyle w:val="InternetLink"/>
                  <w:rFonts w:ascii="Times New Roman;sans-serif" w:hAnsi="Times New Roman;sans-serif"/>
                  <w:b w:val="false"/>
                  <w:color w:val="0000FF"/>
                  <w:sz w:val="20"/>
                  <w:u w:val="single"/>
                </w:rPr>
                <w:t>37</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 Controls and Procedures</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8a61da69ac34bffa8b947fe62c169f2_967">
              <w:r>
                <w:rPr>
                  <w:rStyle w:val="InternetLink"/>
                  <w:rFonts w:ascii="Times New Roman;sans-serif" w:hAnsi="Times New Roman;sans-serif"/>
                  <w:b w:val="false"/>
                  <w:color w:val="0000FF"/>
                  <w:sz w:val="20"/>
                  <w:u w:val="single"/>
                </w:rPr>
                <w:t>37</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II. OTHER INFORMATION</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8a61da69ac34bffa8b947fe62c169f2_976">
              <w:r>
                <w:rPr>
                  <w:rStyle w:val="InternetLink"/>
                  <w:rFonts w:ascii="Times New Roman;sans-serif" w:hAnsi="Times New Roman;sans-serif"/>
                  <w:b w:val="false"/>
                  <w:color w:val="0000FF"/>
                  <w:sz w:val="20"/>
                  <w:u w:val="single"/>
                </w:rPr>
                <w:t>38</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 Legal Proceedings</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8a61da69ac34bffa8b947fe62c169f2_979">
              <w:r>
                <w:rPr>
                  <w:rStyle w:val="InternetLink"/>
                  <w:rFonts w:ascii="Times New Roman;sans-serif" w:hAnsi="Times New Roman;sans-serif"/>
                  <w:b w:val="false"/>
                  <w:color w:val="0000FF"/>
                  <w:sz w:val="20"/>
                  <w:u w:val="single"/>
                </w:rPr>
                <w:t>38</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 Risk Factors</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8a61da69ac34bffa8b947fe62c169f2_982">
              <w:r>
                <w:rPr>
                  <w:rStyle w:val="InternetLink"/>
                  <w:rFonts w:ascii="Times New Roman;sans-serif" w:hAnsi="Times New Roman;sans-serif"/>
                  <w:b w:val="false"/>
                  <w:color w:val="0000FF"/>
                  <w:sz w:val="20"/>
                  <w:u w:val="single"/>
                </w:rPr>
                <w:t>38</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 Unregistered Sales of Equity Securities and Use of Proceeds</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8a61da69ac34bffa8b947fe62c169f2_985">
              <w:r>
                <w:rPr>
                  <w:rStyle w:val="InternetLink"/>
                  <w:rFonts w:ascii="Times New Roman;sans-serif" w:hAnsi="Times New Roman;sans-serif"/>
                  <w:b w:val="false"/>
                  <w:color w:val="0000FF"/>
                  <w:sz w:val="20"/>
                  <w:u w:val="single"/>
                </w:rPr>
                <w:t>38</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 Defaults Upon Senior Securities</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8a61da69ac34bffa8b947fe62c169f2_988">
              <w:r>
                <w:rPr>
                  <w:rStyle w:val="InternetLink"/>
                  <w:rFonts w:ascii="Times New Roman;sans-serif" w:hAnsi="Times New Roman;sans-serif"/>
                  <w:b w:val="false"/>
                  <w:color w:val="0000FF"/>
                  <w:sz w:val="20"/>
                  <w:u w:val="single"/>
                </w:rPr>
                <w:t>38</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 Mine Safety Disclosures</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8a61da69ac34bffa8b947fe62c169f2_991">
              <w:r>
                <w:rPr>
                  <w:rStyle w:val="InternetLink"/>
                  <w:rFonts w:ascii="Times New Roman;sans-serif" w:hAnsi="Times New Roman;sans-serif"/>
                  <w:b w:val="false"/>
                  <w:color w:val="0000FF"/>
                  <w:sz w:val="20"/>
                  <w:u w:val="single"/>
                </w:rPr>
                <w:t>38</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 Other Information</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8a61da69ac34bffa8b947fe62c169f2_994">
              <w:r>
                <w:rPr>
                  <w:rStyle w:val="InternetLink"/>
                  <w:rFonts w:ascii="Times New Roman;sans-serif" w:hAnsi="Times New Roman;sans-serif"/>
                  <w:b w:val="false"/>
                  <w:color w:val="0000FF"/>
                  <w:sz w:val="20"/>
                  <w:u w:val="single"/>
                </w:rPr>
                <w:t>38</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 Exhibits</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8a61da69ac34bffa8b947fe62c169f2_997">
              <w:r>
                <w:rPr>
                  <w:rStyle w:val="InternetLink"/>
                  <w:rFonts w:ascii="Times New Roman;sans-serif" w:hAnsi="Times New Roman;sans-serif"/>
                  <w:b w:val="false"/>
                  <w:color w:val="0000FF"/>
                  <w:sz w:val="20"/>
                  <w:u w:val="single"/>
                </w:rPr>
                <w:t>39</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SIGNATURES</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8a61da69ac34bffa8b947fe62c169f2_1000">
              <w:r>
                <w:rPr>
                  <w:rStyle w:val="InternetLink"/>
                  <w:rFonts w:ascii="Times New Roman;sans-serif" w:hAnsi="Times New Roman;sans-serif"/>
                  <w:b w:val="false"/>
                  <w:color w:val="0000FF"/>
                  <w:sz w:val="20"/>
                  <w:u w:val="single"/>
                </w:rPr>
                <w:t>41</w:t>
              </w:r>
            </w:hyperlink>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832"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(this “Quarterly Report”) contains both historical and forward-looking statements. Forward-looking statements in this Quarterly Report are subject to a number of risks and uncertainties, some of which are beyond the Company’s control. The potential risks and uncertainties that could cause our actual financial condition, results of operations and future performance to differ materially from those expressed or implied in this Quarterly Report include: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success in executing the Company's business plans and strategies and managing the risks involved in the foregoing;</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changes in laws, regulations, rules, quotas, tariffs and import laws;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adverse weather conditions, natural disasters and other adverse natural conditions, including freezes, rains, fires, winds and droughts that affect the production, transportation, storage, import and export of fresh produce;</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market responses to industry volume pressures;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increased pressure from disease, insects and other pests;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disruption of water supplies or changes in water allocations;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disruption in the global supply chain;</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negative impacts related to the COVID-19 pandemic and our Company's responses to the pandemic;</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product and raw materials supplies and pricing;</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energy supply and pricing;</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changes in interest rates and the impact of inflation;</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availability of financing for development activities;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general economic conditions for residential and commercial real estate development;</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political changes and economic crises;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international conflict;</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acts of terrorism;</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labor disruptions, strikes, shortages or work stoppages;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the impact of foreign exchange rate movements;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ability to maintain compliance with covenants under our loan agreements;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loss of important intellectual property rights; and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other factors disclosed in our public filings with the Securities and Exchange Commission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involve risks and uncertainties that we have identified as having the potential to cause actual results to differ materially from those contemplated herein. We have described in Part I, Item 1A Risk Factors in our Annual Report on Form 10-K for the fiscal year ended October 31, 2023 additional factors that could cause our actual results to differ from our projections or estimates.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actual results, performance, prospects or opportunities could differ materially from those expressed in or implied by the forward-looking statements. Additional risks of which the Company is not currently aware or which the Company currently deems immaterial could also cause the Company’s actual results to differ, including those discussed in the section entitled “Risk Factors” included in our Annual Report on Form 10-K for the fiscal year ended October 31, 2023. Although we believe the expectations reflected in the forward-looking statements are reasonable, we cannot guarantee future results, levels of activity, performance, or achievements. You should not place undue reliance on these forward-looking statements, which apply only as of the date of this Quarterly Report. Except as required by law, we undertake no obligation to update these forward-looking statements, even if our situation changes in the future.</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 xml:space="preserve">All references to “we,” “us,” “our,” “our Company,” “the Company” or “Limoneira” in this Quarterly Report mean Limoneira Company, a Delaware corporation, and its consolidated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(UNAUDITED)</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878"/>
        <w:gridCol w:w="2280"/>
        <w:gridCol w:w="2285"/>
        <w:gridCol w:w="225"/>
        <w:gridCol w:w="849"/>
        <w:gridCol w:w="125"/>
        <w:gridCol w:w="109"/>
        <w:gridCol w:w="109"/>
        <w:gridCol w:w="109"/>
        <w:gridCol w:w="222"/>
        <w:gridCol w:w="835"/>
        <w:gridCol w:w="179"/>
      </w:tblGrid>
      <w:tr>
        <w:trPr/>
        <w:tc>
          <w:tcPr>
            <w:tcW w:w="2878"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7443"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563" w:type="dxa"/>
            <w:gridSpan w:val="6"/>
            <w:tcBorders/>
          </w:tcPr>
          <w:p>
            <w:pPr>
              <w:pStyle w:val="TableContents"/>
              <w:bidi w:val="0"/>
              <w:spacing w:before="0" w:after="283"/>
              <w:jc w:val="left"/>
              <w:rPr>
                <w:sz w:val="4"/>
                <w:szCs w:val="4"/>
              </w:rPr>
            </w:pPr>
            <w:r>
              <w:rPr>
                <w:sz w:val="4"/>
                <w:szCs w:val="4"/>
              </w:rPr>
            </w:r>
          </w:p>
        </w:tc>
      </w:tr>
      <w:tr>
        <w:trPr/>
        <w:tc>
          <w:tcPr>
            <w:tcW w:w="7443"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74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October 31, 2023</w:t>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16,663 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14,458 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Cultural costs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Receivables/other from related parties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28,599 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30,225 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160,197 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160,631 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 estate development</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investments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79,057 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78,816 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13,816 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13,382 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299,576 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301,210 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Convertible Preferred Stock and Stockholders' Equity</w:t>
            </w:r>
          </w:p>
        </w:tc>
        <w:tc>
          <w:tcPr>
            <w:tcW w:w="119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Growers and suppliers payable</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Payables to related parties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30,953 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33,358 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liabilities:</w:t>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less current portion</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51,413 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40,628 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17,988 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22,172 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104,578 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100,713 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Commitments and contingencies </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Series B Convertible Preferred Stock – $100.00 par value (50,000 shares authorized: 14,790 shares issued and outstanding at January 31, 2024 and October 31, 2023) (8.75% coupon rate)</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Series B-2 Convertible Preferred Stock – $100.00 par value (10,000 shares authorized: 9,300 shares issued and outstanding at January 31, 2024 and October 31, 2023) (4% dividend rate on liquidation value of $1,000 per share)</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9,331 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9,331 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Series A Junior Participating Preferred Stock – $0.01 par value (20,000 shares authorized: zero issued or outstanding at January 31, 2024 and October 31, 2023)</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 $0.01 par value (39,000,000 shares authorized: 18,255,895 and 18,192,009 shares issued and 18,004,918 and 17,941,032 shares outstanding at January 31, 2024 and October 31, 2023, respectively)</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168,620 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168,441 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13,957 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19,017 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(5,666)</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250,977 shares at January 31, 2024 and October 31, 2023</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11,057 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11,209 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184,188 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189,687 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convertible preferred stock and stockholders' equity</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299,576 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301,210 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OPERATIONS (UNAUDITED)</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data)</w:t>
      </w:r>
    </w:p>
    <w:tbl>
      <w:tblPr>
        <w:tblW w:w="8282" w:type="dxa"/>
        <w:jc w:val="center"/>
        <w:tblInd w:w="0" w:type="dxa"/>
        <w:tblLayout w:type="fixed"/>
        <w:tblCellMar>
          <w:top w:w="28" w:type="dxa"/>
          <w:left w:w="28" w:type="dxa"/>
          <w:bottom w:w="28" w:type="dxa"/>
          <w:right w:w="28" w:type="dxa"/>
        </w:tblCellMar>
      </w:tblPr>
      <w:tblGrid>
        <w:gridCol w:w="1649"/>
        <w:gridCol w:w="1453"/>
        <w:gridCol w:w="1457"/>
        <w:gridCol w:w="109"/>
        <w:gridCol w:w="109"/>
        <w:gridCol w:w="162"/>
        <w:gridCol w:w="162"/>
        <w:gridCol w:w="314"/>
        <w:gridCol w:w="1074"/>
        <w:gridCol w:w="162"/>
        <w:gridCol w:w="109"/>
        <w:gridCol w:w="109"/>
        <w:gridCol w:w="109"/>
        <w:gridCol w:w="211"/>
        <w:gridCol w:w="721"/>
        <w:gridCol w:w="109"/>
        <w:gridCol w:w="109"/>
        <w:gridCol w:w="154"/>
      </w:tblGrid>
      <w:tr>
        <w:trPr/>
        <w:tc>
          <w:tcPr>
            <w:tcW w:w="1649"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1631" w:type="dxa"/>
            <w:gridSpan w:val="8"/>
            <w:tcBorders/>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4"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January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Agribusiness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38,339 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39,731 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Agribusiness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39,114 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disposal of assets,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47,476 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(7,745)</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(expense)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patronage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investments,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before income tax benefit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(7,867)</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Limoneira Company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applicable to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(loss) income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(loss) income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COMPREHENSIVE (LOSS) INCOME (UNAUDITED)</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9426" w:type="dxa"/>
        <w:jc w:val="center"/>
        <w:tblInd w:w="0" w:type="dxa"/>
        <w:tblLayout w:type="fixed"/>
        <w:tblCellMar>
          <w:top w:w="28" w:type="dxa"/>
          <w:left w:w="28" w:type="dxa"/>
          <w:bottom w:w="28" w:type="dxa"/>
          <w:right w:w="28" w:type="dxa"/>
        </w:tblCellMar>
      </w:tblPr>
      <w:tblGrid>
        <w:gridCol w:w="2022"/>
        <w:gridCol w:w="1780"/>
        <w:gridCol w:w="1792"/>
        <w:gridCol w:w="109"/>
        <w:gridCol w:w="109"/>
        <w:gridCol w:w="109"/>
        <w:gridCol w:w="166"/>
        <w:gridCol w:w="166"/>
        <w:gridCol w:w="322"/>
        <w:gridCol w:w="1054"/>
        <w:gridCol w:w="166"/>
        <w:gridCol w:w="109"/>
        <w:gridCol w:w="109"/>
        <w:gridCol w:w="109"/>
        <w:gridCol w:w="211"/>
        <w:gridCol w:w="721"/>
        <w:gridCol w:w="109"/>
        <w:gridCol w:w="109"/>
        <w:gridCol w:w="154"/>
      </w:tblGrid>
      <w:tr>
        <w:trPr/>
        <w:tc>
          <w:tcPr>
            <w:tcW w:w="2022"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1631" w:type="dxa"/>
            <w:gridSpan w:val="8"/>
            <w:tcBorders/>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4"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January 31,</w:t>
            </w:r>
          </w:p>
        </w:tc>
        <w:tc>
          <w:tcPr>
            <w:tcW w:w="1631" w:type="dxa"/>
            <w:gridSpan w:val="8"/>
            <w:tcBorders/>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Minimum pension liability adjustments, net of tax of $0 and $(135)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Pension settlement cost, net of tax of $0 and $756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(loss)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(4,144)</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income attributable to Limoneira Company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STOCKHOLDERS' EQUITY AND TEMPORARY EQUITY (UNAUDITED)</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data)</w:t>
      </w:r>
    </w:p>
    <w:tbl>
      <w:tblPr>
        <w:tblW w:w="12490" w:type="dxa"/>
        <w:jc w:val="center"/>
        <w:tblInd w:w="0" w:type="dxa"/>
        <w:tblLayout w:type="fixed"/>
        <w:tblCellMar>
          <w:top w:w="28" w:type="dxa"/>
          <w:left w:w="28" w:type="dxa"/>
          <w:bottom w:w="28" w:type="dxa"/>
          <w:right w:w="28" w:type="dxa"/>
        </w:tblCellMar>
      </w:tblPr>
      <w:tblGrid>
        <w:gridCol w:w="657"/>
        <w:gridCol w:w="181"/>
        <w:gridCol w:w="183"/>
        <w:gridCol w:w="398"/>
        <w:gridCol w:w="398"/>
        <w:gridCol w:w="181"/>
        <w:gridCol w:w="109"/>
        <w:gridCol w:w="109"/>
        <w:gridCol w:w="109"/>
        <w:gridCol w:w="181"/>
        <w:gridCol w:w="361"/>
        <w:gridCol w:w="109"/>
        <w:gridCol w:w="109"/>
        <w:gridCol w:w="109"/>
        <w:gridCol w:w="109"/>
        <w:gridCol w:w="181"/>
        <w:gridCol w:w="616"/>
        <w:gridCol w:w="109"/>
        <w:gridCol w:w="109"/>
        <w:gridCol w:w="109"/>
        <w:gridCol w:w="109"/>
        <w:gridCol w:w="181"/>
        <w:gridCol w:w="541"/>
        <w:gridCol w:w="109"/>
        <w:gridCol w:w="109"/>
        <w:gridCol w:w="109"/>
        <w:gridCol w:w="109"/>
        <w:gridCol w:w="257"/>
        <w:gridCol w:w="683"/>
        <w:gridCol w:w="156"/>
        <w:gridCol w:w="109"/>
        <w:gridCol w:w="109"/>
        <w:gridCol w:w="109"/>
        <w:gridCol w:w="181"/>
        <w:gridCol w:w="481"/>
        <w:gridCol w:w="109"/>
        <w:gridCol w:w="109"/>
        <w:gridCol w:w="109"/>
        <w:gridCol w:w="109"/>
        <w:gridCol w:w="181"/>
        <w:gridCol w:w="541"/>
        <w:gridCol w:w="109"/>
        <w:gridCol w:w="109"/>
        <w:gridCol w:w="109"/>
        <w:gridCol w:w="109"/>
        <w:gridCol w:w="181"/>
        <w:gridCol w:w="616"/>
        <w:gridCol w:w="109"/>
        <w:gridCol w:w="109"/>
        <w:gridCol w:w="109"/>
        <w:gridCol w:w="109"/>
        <w:gridCol w:w="181"/>
        <w:gridCol w:w="466"/>
        <w:gridCol w:w="109"/>
        <w:gridCol w:w="109"/>
        <w:gridCol w:w="109"/>
        <w:gridCol w:w="109"/>
        <w:gridCol w:w="181"/>
        <w:gridCol w:w="466"/>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6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Temporary Equity</w:t>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Additional</w:t>
              <w:br/>
              <w:t>Paid-In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Retained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Accumulated</w:t>
              <w:br/>
              <w:t>Other</w:t>
              <w:br/>
              <w:t>Comprehensive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Non- 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Series B</w:t>
              <w:br/>
              <w:t>Preferred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Series B-2</w:t>
              <w:br/>
              <w:t>Preferred</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Stock</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October 31, 2023</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17,941,032 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(5,666)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189,687 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Dividends Common ($0.075 per share)</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Dividends Series B ($2.19 per share)</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Dividends Series B-2 ($10 per share)</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 compensation</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99,983 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Exchange of common stock</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(36,097)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Noncontrolling interest adjustment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Net loss </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loss, net of tax</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January 31, 2024</w:t>
            </w:r>
          </w:p>
        </w:tc>
        <w:tc>
          <w:tcPr>
            <w:tcW w:w="97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18,004,918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168,620 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13,957 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8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(6,133)</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(3,493)</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11,057 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184,188 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9,331 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bl>
    <w:tbl>
      <w:tblPr>
        <w:tblW w:w="12490" w:type="dxa"/>
        <w:jc w:val="center"/>
        <w:tblInd w:w="0" w:type="dxa"/>
        <w:tblLayout w:type="fixed"/>
        <w:tblCellMar>
          <w:top w:w="28" w:type="dxa"/>
          <w:left w:w="28" w:type="dxa"/>
          <w:bottom w:w="28" w:type="dxa"/>
          <w:right w:w="28" w:type="dxa"/>
        </w:tblCellMar>
      </w:tblPr>
      <w:tblGrid>
        <w:gridCol w:w="657"/>
        <w:gridCol w:w="181"/>
        <w:gridCol w:w="183"/>
        <w:gridCol w:w="398"/>
        <w:gridCol w:w="398"/>
        <w:gridCol w:w="181"/>
        <w:gridCol w:w="109"/>
        <w:gridCol w:w="109"/>
        <w:gridCol w:w="109"/>
        <w:gridCol w:w="181"/>
        <w:gridCol w:w="361"/>
        <w:gridCol w:w="109"/>
        <w:gridCol w:w="109"/>
        <w:gridCol w:w="109"/>
        <w:gridCol w:w="109"/>
        <w:gridCol w:w="181"/>
        <w:gridCol w:w="616"/>
        <w:gridCol w:w="109"/>
        <w:gridCol w:w="109"/>
        <w:gridCol w:w="109"/>
        <w:gridCol w:w="109"/>
        <w:gridCol w:w="181"/>
        <w:gridCol w:w="541"/>
        <w:gridCol w:w="109"/>
        <w:gridCol w:w="109"/>
        <w:gridCol w:w="109"/>
        <w:gridCol w:w="109"/>
        <w:gridCol w:w="257"/>
        <w:gridCol w:w="683"/>
        <w:gridCol w:w="156"/>
        <w:gridCol w:w="109"/>
        <w:gridCol w:w="109"/>
        <w:gridCol w:w="109"/>
        <w:gridCol w:w="181"/>
        <w:gridCol w:w="481"/>
        <w:gridCol w:w="109"/>
        <w:gridCol w:w="109"/>
        <w:gridCol w:w="109"/>
        <w:gridCol w:w="109"/>
        <w:gridCol w:w="181"/>
        <w:gridCol w:w="541"/>
        <w:gridCol w:w="109"/>
        <w:gridCol w:w="109"/>
        <w:gridCol w:w="109"/>
        <w:gridCol w:w="109"/>
        <w:gridCol w:w="181"/>
        <w:gridCol w:w="616"/>
        <w:gridCol w:w="109"/>
        <w:gridCol w:w="109"/>
        <w:gridCol w:w="109"/>
        <w:gridCol w:w="109"/>
        <w:gridCol w:w="181"/>
        <w:gridCol w:w="466"/>
        <w:gridCol w:w="109"/>
        <w:gridCol w:w="109"/>
        <w:gridCol w:w="109"/>
        <w:gridCol w:w="109"/>
        <w:gridCol w:w="181"/>
        <w:gridCol w:w="466"/>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7"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Temporary Equity</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Additional</w:t>
              <w:br/>
              <w:t>Paid-In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Retained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Accumulated</w:t>
              <w:br/>
              <w:t>Other</w:t>
              <w:br/>
              <w:t>Comprehensive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Non- 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Series B</w:t>
              <w:br/>
              <w:t>Preferred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Series B-2</w:t>
              <w:br/>
              <w:t>Preferred</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Stock</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October 31, 2022</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17,684,315 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(7,908)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181,054 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Dividends Common ($0.075 per share)</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Dividends Series B ($2.19 per share)</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Dividends Series B-2 ($10 per share)</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 compensation</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146,289 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Noncontrolling interest adjustment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income, net of tax</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January 31, 2023</w:t>
            </w:r>
          </w:p>
        </w:tc>
        <w:tc>
          <w:tcPr>
            <w:tcW w:w="97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17,830,604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166,232 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29,669 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(3,961)</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(3,493)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11,434 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200,059 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9,331 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(UNAUDITED)</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8372" w:type="dxa"/>
        <w:jc w:val="left"/>
        <w:tblInd w:w="0" w:type="dxa"/>
        <w:tblLayout w:type="fixed"/>
        <w:tblCellMar>
          <w:top w:w="28" w:type="dxa"/>
          <w:left w:w="28" w:type="dxa"/>
          <w:bottom w:w="28" w:type="dxa"/>
          <w:right w:w="28" w:type="dxa"/>
        </w:tblCellMar>
      </w:tblPr>
      <w:tblGrid>
        <w:gridCol w:w="2134"/>
        <w:gridCol w:w="1877"/>
        <w:gridCol w:w="1884"/>
        <w:gridCol w:w="196"/>
        <w:gridCol w:w="631"/>
        <w:gridCol w:w="109"/>
        <w:gridCol w:w="109"/>
        <w:gridCol w:w="109"/>
        <w:gridCol w:w="109"/>
        <w:gridCol w:w="196"/>
        <w:gridCol w:w="646"/>
        <w:gridCol w:w="109"/>
        <w:gridCol w:w="109"/>
        <w:gridCol w:w="154"/>
      </w:tblGrid>
      <w:tr>
        <w:trPr/>
        <w:tc>
          <w:tcPr>
            <w:tcW w:w="213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1" w:type="dxa"/>
            <w:gridSpan w:val="8"/>
            <w:tcBorders/>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January 31,</w:t>
            </w:r>
          </w:p>
        </w:tc>
        <w:tc>
          <w:tcPr>
            <w:tcW w:w="263" w:type="dxa"/>
            <w:gridSpan w:val="2"/>
            <w:tcBorders/>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income to net cash used in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disposal of assets,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lease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earnings of investments,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and receivables/other from related parties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Cultural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growers and suppliers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 and payables to related parties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proceeds from sales of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proceeds from sale of real estate development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distribution from Trapani Fresh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Collection on notes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investment contributions and capitalized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 mutual water companies and water rights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investing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 of long-term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long-term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paid on finance leases and equipment financings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 – common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 – preferred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Exchange of common stock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increase in cash</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at beginning of period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at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(UNAUDITED) (CONTINUED)</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7066" w:type="dxa"/>
        <w:jc w:val="center"/>
        <w:tblInd w:w="0" w:type="dxa"/>
        <w:tblLayout w:type="fixed"/>
        <w:tblCellMar>
          <w:top w:w="28" w:type="dxa"/>
          <w:left w:w="28" w:type="dxa"/>
          <w:bottom w:w="28" w:type="dxa"/>
          <w:right w:w="28" w:type="dxa"/>
        </w:tblCellMar>
      </w:tblPr>
      <w:tblGrid>
        <w:gridCol w:w="1772"/>
        <w:gridCol w:w="1554"/>
        <w:gridCol w:w="1563"/>
        <w:gridCol w:w="196"/>
        <w:gridCol w:w="421"/>
        <w:gridCol w:w="109"/>
        <w:gridCol w:w="109"/>
        <w:gridCol w:w="109"/>
        <w:gridCol w:w="109"/>
        <w:gridCol w:w="196"/>
        <w:gridCol w:w="556"/>
        <w:gridCol w:w="109"/>
        <w:gridCol w:w="109"/>
        <w:gridCol w:w="154"/>
      </w:tblGrid>
      <w:tr>
        <w:trPr/>
        <w:tc>
          <w:tcPr>
            <w:tcW w:w="1772"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451" w:type="dxa"/>
            <w:gridSpan w:val="8"/>
            <w:tcBorders/>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January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Supplemental disclosures of cash flow information</w:t>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Cash paid during the period for interest (net of amounts capitalized)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Cash paid during the period for income taxes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Non-cash investing and financing activities:</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 accrued but not paid at period-end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contribution obligation of investment in water company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 Organization and Basis of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Limoneira Company (together with its consolidated subsidiaries, the “Company”) engages primarily in growing citrus and avocados, harvesting citrus, and packing, marketing and selling citrus. The Company is also engaged in residential rentals and other rental operations and real estate development activities.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markets and sells citrus directly to food service, wholesale and retail customers throughout the United States, Canada, Asia, Australia and other international markets. Through fiscal year 2023, the Company was a member of Sunkist Growers, Inc., an agricultural marketing cooperative, and sold a portion of its oranges, specialty citrus and other crops to Sunkist-licensed and other third-party packinghouses.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Basis of Presentation and Preparation</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interim consolidated financial statements include the accounts of the Company and the accounts of all the subsidiaries and investments in which the Company holds a controlling interest. Intercompany balances and transactions have been eliminated in consolidation. In the opinion of the Company, the unaudited interim consolidated financial statements reflect all adjustments, which are normal and recurring in nature, necessary for fair financial statement presentation. The preparation of these unaudited interim consolidated financial statements and accompanying notes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information and footnote disclosures normally included in the annual consolidated financial statements have been condensed or omitted pursuant to the rules and regulations of the SEC. Because the consolidated financial statements do not include all of the information and notes required by GAAP for a complete set of consolidated financial statements, they should be read in conjunction with the audited consolidated financial statements and notes included in the Company’s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Comprehensive (Loss) Income</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Comprehensive (loss) income represents all changes in a company’s net assets, except changes resulting from transactions with stockholders. Other comprehensive income or loss includes foreign currency translation items and defined benefit pension items. Accumulated other comprehensive loss is reported as a component of the Company's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other comprehensive (loss) income by component (in thousands):</w:t>
      </w:r>
    </w:p>
    <w:tbl>
      <w:tblPr>
        <w:tblW w:w="10205" w:type="dxa"/>
        <w:jc w:val="left"/>
        <w:tblInd w:w="0" w:type="dxa"/>
        <w:tblLayout w:type="fixed"/>
        <w:tblCellMar>
          <w:top w:w="28" w:type="dxa"/>
          <w:left w:w="28" w:type="dxa"/>
          <w:bottom w:w="28" w:type="dxa"/>
          <w:right w:w="28" w:type="dxa"/>
        </w:tblCellMar>
      </w:tblPr>
      <w:tblGrid>
        <w:gridCol w:w="1052"/>
        <w:gridCol w:w="753"/>
        <w:gridCol w:w="755"/>
        <w:gridCol w:w="237"/>
        <w:gridCol w:w="567"/>
        <w:gridCol w:w="132"/>
        <w:gridCol w:w="109"/>
        <w:gridCol w:w="109"/>
        <w:gridCol w:w="109"/>
        <w:gridCol w:w="307"/>
        <w:gridCol w:w="639"/>
        <w:gridCol w:w="172"/>
        <w:gridCol w:w="109"/>
        <w:gridCol w:w="109"/>
        <w:gridCol w:w="109"/>
        <w:gridCol w:w="215"/>
        <w:gridCol w:w="512"/>
        <w:gridCol w:w="120"/>
        <w:gridCol w:w="109"/>
        <w:gridCol w:w="109"/>
        <w:gridCol w:w="109"/>
        <w:gridCol w:w="230"/>
        <w:gridCol w:w="654"/>
        <w:gridCol w:w="128"/>
        <w:gridCol w:w="109"/>
        <w:gridCol w:w="109"/>
        <w:gridCol w:w="109"/>
        <w:gridCol w:w="292"/>
        <w:gridCol w:w="663"/>
        <w:gridCol w:w="163"/>
        <w:gridCol w:w="109"/>
        <w:gridCol w:w="109"/>
        <w:gridCol w:w="109"/>
        <w:gridCol w:w="209"/>
        <w:gridCol w:w="595"/>
        <w:gridCol w:w="175"/>
      </w:tblGrid>
      <w:tr>
        <w:trPr/>
        <w:tc>
          <w:tcPr>
            <w:tcW w:w="105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January 31,</w:t>
            </w:r>
          </w:p>
        </w:tc>
      </w:tr>
      <w:tr>
        <w:trPr/>
        <w:tc>
          <w:tcPr>
            <w:tcW w:w="2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Pre-tax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Tax Benefit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Pre-tax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Tax Benefit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Amount</w:t>
            </w:r>
          </w:p>
        </w:tc>
      </w:tr>
      <w:tr>
        <w:trPr/>
        <w:tc>
          <w:tcPr>
            <w:tcW w:w="2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Minimum pension liability adjustments: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income before reclassifications</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reclassified to earnings included in “Other income (expense), net”</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income</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4,568 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3,947 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288" w:before="0" w:after="32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(UNAUDITED)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Comprehensive (Loss) Income (continued)</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accumulated other comprehensive loss by component (in thousands):</w:t>
      </w:r>
    </w:p>
    <w:tbl>
      <w:tblPr>
        <w:tblW w:w="10205" w:type="dxa"/>
        <w:jc w:val="left"/>
        <w:tblInd w:w="0" w:type="dxa"/>
        <w:tblLayout w:type="fixed"/>
        <w:tblCellMar>
          <w:top w:w="28" w:type="dxa"/>
          <w:left w:w="28" w:type="dxa"/>
          <w:bottom w:w="28" w:type="dxa"/>
          <w:right w:w="28" w:type="dxa"/>
        </w:tblCellMar>
      </w:tblPr>
      <w:tblGrid>
        <w:gridCol w:w="765"/>
        <w:gridCol w:w="587"/>
        <w:gridCol w:w="589"/>
        <w:gridCol w:w="549"/>
        <w:gridCol w:w="1602"/>
        <w:gridCol w:w="308"/>
        <w:gridCol w:w="109"/>
        <w:gridCol w:w="109"/>
        <w:gridCol w:w="109"/>
        <w:gridCol w:w="552"/>
        <w:gridCol w:w="1145"/>
        <w:gridCol w:w="307"/>
        <w:gridCol w:w="109"/>
        <w:gridCol w:w="109"/>
        <w:gridCol w:w="109"/>
        <w:gridCol w:w="109"/>
        <w:gridCol w:w="109"/>
        <w:gridCol w:w="621"/>
        <w:gridCol w:w="1812"/>
        <w:gridCol w:w="496"/>
      </w:tblGrid>
      <w:tr>
        <w:trPr/>
        <w:tc>
          <w:tcPr>
            <w:tcW w:w="76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19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Foreign Currency Translation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Defined Benefit Pension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Loss</w:t>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October 31, 2023</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(5,666)</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(5,666)</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2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January 31, 2024</w:t>
            </w:r>
          </w:p>
        </w:tc>
        <w:tc>
          <w:tcPr>
            <w:tcW w:w="5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(6,133)</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(6,133)</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79"/>
        <w:gridCol w:w="566"/>
        <w:gridCol w:w="568"/>
        <w:gridCol w:w="606"/>
        <w:gridCol w:w="1767"/>
        <w:gridCol w:w="339"/>
        <w:gridCol w:w="109"/>
        <w:gridCol w:w="109"/>
        <w:gridCol w:w="109"/>
        <w:gridCol w:w="407"/>
        <w:gridCol w:w="1294"/>
        <w:gridCol w:w="225"/>
        <w:gridCol w:w="109"/>
        <w:gridCol w:w="109"/>
        <w:gridCol w:w="109"/>
        <w:gridCol w:w="109"/>
        <w:gridCol w:w="109"/>
        <w:gridCol w:w="589"/>
        <w:gridCol w:w="1720"/>
        <w:gridCol w:w="473"/>
      </w:tblGrid>
      <w:tr>
        <w:trPr/>
        <w:tc>
          <w:tcPr>
            <w:tcW w:w="77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9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Foreign Currency Translation (Loss) 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Defined Benefit Pension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Loss</w:t>
            </w:r>
          </w:p>
        </w:tc>
      </w:tr>
      <w:tr>
        <w:trPr/>
        <w:tc>
          <w:tcPr>
            <w:tcW w:w="1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October 31, 2022</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(6,184)</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(1,724)</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(7,908)</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2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2,223 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3,947 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January 31, 2023</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(3,961)</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(3,961)</w:t>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COVID-19 Pandemic</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decline in demand for the Company's products as a result of the COVID-19 pandemic negatively impacted the Company's sales and profitability beginning in the second quarter of fiscal year 2020. The export market for fresh produce continues to experience decreased demand and the COVID-19 pandemic may continue to impact the Company's sales and profitability in future periods. The duration of these trends and the magnitude of such impacts are uncertain and therefore cannot be estimated at this time, as they are influenced by a number of factors, many of which are outside management’s control.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Financial Accounting Standards Board (“FASB”) Accounting Standards Update (“ASU”) 2023-07, Segment Reporting (Topic 280): Improvements to Reportable Segment Disclosures</w:t>
      </w:r>
    </w:p>
    <w:p>
      <w:pPr>
        <w:pStyle w:val="TextBody"/>
        <w:bidi w:val="0"/>
        <w:spacing w:lineRule="auto" w:line="256"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ASU 2023-07 is intended to improve reportable segment disclosure requirements primarily through enhanced disclosures about significant segment expenses, the chief operating decision maker (“CODM”), and how the CODM uses the reported measure(s) of segment profit or loss. This amendment also requires that a public entity provide all annual disclosures about a reportable segment’s profit or loss and assets currently required by FASB Accounting Standards Codification Topic 280, Segment Reporting, in interim periods.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ASU is effective for fiscal years beginning after December 15, 2023, and interim periods within fiscal years beginning after December 15, 2024. Early adoption is permitted. A public entity should apply the amendments retrospectively to all prior periods presented in the financial statements. The Company is currently evaluating the impact of this guidance on its consolidated financial statements.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ASU 2023-09, Income Taxes (Topic 740): Improvements to Income Tax Disclosures</w:t>
      </w:r>
    </w:p>
    <w:p>
      <w:pPr>
        <w:pStyle w:val="TextBody"/>
        <w:bidi w:val="0"/>
        <w:spacing w:lineRule="auto" w:line="256"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ASU 2023-09 requires disaggregated information about a reporting entity’s effective tax rate reconciliation as well as information on income taxes paid. The ASU is effective for public business entities with annual periods beginning after December 15, 2024, with early adoption permitted. The Company is currently evaluating the impact of this guidance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Concentrations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Concentrations of credit risk with respect to revenues and accounts receivable are limited due to a large, diverse customer base. One individual customer represented 13% of revenue for the three months ended January 31, 2024. Three individual customers represented 19%, 16% and 11% of accounts receivable, net as of January 31, 2024.</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One individual supplier represented 15% of accounts payable as of January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288" w:before="0" w:after="32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(UNAUDITED)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Concentrations (continued)</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Lemons procured from third-party growers were 84% and 66% of the Company's lemon supply for the three months ended January 31, 2024 and 2023, respectively. One third-party grower was 19% of the lemon supply for the three months ended January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its cash in federally insured financial institutions. The account balances at these institutions periodically exceed Federal Deposit Insurance Corporation (“FDIC”) insurance coverage and, as a result, there is a concentration of risk related to amounts on deposit in excess of FDIC insurance coverage.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3. Asset Sales and Disposals</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Northern Properties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2022, the Company entered into a Purchase and Sale Agreement, as amended, (the “Agreement”) with PGIM Real Estate Finance, LLC (“PGIM”) to sell 3,537 acres of land and citrus orchards in Tulare County, California (the “Northern Properties”) for a purchase price of approximately $100,405,000. On January 25, 2023, the Board approved the Agreement creating a binding agreement of the Company to sell the Northern Properties and the transaction closed on January 31, 2023. During the quarter ended April 30, 2023, the purchase price was decreased by $397,000 for reimbursement of certain cultural costs and prepaid expenses, resulting in a final purchase price of $100,008,000. After transaction costs the Company received net proceeds of $98,411,000.</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transaction (in thousands):</w:t>
      </w:r>
    </w:p>
    <w:tbl>
      <w:tblPr>
        <w:tblW w:w="4761" w:type="dxa"/>
        <w:jc w:val="left"/>
        <w:tblInd w:w="0" w:type="dxa"/>
        <w:tblLayout w:type="fixed"/>
        <w:tblCellMar>
          <w:top w:w="28" w:type="dxa"/>
          <w:left w:w="28" w:type="dxa"/>
          <w:bottom w:w="28" w:type="dxa"/>
          <w:right w:w="28" w:type="dxa"/>
        </w:tblCellMar>
      </w:tblPr>
      <w:tblGrid>
        <w:gridCol w:w="1328"/>
        <w:gridCol w:w="1171"/>
        <w:gridCol w:w="1176"/>
        <w:gridCol w:w="211"/>
        <w:gridCol w:w="721"/>
        <w:gridCol w:w="154"/>
      </w:tblGrid>
      <w:tr>
        <w:trPr/>
        <w:tc>
          <w:tcPr>
            <w:tcW w:w="1328"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proceeds received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directly repaid through the transaction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proceeds received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book value of assets sold</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Cultural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disposal of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proceeds were used to pay down all of the Company’s domestic debt except the AgWest Farm Credit $40,000,000 non-revolving line of credit.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31, 2023, the Company entered into a Farm Management Agreement (“FMA”) with an affiliate of PGIM to provide farming, management and operations services related to the Northern Properties. The FMA has an initial term expiring March 31, 2024, and thereafter continuing from year to year unless earlier terminated under the terms of the FMA. Further, on January 31, 2023, the Company entered into a Grower Packing and Marketing Agreement to provide packing, marketing and selling services for lemons harvested on the Northern Properties for a minimum five-year term, subject to certain benchmarking standards.</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Yuma Property</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Company sold 12 acres of real property located in Yuma, Arizona for a sales price of $775,000. After transaction and closing costs, the Company recorded a gain on disposal of assets of approximately $187,000 during the quarter ended January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both"/>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288" w:before="0" w:after="32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(UNAUDITED)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4. Prepaid Expenses and Other Current Assets</w:t>
      </w:r>
    </w:p>
    <w:p>
      <w:pPr>
        <w:pStyle w:val="TextBody"/>
        <w:bidi w:val="0"/>
        <w:spacing w:lineRule="auto" w:line="288" w:before="0" w:after="40"/>
        <w:jc w:val="both"/>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 of the following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147" w:type="dxa"/>
        <w:jc w:val="left"/>
        <w:tblInd w:w="0" w:type="dxa"/>
        <w:tblLayout w:type="fixed"/>
        <w:tblCellMar>
          <w:top w:w="28" w:type="dxa"/>
          <w:left w:w="28" w:type="dxa"/>
          <w:bottom w:w="28" w:type="dxa"/>
          <w:right w:w="28" w:type="dxa"/>
        </w:tblCellMar>
      </w:tblPr>
      <w:tblGrid>
        <w:gridCol w:w="950"/>
        <w:gridCol w:w="836"/>
        <w:gridCol w:w="839"/>
        <w:gridCol w:w="358"/>
        <w:gridCol w:w="1047"/>
        <w:gridCol w:w="185"/>
        <w:gridCol w:w="109"/>
        <w:gridCol w:w="109"/>
        <w:gridCol w:w="109"/>
        <w:gridCol w:w="345"/>
        <w:gridCol w:w="1008"/>
        <w:gridCol w:w="252"/>
      </w:tblGrid>
      <w:tr>
        <w:trPr/>
        <w:tc>
          <w:tcPr>
            <w:tcW w:w="95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October 31, 2023</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supplies and insurance</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for sale</w:t>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tax receivable</w:t>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receivable</w:t>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Lemon supplier advances</w:t>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5,492 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5,588 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5. Real Estate Development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Real estate development assets are comprised primarily of land and land development costs for the East Area II property in the amount of $9,980,000 and $9,987,000 as of January 31, 2024 and October 31,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East Area I, Retained Property and East Area II</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fiscal year 2005, the Company began capitalizing the costs of two real estate development projects east of Santa Paula, California, for the development of 550 acres of land into residential units, commercial buildings and civic facilities. In November 2015 (the “Transaction Date”), the Company entered into a joint venture with The Lewis Group of Companies (“Lewis”) for the residential development of its East Area I real estate development project. To consummate the transaction, the Company formed Limoneira Lewis Community Builders, LLC (“LLCB”) as the development entity, contributed its East Area I property to LLCB, and sold a 50% interest to Lewis for $20,000,000.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LLCB also entered into a Retained Property Development Agreement on the Transaction Date (the “Retained Property Agreement”). Under the terms of the Retained Property Agreement, LLCB transferred certain contributed East Area I property, which is entitled for commercial development, back to the Company (the “Retained Property”) and arranged for the design and construction of certain improvements to the Retained Property and East Area II, subject to certain reimbursements by the Company. The balance in East Area II includes estimated costs incurred by and reimbursable to LLCB of $3,444,000 as of January 31, 2024 and October 31, 2023, which is included in payables to related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2018, LLCB entered into a $45,000,000 unsecured Line of Credit Loan Agreement and Promissory Note (the “Loan”) with Bank of America, N.A. to fund early development activities. Effective as of February 22, 2023, the Loan maturity date was extended to February 22, 2024, and the maximum borrowing amount was reduced to $35,000,000. As of February 1, 2023, the interest rate on the Loan transitioned from the London Interbank Offered Rate (“LIBOR”) to the Bloomberg Short-Term Bank Yield Index rate (“BSBY”) plus 2.85% and is payable monthly. Effective as of February 22, 2024, the loan maturity date was extended to August 22, 2024 and the interest rate transitioned from the BSBY to the Secured Overnight Financing Rate ("SOFR") plus 2.85%. The Loan contains certain customary default provisions and LLCB may prepay any amounts outstanding under the Loan without penalty. The Loan had no outstanding balance as of January 31, 2024.</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2018, the Company and certain principals from Lewis guaranteed the obligations under the Loan. The guarantors are jointly and severally liable for all Loan obligations in the event of default by LLCB. The guarantee continues in effect until all of the Loan obligations are fully paid and the Loan terminates. The $1,080,000 estimated value of the guarantee was recorded in the Company’s consolidated balance sheets and is included in other long-term liabilities with a corresponding value in equity in investments. Additionally, a Reimbursement Agreement was executed between the Lewis guarantors and the Company, which provides for unpaid liabilities of LLCB to be shared pro-rata by the Lewis guarantors and the Company in proportion to their percentage interest in LLCB.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(UNAUDITED)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5. Real Estate Development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East Area I, Retained Property and East Area II (continued)</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2022, the Company entered into a joint venture with Lewis for the development of the Retained Property. The Company formed LLCB II, LLC (“LLCB II”) as the development entity, contributed the Retained Property to the joint venture and sold a 50% interest to Lewis for $7,975,000. The Company recorded a deferred gain of $465,000 on the transaction, which is included in other long-term liabilities as of January 31, 2024 and October 31, 2023. The joint venture partners will share in the capital contributions to fund project costs until loan proceeds and/or revenues are sufficient to fund the project. The Company made contributions of $200,000 and $275,000 to LLCB II during the three months ended January 31,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Through January 31, 2024, LLCB has closed on lot sales representing 707 residential units since inception.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Other Real Estate Development Projects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fiscal year 2020, the Company entered into an agreement to sell its Sevilla property for $2,700,000, which closed in November 2022. After transaction and other costs, the Company received cash proceeds of approximately $2,577,000 and recorded an immaterial loss on disposal of assets during the three months ended January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6. Equity in Investments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Equity in investments consist of the following (in thousands):</w:t>
      </w:r>
    </w:p>
    <w:tbl>
      <w:tblPr>
        <w:tblW w:w="7226" w:type="dxa"/>
        <w:jc w:val="left"/>
        <w:tblInd w:w="0" w:type="dxa"/>
        <w:tblLayout w:type="fixed"/>
        <w:tblCellMar>
          <w:top w:w="28" w:type="dxa"/>
          <w:left w:w="28" w:type="dxa"/>
          <w:bottom w:w="28" w:type="dxa"/>
          <w:right w:w="28" w:type="dxa"/>
        </w:tblCellMar>
      </w:tblPr>
      <w:tblGrid>
        <w:gridCol w:w="1342"/>
        <w:gridCol w:w="1180"/>
        <w:gridCol w:w="1183"/>
        <w:gridCol w:w="322"/>
        <w:gridCol w:w="1101"/>
        <w:gridCol w:w="166"/>
        <w:gridCol w:w="109"/>
        <w:gridCol w:w="109"/>
        <w:gridCol w:w="109"/>
        <w:gridCol w:w="312"/>
        <w:gridCol w:w="1066"/>
        <w:gridCol w:w="227"/>
      </w:tblGrid>
      <w:tr>
        <w:trPr/>
        <w:tc>
          <w:tcPr>
            <w:tcW w:w="134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October 31, 2023</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Limoneira Lewis Community Builders, LLC</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66,359 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66,288 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LLCB II, LLC</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8,869 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Limco Del Mar, Ltd.</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Rosales</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Romney Property Partnership</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79,057 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78,816 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Unconsolidated Significant Subsidiary</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Rule 10-01(b)(1) of Regulation S-X, which applies to interim reports on Form 10-Q, the Company must determine if its equity method investees are considered “significant subsidiaries.” In evaluating its investments, there are two tests utilized to determine if equity method investees are considered significant subsidiaries: the income test and the investment test. Summarized income statement information of an equity method investee is required in an interim report if either of the two tests exceed 20% in the interim periods presented. During the year-to-date interim periods for the three months ended January 31, 2024, this threshold was met for LLCB and thus summarized income statement information is presented in this Quarterly Report on Form 10-Q.</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unaudited summarized financial information for LLCB (in thousands):</w:t>
      </w:r>
    </w:p>
    <w:tbl>
      <w:tblPr>
        <w:tblW w:w="6956" w:type="dxa"/>
        <w:jc w:val="left"/>
        <w:tblInd w:w="0" w:type="dxa"/>
        <w:tblLayout w:type="fixed"/>
        <w:tblCellMar>
          <w:top w:w="28" w:type="dxa"/>
          <w:left w:w="28" w:type="dxa"/>
          <w:bottom w:w="28" w:type="dxa"/>
          <w:right w:w="28" w:type="dxa"/>
        </w:tblCellMar>
      </w:tblPr>
      <w:tblGrid>
        <w:gridCol w:w="1442"/>
        <w:gridCol w:w="1260"/>
        <w:gridCol w:w="1272"/>
        <w:gridCol w:w="324"/>
        <w:gridCol w:w="715"/>
        <w:gridCol w:w="167"/>
        <w:gridCol w:w="167"/>
        <w:gridCol w:w="167"/>
        <w:gridCol w:w="167"/>
        <w:gridCol w:w="324"/>
        <w:gridCol w:w="715"/>
        <w:gridCol w:w="236"/>
      </w:tblGrid>
      <w:tr>
        <w:trPr/>
        <w:tc>
          <w:tcPr>
            <w:tcW w:w="1442"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January 31,</w:t>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 of land sold</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Limoneira Company</w:t>
            </w:r>
          </w:p>
        </w:tc>
        <w:tc>
          <w:tcPr>
            <w:tcW w:w="32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6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(UNAUDITED)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7. Goodwill and Intangible Assets,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change in the carrying amount of goodwill is as follows (in thousands):</w:t>
      </w:r>
    </w:p>
    <w:tbl>
      <w:tblPr>
        <w:tblW w:w="5849" w:type="dxa"/>
        <w:jc w:val="center"/>
        <w:tblInd w:w="0" w:type="dxa"/>
        <w:tblLayout w:type="fixed"/>
        <w:tblCellMar>
          <w:top w:w="28" w:type="dxa"/>
          <w:left w:w="28" w:type="dxa"/>
          <w:bottom w:w="28" w:type="dxa"/>
          <w:right w:w="28" w:type="dxa"/>
        </w:tblCellMar>
      </w:tblPr>
      <w:tblGrid>
        <w:gridCol w:w="1217"/>
        <w:gridCol w:w="1066"/>
        <w:gridCol w:w="1076"/>
        <w:gridCol w:w="535"/>
        <w:gridCol w:w="1564"/>
        <w:gridCol w:w="391"/>
      </w:tblGrid>
      <w:tr>
        <w:trPr/>
        <w:tc>
          <w:tcPr>
            <w:tcW w:w="1217"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Goodwill Carrying Amount</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October 31, 2023</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2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31, 2024</w:t>
            </w:r>
          </w:p>
        </w:tc>
        <w:tc>
          <w:tcPr>
            <w:tcW w:w="5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1,508 </w:t>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Goodwill is tested for impairment on an annual basis or when an event or changes in circumstances indicate that its carrying value may not be recoverable. There have been no impairment charges recorded against goodwill as of January 31, 2024.</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 of the following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1498" w:type="dxa"/>
        <w:jc w:val="left"/>
        <w:tblInd w:w="0" w:type="dxa"/>
        <w:tblLayout w:type="fixed"/>
        <w:tblCellMar>
          <w:top w:w="28" w:type="dxa"/>
          <w:left w:w="28" w:type="dxa"/>
          <w:bottom w:w="28" w:type="dxa"/>
          <w:right w:w="28" w:type="dxa"/>
        </w:tblCellMar>
      </w:tblPr>
      <w:tblGrid>
        <w:gridCol w:w="874"/>
        <w:gridCol w:w="320"/>
        <w:gridCol w:w="322"/>
        <w:gridCol w:w="211"/>
        <w:gridCol w:w="616"/>
        <w:gridCol w:w="109"/>
        <w:gridCol w:w="109"/>
        <w:gridCol w:w="109"/>
        <w:gridCol w:w="109"/>
        <w:gridCol w:w="239"/>
        <w:gridCol w:w="717"/>
        <w:gridCol w:w="125"/>
        <w:gridCol w:w="109"/>
        <w:gridCol w:w="109"/>
        <w:gridCol w:w="109"/>
        <w:gridCol w:w="211"/>
        <w:gridCol w:w="616"/>
        <w:gridCol w:w="109"/>
        <w:gridCol w:w="109"/>
        <w:gridCol w:w="109"/>
        <w:gridCol w:w="109"/>
        <w:gridCol w:w="265"/>
        <w:gridCol w:w="265"/>
        <w:gridCol w:w="266"/>
        <w:gridCol w:w="109"/>
        <w:gridCol w:w="109"/>
        <w:gridCol w:w="109"/>
        <w:gridCol w:w="211"/>
        <w:gridCol w:w="721"/>
        <w:gridCol w:w="109"/>
        <w:gridCol w:w="109"/>
        <w:gridCol w:w="109"/>
        <w:gridCol w:w="109"/>
        <w:gridCol w:w="239"/>
        <w:gridCol w:w="717"/>
        <w:gridCol w:w="125"/>
        <w:gridCol w:w="109"/>
        <w:gridCol w:w="109"/>
        <w:gridCol w:w="109"/>
        <w:gridCol w:w="211"/>
        <w:gridCol w:w="616"/>
        <w:gridCol w:w="109"/>
        <w:gridCol w:w="109"/>
        <w:gridCol w:w="109"/>
        <w:gridCol w:w="109"/>
        <w:gridCol w:w="291"/>
        <w:gridCol w:w="246"/>
        <w:gridCol w:w="349"/>
      </w:tblGrid>
      <w:tr>
        <w:trPr/>
        <w:tc>
          <w:tcPr>
            <w:tcW w:w="87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7638" w:type="dxa"/>
            <w:gridSpan w:val="36"/>
            <w:tcBorders/>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October 31, 2023</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Useful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Useful Life in Years</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and trademarks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Non-competition agreement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water and mineral rights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Indefinite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6"/>
              </w:rPr>
              <w:t xml:space="preserve">Indefinite </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(3,347)</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totaled $179,000 and $197,000 for the three months ended January 31, 2024 and 2023, respectively.</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Estimated future amortization expense of intangible assets as of January 31, 2024 is as follows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560" w:type="dxa"/>
        <w:jc w:val="center"/>
        <w:tblInd w:w="0" w:type="dxa"/>
        <w:tblLayout w:type="fixed"/>
        <w:tblCellMar>
          <w:top w:w="28" w:type="dxa"/>
          <w:left w:w="28" w:type="dxa"/>
          <w:bottom w:w="28" w:type="dxa"/>
          <w:right w:w="28" w:type="dxa"/>
        </w:tblCellMar>
      </w:tblPr>
      <w:tblGrid>
        <w:gridCol w:w="933"/>
        <w:gridCol w:w="820"/>
        <w:gridCol w:w="826"/>
        <w:gridCol w:w="211"/>
        <w:gridCol w:w="616"/>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(remaining nine months)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8. Other Assets</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Investments in Mutual Water Companies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investments in various not-for-profit mutual water companies provide it with the right to receive a proportionate share of water from each of the not-for-profit mutual water companies that have been invested in and do not constitute voting shares and/or rights. In January 2023, the Company sold an investment in a mutual water company with a net book value of $1,320,000 as part of the Northern Properties sale described in Note 3 - Asset Sales and Disposals. Amounts included in other assets in the consolidated balance sheets as of January 31, 2024 and October 31, 2023 were $6,168,000 and $5,703,000, respectively.</w:t>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(UNAUDITED)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9. Accrued Liabilities</w:t>
      </w:r>
    </w:p>
    <w:p>
      <w:pPr>
        <w:pStyle w:val="TextBody"/>
        <w:bidi w:val="0"/>
        <w:spacing w:lineRule="auto" w:line="240"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Accrued liabilities consist of the following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232" w:type="dxa"/>
        <w:jc w:val="left"/>
        <w:tblInd w:w="0" w:type="dxa"/>
        <w:tblLayout w:type="fixed"/>
        <w:tblCellMar>
          <w:top w:w="28" w:type="dxa"/>
          <w:left w:w="28" w:type="dxa"/>
          <w:bottom w:w="28" w:type="dxa"/>
          <w:right w:w="28" w:type="dxa"/>
        </w:tblCellMar>
      </w:tblPr>
      <w:tblGrid>
        <w:gridCol w:w="619"/>
        <w:gridCol w:w="545"/>
        <w:gridCol w:w="546"/>
        <w:gridCol w:w="358"/>
        <w:gridCol w:w="1047"/>
        <w:gridCol w:w="185"/>
        <w:gridCol w:w="109"/>
        <w:gridCol w:w="109"/>
        <w:gridCol w:w="109"/>
        <w:gridCol w:w="345"/>
        <w:gridCol w:w="1008"/>
        <w:gridCol w:w="252"/>
      </w:tblGrid>
      <w:tr>
        <w:trPr/>
        <w:tc>
          <w:tcPr>
            <w:tcW w:w="6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October 31, 2023</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taxes</w:t>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Leases</w:t>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8,084 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8,651 </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10. Long-Term Debt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Long-term debt is comprised of the following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738"/>
        <w:gridCol w:w="2405"/>
        <w:gridCol w:w="2411"/>
        <w:gridCol w:w="231"/>
        <w:gridCol w:w="790"/>
        <w:gridCol w:w="119"/>
        <w:gridCol w:w="109"/>
        <w:gridCol w:w="109"/>
        <w:gridCol w:w="109"/>
        <w:gridCol w:w="229"/>
        <w:gridCol w:w="784"/>
        <w:gridCol w:w="171"/>
      </w:tblGrid>
      <w:tr>
        <w:trPr/>
        <w:tc>
          <w:tcPr>
            <w:tcW w:w="2738"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554"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75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October 31, 2023</w:t>
            </w:r>
          </w:p>
        </w:tc>
      </w:tr>
      <w:tr>
        <w:trPr/>
        <w:tc>
          <w:tcPr>
            <w:tcW w:w="7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AgWest Farm Credit revolving and non-revolving lines of credit: the interest rate of the revolving line of credit is variable based on the one-month SOFR, which was 5.35% at January 31, 2024, plus 1.78%. The interest rate for the $40.0 million outstanding balance of the non-revolving line of credit is fixed at 3.57% through July 1, 2025 and variable thereafter. Interest is payable monthly and the principal is due in full on July 1, 2026.</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51,288 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4"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7554"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7554"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7554"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7554"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7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Banco de Chile term loan: The interest rate is fixed at 6.48%. The loan is payable in annual installments through January 2025.</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Banco de Chile COVID-19 loans: The interest rates are fixed at 3.48%. The loans are payable in monthly installments through September 2024.</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Banco de Chile COVID-19 loans: The interest rates are fixed at 3.48% and 4.26%. The loans are payable in monthly installments through September 2026.</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4"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7554"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7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52,081 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41,009 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less current portion</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51,413 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40,628 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a Master Loan Agreement (the “MLA”) with AgWest Farm Credit, formerly known as Farm Credit West, (the “Lender”) dated June 1, 2021, together with a revolving credit facility supplement (the “Revolving Credit Supplement”), a non-revolving credit facility supplement (the “Non-Revolving Credit Supplement,” and together with the Revolving Credit Supplement, the “Supplements”) and an agreement to convert to a fixed interest rate for a period of time as described in the table above (“Fixed Interest Rate Agreement”). The MLA governs the terms of the Supplements.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2020, the Company entered into a revolving equity line of credit promissory note and loan agreement with the Lender for a $15,000,000 Revolving Equity Line of Credit (the “RELOC”) secured by a first lien on the Windfall Investors, LLC property. The RELOC featured a 3-year draw period followed by 20 years of fully amortized loan payments. On March 31, 2023, the draw period expired and the RELOC was closed as there was no balance outstanding.</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Supplements provide aggregate borrowing capacity of $115,000,000 comprised of $75,000,000 under the Revolving Credit Supplement, and $40,000,000 under the Non-Revolving Credit Supplement. As of January 31, 2024, the Company's outstanding borrowings under the Supplements were $51,288,000 and it had $63,712,000 available to borrow.</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2023, the Company used the proceeds from the Northern Properties sale as described in Note 3 - Asset Sales and Disposals to reduce the Company's long-term debt.</w:t>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(UNAUDITED)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10. Long-Term Debt (continued)</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interest rate in effect under the Revolving Credit Supplement automatically adjusts on the first day of each month. The interest rate for any amount outstanding under the Revolving Credit Supplement was based on the one-month LIBOR plus or minus an applicable margin. As of January 1, 2023, the rate transitioned from LIBOR to SOFR. The applicable margin ranges from 1.68% to 2.28% depending on the ratio of current assets, plus the remaining available commitment divided by current liabilities. On each anniversary of July 1, the Company has the option to convert the interest rate in use under the Revolving Credit Supplement from the preceding SOFR-based calculation to a variable interest rate. The Company may prepay any amounts outstanding under the Revolving Credit Supplement without penalty.</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interest rate in effect under the Non-Revolving Credit Supplement is a fixed interest rate of 3.57% per year until July 1, 2025 (the “Fixed Rate Term”). Thereafter, the interest rate will convert to a variable interest rate established by the Lender corresponding to the applicable interest rate group. The Company may not prepay any amounts under the outstanding Non-Revolving Credit Supplement during the Fixed Rate Term. Thereafter, the Company may prepay any amounts outstanding under the Non-Revolving Credit Supplement, provided that a fee equal to 0.50% of the amount prepaid and any other cost or loss suffered by the Lender must be paid with any prepayment.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All indebtedness under the MLA, including any indebtedness under the Supplements, is secured by a first lien on Company-owned stock or participation certificates, Company funds maintained with the Lender, the Lender’s unallocated surplus, certain of the Company’s agricultural properties, certain of the Company’s building fixtures and improvements, and investments in mutual water companies associated with the pledged agricultural properties. The MLA includes customary default provisions. Should an event of default occur, the Lender, at its option, may declare all or any portion of the indebtedness under the MLA to be immediately due and payable without demand, notice of nonpayment, protest or prior recourse to collateral, and terminate or suspend the Company’s right to draw or request funds on any loan or line of credit.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MLA subjects the Company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the Company’s business. The Company is also subject to a financial covenant that requires it to maintain compliance with a specific debt service coverage ratio on an annual basis. In September 2023, the Lender modified the covenant to defer measurement as of October 31, 2023 and resume a debt service coverage ratio of 1.25:1.0 measured as of October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Lender declared an annual cash patronage dividend of 1.25% of average eligible loan balances and the Company received $300,000 in the second quarter of fiscal year 2024. In February 2023, the Lender declared an annual cash patronage dividend of 1.25% of average eligible loan balances and the Company received $1,413,000 in the second quarter of fiscal year 2023.</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Interest is capitalized on non-bearing orchards, real estate development projects and significant construction in progress. The Company capitalized interest of $56,000 and $347,000 during the three months ended January 31, 2024 and 2023, respectively. Capitalized interest is included in property, plant and equipment, real estate development assets and equity in investments in the Company’s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11. Other Long-Term Liabilities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consist of the following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901" w:type="dxa"/>
        <w:jc w:val="left"/>
        <w:tblInd w:w="0" w:type="dxa"/>
        <w:tblLayout w:type="fixed"/>
        <w:tblCellMar>
          <w:top w:w="28" w:type="dxa"/>
          <w:left w:w="28" w:type="dxa"/>
          <w:bottom w:w="28" w:type="dxa"/>
          <w:right w:w="28" w:type="dxa"/>
        </w:tblCellMar>
      </w:tblPr>
      <w:tblGrid>
        <w:gridCol w:w="500"/>
        <w:gridCol w:w="438"/>
        <w:gridCol w:w="441"/>
        <w:gridCol w:w="358"/>
        <w:gridCol w:w="1047"/>
        <w:gridCol w:w="185"/>
        <w:gridCol w:w="109"/>
        <w:gridCol w:w="109"/>
        <w:gridCol w:w="109"/>
        <w:gridCol w:w="345"/>
        <w:gridCol w:w="1008"/>
        <w:gridCol w:w="252"/>
      </w:tblGrid>
      <w:tr>
        <w:trPr/>
        <w:tc>
          <w:tcPr>
            <w:tcW w:w="500"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October 31, 2023</w:t>
            </w:r>
          </w:p>
        </w:tc>
      </w:tr>
      <w:tr>
        <w:trPr/>
        <w:tc>
          <w:tcPr>
            <w:tcW w:w="1379"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guarantee</w:t>
            </w:r>
          </w:p>
        </w:tc>
        <w:tc>
          <w:tcPr>
            <w:tcW w:w="14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Leases</w:t>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4,224 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4,555 </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12.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Lessor Arrangements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leasing transactions in which it rents certain of its assets and the Company is the lessor. These lease contracts are typically classified as operating leases with remaining terms ranging from one month to 19 years with various renewal terms available. All of the residential rentals have month-to-month lease terms.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(UNAUDITED)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12. Leases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Lessor Arrangements (continued)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rental operations revenue consists of the following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967" w:type="dxa"/>
        <w:jc w:val="center"/>
        <w:tblInd w:w="0" w:type="dxa"/>
        <w:tblLayout w:type="fixed"/>
        <w:tblCellMar>
          <w:top w:w="28" w:type="dxa"/>
          <w:left w:w="28" w:type="dxa"/>
          <w:bottom w:w="28" w:type="dxa"/>
          <w:right w:w="28" w:type="dxa"/>
        </w:tblCellMar>
      </w:tblPr>
      <w:tblGrid>
        <w:gridCol w:w="749"/>
        <w:gridCol w:w="658"/>
        <w:gridCol w:w="662"/>
        <w:gridCol w:w="109"/>
        <w:gridCol w:w="109"/>
        <w:gridCol w:w="109"/>
        <w:gridCol w:w="109"/>
        <w:gridCol w:w="211"/>
        <w:gridCol w:w="616"/>
        <w:gridCol w:w="109"/>
        <w:gridCol w:w="109"/>
        <w:gridCol w:w="109"/>
        <w:gridCol w:w="109"/>
        <w:gridCol w:w="211"/>
        <w:gridCol w:w="616"/>
        <w:gridCol w:w="109"/>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January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Lessee Arrangements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leasing transactions in which the Company is the lessee. These lease contracts are classified as either operating or finance leases. The Company’s lease contracts are generally for agricultural land and packinghouse facilities and equipment with remaining lease terms ranging from one to four years, with various term extensions available. Leases with an initial term of 12 months or less are not recorded on the balance sheet and the Company recognizes lease expense for these leases on a straight-line basis over the lease term. Lease costs are primarily included in agribusiness costs and expenses in the Company's consolidated statements of operations.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Lease costs consist of the following (in thousands):</w:t>
      </w:r>
    </w:p>
    <w:tbl>
      <w:tblPr>
        <w:tblW w:w="4314" w:type="dxa"/>
        <w:jc w:val="left"/>
        <w:tblInd w:w="0" w:type="dxa"/>
        <w:tblLayout w:type="fixed"/>
        <w:tblCellMar>
          <w:top w:w="28" w:type="dxa"/>
          <w:left w:w="28" w:type="dxa"/>
          <w:bottom w:w="28" w:type="dxa"/>
          <w:right w:w="28" w:type="dxa"/>
        </w:tblCellMar>
      </w:tblPr>
      <w:tblGrid>
        <w:gridCol w:w="857"/>
        <w:gridCol w:w="754"/>
        <w:gridCol w:w="759"/>
        <w:gridCol w:w="211"/>
        <w:gridCol w:w="466"/>
        <w:gridCol w:w="109"/>
        <w:gridCol w:w="109"/>
        <w:gridCol w:w="109"/>
        <w:gridCol w:w="109"/>
        <w:gridCol w:w="211"/>
        <w:gridCol w:w="466"/>
        <w:gridCol w:w="154"/>
      </w:tblGrid>
      <w:tr>
        <w:trPr/>
        <w:tc>
          <w:tcPr>
            <w:tcW w:w="85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January 31,</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costs:</w:t>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lease assets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costs</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leases consists of the following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263" w:type="dxa"/>
        <w:jc w:val="center"/>
        <w:tblInd w:w="0" w:type="dxa"/>
        <w:tblLayout w:type="fixed"/>
        <w:tblCellMar>
          <w:top w:w="28" w:type="dxa"/>
          <w:left w:w="28" w:type="dxa"/>
          <w:bottom w:w="28" w:type="dxa"/>
          <w:right w:w="28" w:type="dxa"/>
        </w:tblCellMar>
      </w:tblPr>
      <w:tblGrid>
        <w:gridCol w:w="1153"/>
        <w:gridCol w:w="1016"/>
        <w:gridCol w:w="1025"/>
        <w:gridCol w:w="739"/>
        <w:gridCol w:w="739"/>
        <w:gridCol w:w="742"/>
        <w:gridCol w:w="109"/>
        <w:gridCol w:w="109"/>
        <w:gridCol w:w="109"/>
        <w:gridCol w:w="358"/>
        <w:gridCol w:w="1047"/>
        <w:gridCol w:w="185"/>
        <w:gridCol w:w="109"/>
        <w:gridCol w:w="109"/>
        <w:gridCol w:w="109"/>
        <w:gridCol w:w="345"/>
        <w:gridCol w:w="1008"/>
        <w:gridCol w:w="252"/>
      </w:tblGrid>
      <w:tr>
        <w:trPr/>
        <w:tc>
          <w:tcPr>
            <w:tcW w:w="115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October 31, 2023</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2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ROU assets</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3,484 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assets</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4,533 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4,666 </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finance lease liabilities</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operating lease liabilities</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finance lease liabilities</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4,293 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4,466 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1932" w:type="dxa"/>
            <w:gridSpan w:val="6"/>
            <w:tcBorders/>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(UNAUDITED)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12. Leases (continued)</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leases consists of the following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026" w:type="dxa"/>
        <w:jc w:val="center"/>
        <w:tblInd w:w="0" w:type="dxa"/>
        <w:tblLayout w:type="fixed"/>
        <w:tblCellMar>
          <w:top w:w="28" w:type="dxa"/>
          <w:left w:w="28" w:type="dxa"/>
          <w:bottom w:w="28" w:type="dxa"/>
          <w:right w:w="28" w:type="dxa"/>
        </w:tblCellMar>
      </w:tblPr>
      <w:tblGrid>
        <w:gridCol w:w="2126"/>
        <w:gridCol w:w="1864"/>
        <w:gridCol w:w="1874"/>
        <w:gridCol w:w="211"/>
        <w:gridCol w:w="466"/>
        <w:gridCol w:w="109"/>
        <w:gridCol w:w="109"/>
        <w:gridCol w:w="109"/>
        <w:gridCol w:w="109"/>
        <w:gridCol w:w="211"/>
        <w:gridCol w:w="466"/>
        <w:gridCol w:w="109"/>
        <w:gridCol w:w="109"/>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January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outflows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outflows from finance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outflows from finance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assets obtained in exchange for new operating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13. Basic and Diluted Net (Loss) Income Per Share</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Basic net (loss) income per common share is calculated using the weighted-average number of common shares outstanding during the period without consideration of the dilutive effect of conversion of preferred stock. Diluted net (loss) income per common share is calculated using the weighted-average number of common shares outstanding during the period plus the dilutive effect of unvested, restricted stock and conversion of preferred stock. The computations for basic and diluted net (loss) income per common share are as follows (in thousands, except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463" w:type="dxa"/>
        <w:jc w:val="left"/>
        <w:tblInd w:w="0" w:type="dxa"/>
        <w:tblLayout w:type="fixed"/>
        <w:tblCellMar>
          <w:top w:w="28" w:type="dxa"/>
          <w:left w:w="28" w:type="dxa"/>
          <w:bottom w:w="28" w:type="dxa"/>
          <w:right w:w="28" w:type="dxa"/>
        </w:tblCellMar>
      </w:tblPr>
      <w:tblGrid>
        <w:gridCol w:w="1717"/>
        <w:gridCol w:w="1505"/>
        <w:gridCol w:w="1518"/>
        <w:gridCol w:w="109"/>
        <w:gridCol w:w="109"/>
        <w:gridCol w:w="166"/>
        <w:gridCol w:w="166"/>
        <w:gridCol w:w="322"/>
        <w:gridCol w:w="1054"/>
        <w:gridCol w:w="166"/>
        <w:gridCol w:w="109"/>
        <w:gridCol w:w="109"/>
        <w:gridCol w:w="109"/>
        <w:gridCol w:w="211"/>
        <w:gridCol w:w="721"/>
        <w:gridCol w:w="109"/>
        <w:gridCol w:w="109"/>
        <w:gridCol w:w="154"/>
      </w:tblGrid>
      <w:tr>
        <w:trPr/>
        <w:tc>
          <w:tcPr>
            <w:tcW w:w="1717"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January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net (loss) income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10" w:type="dxa"/>
            <w:gridSpan w:val="9"/>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applicable to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unvested, restricted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 Net (loss) income for basic EPS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Weighted average common shares–basic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(loss) income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net (loss) income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for basic EPS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preferred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 Net (loss) income for diluted EPS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preferred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Weighted average common shares–diluted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(loss) income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Diluted net (loss) income per common share is computed using the more dilutive method of either the two-class method or the treasury stock method. Unvested stock-based compensation awards that contain non-forfeitable rights to dividends as participating shares are included in computing earnings per share. The Company’s unvested, restricted stock awards qualify as participating shares. Diluted net (loss) income per common share was calculated under the two-class method for the three months ended January 31, 2024 and 2023.</w:t>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(UNAUDITED)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14. Related-Party Transactions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transactions with equity method investments and various related parties summarized in Note 6 - Equity in Investments and in the tables below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83"/>
        <w:gridCol w:w="163"/>
        <w:gridCol w:w="121"/>
        <w:gridCol w:w="109"/>
        <w:gridCol w:w="109"/>
        <w:gridCol w:w="109"/>
        <w:gridCol w:w="392"/>
        <w:gridCol w:w="392"/>
        <w:gridCol w:w="393"/>
        <w:gridCol w:w="109"/>
        <w:gridCol w:w="109"/>
        <w:gridCol w:w="109"/>
        <w:gridCol w:w="249"/>
        <w:gridCol w:w="707"/>
        <w:gridCol w:w="140"/>
        <w:gridCol w:w="109"/>
        <w:gridCol w:w="109"/>
        <w:gridCol w:w="109"/>
        <w:gridCol w:w="197"/>
        <w:gridCol w:w="561"/>
        <w:gridCol w:w="110"/>
        <w:gridCol w:w="109"/>
        <w:gridCol w:w="109"/>
        <w:gridCol w:w="109"/>
        <w:gridCol w:w="211"/>
        <w:gridCol w:w="598"/>
        <w:gridCol w:w="117"/>
        <w:gridCol w:w="109"/>
        <w:gridCol w:w="109"/>
        <w:gridCol w:w="109"/>
        <w:gridCol w:w="109"/>
        <w:gridCol w:w="109"/>
        <w:gridCol w:w="249"/>
        <w:gridCol w:w="707"/>
        <w:gridCol w:w="140"/>
        <w:gridCol w:w="109"/>
        <w:gridCol w:w="109"/>
        <w:gridCol w:w="109"/>
        <w:gridCol w:w="197"/>
        <w:gridCol w:w="561"/>
        <w:gridCol w:w="110"/>
        <w:gridCol w:w="109"/>
        <w:gridCol w:w="109"/>
        <w:gridCol w:w="109"/>
        <w:gridCol w:w="211"/>
        <w:gridCol w:w="598"/>
        <w:gridCol w:w="117"/>
        <w:gridCol w:w="109"/>
        <w:gridCol w:w="165"/>
      </w:tblGrid>
      <w:tr>
        <w:trPr/>
        <w:tc>
          <w:tcPr>
            <w:tcW w:w="1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1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31, 2023</w:t>
            </w:r>
          </w:p>
        </w:tc>
        <w:tc>
          <w:tcPr>
            <w:tcW w:w="1527" w:type="dxa"/>
            <w:gridSpan w:val="8"/>
            <w:tcBorders/>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w:t>
            </w:r>
          </w:p>
        </w:tc>
        <w:tc>
          <w:tcPr>
            <w:tcW w:w="1527" w:type="dxa"/>
            <w:gridSpan w:val="8"/>
            <w:tcBorders/>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Related-Party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Receivables/Other from Related Parties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Payables to Related Parties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Receivables/Other from Related Parties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Payables to Related Parties</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Mutual water companies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Cadiz / Fenner / WAM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YMIDD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FGF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LLCB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2510" w:type="dxa"/>
        <w:jc w:val="center"/>
        <w:tblInd w:w="0" w:type="dxa"/>
        <w:tblLayout w:type="fixed"/>
        <w:tblCellMar>
          <w:top w:w="28" w:type="dxa"/>
          <w:left w:w="28" w:type="dxa"/>
          <w:bottom w:w="28" w:type="dxa"/>
          <w:right w:w="28" w:type="dxa"/>
        </w:tblCellMar>
      </w:tblPr>
      <w:tblGrid>
        <w:gridCol w:w="183"/>
        <w:gridCol w:w="163"/>
        <w:gridCol w:w="121"/>
        <w:gridCol w:w="109"/>
        <w:gridCol w:w="109"/>
        <w:gridCol w:w="109"/>
        <w:gridCol w:w="380"/>
        <w:gridCol w:w="380"/>
        <w:gridCol w:w="381"/>
        <w:gridCol w:w="109"/>
        <w:gridCol w:w="109"/>
        <w:gridCol w:w="109"/>
        <w:gridCol w:w="229"/>
        <w:gridCol w:w="649"/>
        <w:gridCol w:w="128"/>
        <w:gridCol w:w="109"/>
        <w:gridCol w:w="109"/>
        <w:gridCol w:w="109"/>
        <w:gridCol w:w="247"/>
        <w:gridCol w:w="531"/>
        <w:gridCol w:w="138"/>
        <w:gridCol w:w="109"/>
        <w:gridCol w:w="109"/>
        <w:gridCol w:w="109"/>
        <w:gridCol w:w="271"/>
        <w:gridCol w:w="583"/>
        <w:gridCol w:w="152"/>
        <w:gridCol w:w="109"/>
        <w:gridCol w:w="109"/>
        <w:gridCol w:w="109"/>
        <w:gridCol w:w="109"/>
        <w:gridCol w:w="109"/>
        <w:gridCol w:w="218"/>
        <w:gridCol w:w="470"/>
        <w:gridCol w:w="123"/>
        <w:gridCol w:w="109"/>
        <w:gridCol w:w="109"/>
        <w:gridCol w:w="109"/>
        <w:gridCol w:w="271"/>
        <w:gridCol w:w="583"/>
        <w:gridCol w:w="152"/>
        <w:gridCol w:w="109"/>
        <w:gridCol w:w="109"/>
        <w:gridCol w:w="109"/>
        <w:gridCol w:w="247"/>
        <w:gridCol w:w="531"/>
        <w:gridCol w:w="138"/>
        <w:gridCol w:w="109"/>
        <w:gridCol w:w="109"/>
        <w:gridCol w:w="109"/>
        <w:gridCol w:w="229"/>
        <w:gridCol w:w="649"/>
        <w:gridCol w:w="128"/>
        <w:gridCol w:w="109"/>
        <w:gridCol w:w="109"/>
        <w:gridCol w:w="109"/>
        <w:gridCol w:w="109"/>
        <w:gridCol w:w="109"/>
        <w:gridCol w:w="217"/>
        <w:gridCol w:w="467"/>
        <w:gridCol w:w="172"/>
      </w:tblGrid>
      <w:tr>
        <w:trPr/>
        <w:tc>
          <w:tcPr>
            <w:tcW w:w="1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January 31,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January 31, 2023</w:t>
            </w:r>
          </w:p>
        </w:tc>
        <w:tc>
          <w:tcPr>
            <w:tcW w:w="1401" w:type="dxa"/>
            <w:gridSpan w:val="8"/>
            <w:tcBorders/>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9"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 Statement of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9"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 Statement of Operations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4"/>
            <w:tcBorders/>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Related-Party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Revenue Agribusiness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Revenue Other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Agribusiness Expense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Dividends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Revenue Agribusiness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Revenue Other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Agribusiness Expense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Dividends Paid</w:t>
            </w:r>
          </w:p>
        </w:tc>
      </w:tr>
      <w:tr>
        <w:trPr/>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Mutual water companies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Cooperative association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Cadiz / Fenner / WAM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YMIDD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FGF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Owner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Employees - The Company rents certain of its residential housing assets to employees on a month-to-month basis and recorded rental income from employees. </w:t>
      </w:r>
    </w:p>
    <w:p>
      <w:pPr>
        <w:pStyle w:val="TextBody"/>
        <w:bidi w:val="0"/>
        <w:spacing w:lineRule="auto" w:line="288" w:before="0" w:after="160"/>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Mutual water companies - The Company has representation on the boards of directors of the mutual water companies in which the Company has investments, as well as other water districts. Refer to Note 8 - Other Assets. The Company recorded capital contributions, purchased water and water delivery services and had water payments due to the mutual water companies and districts.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Cooperative association - The Company has representation on the board of directors of a non-profit cooperative association that provides pest control services for the agricultural industry. The Company purchased services and supplies from and had immaterial payments due to the cooperative association.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60"/>
        <w:jc w:val="both"/>
        <w:rPr/>
      </w:pP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color w:val="000000"/>
          <w:sz w:val="20"/>
        </w:rPr>
        <w:t xml:space="preserve">Cadiz / Fenner / WAM - A member of the Company’s board of directors served as the CEO, President and a member of the board of directors of Cadiz, Inc. through December 31, 2023. As of January 1, 2024, Cadiz, Inc. is no longer a related-party. In 2013, the Company entered a long-term lease agreement (the “Lease”) with Cadiz Real Estate, LLC (“Cadiz”), a wholly owned subsidiary of Cadiz, Inc., and leased 670 acres located in eastern San Bernardino County, California. In 2016, Cadiz assigned this lease to Fenner Valley Farms, LLC (“Fenner”), a subsidiary of Water Asset Management, LLC (“WAM”). As of the date of the lease assignment, the Company no longer had any related-party transactions with Cadiz. An affiliate of WAM is the holder of 9,300 shares of the Company's Series B-2 convertible preferred stock. The annual base rent was equal to the sum of $200 per planted acre and 20% of gross revenues from the sale of harvested lemons (less operating expenses), not to exceed $1,200 per acre per year. Upon the adoption of ASC 842, the Company recorded a ROU asset and corresponding lease liability, which were written off in fiscal year 2023 upon cessation of farming operations. </w:t>
      </w:r>
    </w:p>
    <w:p>
      <w:pPr>
        <w:pStyle w:val="TextBody"/>
        <w:bidi w:val="0"/>
        <w:spacing w:lineRule="auto" w:line="240" w:before="120" w:after="160"/>
        <w:jc w:val="both"/>
        <w:rPr/>
      </w:pPr>
      <w:r>
        <w:rPr>
          <w:rFonts w:ascii="Times New Roman;sans-serif" w:hAnsi="Times New Roman;sans-serif"/>
          <w:b w:val="false"/>
          <w:color w:val="000000"/>
          <w:sz w:val="13"/>
        </w:rPr>
        <w:t>(6)</w:t>
      </w:r>
      <w:r>
        <w:rPr>
          <w:color w:val="000000"/>
        </w:rPr>
        <w:t xml:space="preserve"> </w:t>
      </w:r>
      <w:r>
        <w:rPr>
          <w:rFonts w:ascii="Times New Roman;sans-serif" w:hAnsi="Times New Roman;sans-serif"/>
          <w:b w:val="false"/>
          <w:color w:val="000000"/>
          <w:sz w:val="20"/>
        </w:rPr>
        <w:t>Yuma Mesa Irrigation and Drainage District (“YMIDD”) - The Company has representation on the board of directors of YMIDD. The Company purchased water from YMIDD and had no amounts payable to them for such purchases. Additionally, the Company received fallowing revenue from YMIDD and has a receivable outstanding.</w:t>
      </w:r>
    </w:p>
    <w:p>
      <w:pPr>
        <w:pStyle w:val="TextBody"/>
        <w:bidi w:val="0"/>
        <w:spacing w:before="120" w:after="160"/>
        <w:jc w:val="both"/>
        <w:rPr/>
      </w:pPr>
      <w:r>
        <w:rPr/>
      </w:r>
    </w:p>
    <w:p>
      <w:pPr>
        <w:pStyle w:val="TextBody"/>
        <w:bidi w:val="0"/>
        <w:spacing w:before="12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(UNAUDITED) (CONTINUED)</w:t>
      </w:r>
    </w:p>
    <w:p>
      <w:pPr>
        <w:pStyle w:val="TextBody"/>
        <w:bidi w:val="0"/>
        <w:spacing w:lineRule="auto" w:line="240" w:before="120" w:after="160"/>
        <w:jc w:val="both"/>
        <w:rPr>
          <w:rFonts w:ascii="Times New Roman;sans-serif" w:hAnsi="Times New Roman;sans-serif"/>
          <w:b/>
          <w:color w:val="000000"/>
          <w:sz w:val="20"/>
        </w:rPr>
      </w:pPr>
      <w:r>
        <w:rPr>
          <w:rFonts w:ascii="Times New Roman;sans-serif" w:hAnsi="Times New Roman;sans-serif"/>
          <w:b/>
          <w:color w:val="000000"/>
          <w:sz w:val="20"/>
        </w:rPr>
        <w:t>14. Related-Party Transactions (continued)</w:t>
      </w:r>
    </w:p>
    <w:p>
      <w:pPr>
        <w:pStyle w:val="TextBody"/>
        <w:bidi w:val="0"/>
        <w:spacing w:lineRule="auto" w:line="288" w:before="0" w:after="160"/>
        <w:jc w:val="both"/>
        <w:rPr/>
      </w:pPr>
      <w:r>
        <w:rPr>
          <w:rFonts w:ascii="Times New Roman;sans-serif" w:hAnsi="Times New Roman;sans-serif"/>
          <w:b w:val="false"/>
          <w:color w:val="000000"/>
          <w:sz w:val="13"/>
        </w:rPr>
        <w:t>(7)</w:t>
      </w:r>
      <w:r>
        <w:rPr>
          <w:color w:val="000000"/>
        </w:rPr>
        <w:t xml:space="preserve"> </w:t>
      </w:r>
      <w:r>
        <w:rPr>
          <w:rFonts w:ascii="Times New Roman;sans-serif" w:hAnsi="Times New Roman;sans-serif"/>
          <w:b w:val="false"/>
          <w:color w:val="000000"/>
          <w:sz w:val="20"/>
        </w:rPr>
        <w:t>FGF - The Company advances funds to FGF for fruit purchases, which are recorded as an asset until the sales occur and the remaining proceeds become due to FGF. The Company has a receivable from FGF for lemon sales and the sale of packing supplies and a payable due to FGF for fruit purchases and services. The Company records revenue related to the licensing of intangible assets to FGF. The Company leases the Santa Clara ranch to FGF and records rental revenue related to the leased land.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60"/>
        <w:jc w:val="both"/>
        <w:rPr/>
      </w:pPr>
      <w:r>
        <w:rPr>
          <w:rFonts w:ascii="Times New Roman;sans-serif" w:hAnsi="Times New Roman;sans-serif"/>
          <w:b w:val="false"/>
          <w:color w:val="000000"/>
          <w:sz w:val="13"/>
        </w:rPr>
        <w:t>(8)</w:t>
      </w:r>
      <w:r>
        <w:rPr>
          <w:color w:val="000000"/>
        </w:rPr>
        <w:t xml:space="preserve"> </w:t>
      </w:r>
      <w:r>
        <w:rPr>
          <w:rFonts w:ascii="Times New Roman;sans-serif" w:hAnsi="Times New Roman;sans-serif"/>
          <w:b w:val="false"/>
          <w:color w:val="000000"/>
          <w:sz w:val="20"/>
        </w:rPr>
        <w:t>LLCB - Refer to Note 5 - Real Estate Development.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160"/>
        <w:jc w:val="both"/>
        <w:rPr/>
      </w:pPr>
      <w:r>
        <w:rPr>
          <w:rFonts w:ascii="Times New Roman;sans-serif" w:hAnsi="Times New Roman;sans-serif"/>
          <w:b w:val="false"/>
          <w:color w:val="000000"/>
          <w:sz w:val="13"/>
        </w:rPr>
        <w:t>(9)</w:t>
      </w:r>
      <w:r>
        <w:rPr>
          <w:color w:val="000000"/>
        </w:rPr>
        <w:t xml:space="preserve"> </w:t>
      </w:r>
      <w:r>
        <w:rPr>
          <w:rFonts w:ascii="Times New Roman;sans-serif" w:hAnsi="Times New Roman;sans-serif"/>
          <w:b w:val="false"/>
          <w:color w:val="000000"/>
          <w:sz w:val="20"/>
        </w:rPr>
        <w:t>Principal owner - The Company has one principal owner with ownership shares over 10% and paid dividends to such owner.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pPr>
      <w:r>
        <w:rPr>
          <w:rFonts w:ascii="Times New Roman;sans-serif" w:hAnsi="Times New Roman;sans-serif"/>
          <w:b w:val="false"/>
          <w:color w:val="000000"/>
          <w:sz w:val="13"/>
        </w:rPr>
        <w:t>(10)</w:t>
      </w:r>
      <w:r>
        <w:rPr>
          <w:color w:val="000000"/>
        </w:rPr>
        <w:t xml:space="preserve"> </w:t>
      </w:r>
      <w:r>
        <w:rPr>
          <w:rFonts w:ascii="Times New Roman;sans-serif" w:hAnsi="Times New Roman;sans-serif"/>
          <w:b w:val="false"/>
          <w:color w:val="000000"/>
          <w:sz w:val="20"/>
        </w:rPr>
        <w:t>Rosales - The Company has an equity interest in Rosales as further described in Note 6 - Equity in Investments. The Company recognizes lemon sales to Rosales, procures lemons and oranges from Rosales and has amounts due to and due from Rosales for such sales and consignments.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15. Income Taxes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 for the three months ended January 31, 2024 was higher than the federal statutory tax rate of 21% mainly due to foreign jurisdictions that are taxed at different rates, state taxes, tax impact of executive compensation, nondeductible tax items and valuation allowances on certain deferred tax assets of foreign subsidiaries. The Company has no material uncertain tax positions as of January 31, 2024. The Company recognizes interest expense and penalties related to income tax matters as a component of income tax expense. There was no accrued interest or penalties associated with uncertain tax positions as of January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16. Retirement Plans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Limoneira Company Retirement Plan (the “Plan”) was a noncontributory, defined benefit, single employer pension plan, which provided retirement benefits for all eligible employees. Benefits paid by the Plan were calculated based on years of service, highest five-year average earnings, primary Social Security benefit and retirement age. Effective June 2004, the Company froze the Plan and no additional benefits accrued to participants subsequent to that date. The Plan was administered by Principal Bank and Mercer Human Resource Consulting. In fiscal year 2021, the Company terminated the Plan effective December 31, 2021.</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January 31, 2023, the Company made funding contributions of $2,500,000 to fully fund and settle the plan obligations. Lump sum payments were made to a portion of the active and vested terminated participants and annuities were purchased for all remaining participants from an insurance company. There are no remaining benefit obligations or plan assets and the remaining accumulated other comprehensive loss was fully recognized.</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Plan was funded consistent with the funding requirements of federal law and regulations. Plan assets were invested in a group trust consisting primarily of pooled funds, mutual funds, cash and cash equivalents.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net periodic pension cost for the Plan were as follows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978" w:type="dxa"/>
        <w:jc w:val="left"/>
        <w:tblInd w:w="0" w:type="dxa"/>
        <w:tblLayout w:type="fixed"/>
        <w:tblCellMar>
          <w:top w:w="28" w:type="dxa"/>
          <w:left w:w="28" w:type="dxa"/>
          <w:bottom w:w="28" w:type="dxa"/>
          <w:right w:w="28" w:type="dxa"/>
        </w:tblCellMar>
      </w:tblPr>
      <w:tblGrid>
        <w:gridCol w:w="934"/>
        <w:gridCol w:w="821"/>
        <w:gridCol w:w="824"/>
        <w:gridCol w:w="109"/>
        <w:gridCol w:w="109"/>
        <w:gridCol w:w="216"/>
        <w:gridCol w:w="216"/>
        <w:gridCol w:w="419"/>
        <w:gridCol w:w="806"/>
        <w:gridCol w:w="216"/>
        <w:gridCol w:w="109"/>
        <w:gridCol w:w="109"/>
        <w:gridCol w:w="109"/>
        <w:gridCol w:w="211"/>
        <w:gridCol w:w="616"/>
        <w:gridCol w:w="154"/>
      </w:tblGrid>
      <w:tr>
        <w:trPr/>
        <w:tc>
          <w:tcPr>
            <w:tcW w:w="9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January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Prior service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Settlement loss recognized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periodic benefit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(UNAUDITED)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17.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from time to time involved in various lawsuits and legal proceedings that arise in the ordinary course of business. At this time, the Company is not aware of any pending or threatened litigation against it that it expects will have a material adverse effect on its business, financial condition, liquidity or operating results. Legal claims are inherently uncertain, however, and it is possible that the Company’s business, financial condition, liquidity and/or operating results could be adversely affected in the future by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18. Stock-based Compensation</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stock-based compensation plan (the “Stock Plan”) that allows for the grant of common stock of the Company to members of management, key executives and non-employee directors. The fair value of such awards is based on the fair value of the Company’s common stock on the date of grant and all are classified as equity awards.</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Performance Awards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Certain restricted stock grants are made to management each December under the Stock Plan based on the achievement of certain annual financial performance and other criteria achieved during the previous fiscal year (“Performance Awards”). The performance grants are based on a percentage of the employee’s base salary divided by the stock price on the grant date once the performance criteria have been met, and generally vest over a two-year period as service is provided. During December 2023, 36,127 shares of common stock with a per share price of $19.57 were granted to management under the Stock Plan for fiscal year 2023 performance, resulting in total compensation expense of approximately $707,000, with $293,000 recognized in the fiscal year ended October 31, 2023, and the balance will be recognized over the next two years as the shares vest.</w:t>
      </w:r>
    </w:p>
    <w:p>
      <w:pPr>
        <w:pStyle w:val="TextBody"/>
        <w:bidi w:val="0"/>
        <w:spacing w:lineRule="auto" w:line="28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Awards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Certain restricted stock grants are made to key executives under the Stock Plan (“Executive Awards”). These grants generally vest over a three-year period as service is provided. During November 2023, the Company granted 53,078 shares of common stock with a per share price of $14.13 to key executives under the Stock Plan. The related compensation expense of approximately $750,000 will be recognized equally over the next three years as the shares vest.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fiscal year 2022, the Company entered into Retention Bonus Agreements with key executives (collectively, the “Retention Bonus Agreements”) whereby the executives will be eligible to receive cash and restricted stock grants. During December 2023, the Company granted 12,709 shares of common stock with a per share price of $19.57 to key executives related to the Retention Bonus Agreements. The related compensation expense of approximately $249,000 had $115,000 recognized in the fiscal year ended October 31, 2023, and the balance will be recognized over the next year as the shares vest.</w:t>
      </w:r>
    </w:p>
    <w:p>
      <w:pPr>
        <w:pStyle w:val="TextBody"/>
        <w:bidi w:val="0"/>
        <w:spacing w:lineRule="auto" w:line="240" w:before="0" w:after="160"/>
        <w:jc w:val="left"/>
        <w:rPr/>
      </w:pPr>
      <w:r>
        <w:rPr>
          <w:rFonts w:ascii="Times New Roman;sans-serif" w:hAnsi="Times New Roman;sans-serif"/>
          <w:b w:val="false"/>
          <w:color w:val="000000"/>
          <w:sz w:val="20"/>
        </w:rPr>
        <w:t>In November 2023, the Company entered into Performance Share-Based Award Agreements with key executives whereby the executives may be granted performance shares in the future based on the achievement of certain long-term performance goals. The Company recorded $80,000 of stock compensation expense related to these awards during the three months ended January 31, 2024</w:t>
      </w:r>
      <w:r>
        <w:rPr>
          <w:rFonts w:ascii="Calibri;sans-serif" w:hAnsi="Calibri;sans-serif"/>
          <w:b w:val="false"/>
          <w:color w:val="000000"/>
          <w:sz w:val="22"/>
        </w:rPr>
        <w:t>.</w:t>
      </w:r>
    </w:p>
    <w:p>
      <w:pPr>
        <w:pStyle w:val="TextBody"/>
        <w:bidi w:val="0"/>
        <w:spacing w:lineRule="auto" w:line="268" w:before="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Director Awards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issues shares of common stock to non-employee directors under the Stock Plan on an annual basis that generally vest over a one-year period (“Director Awards”). During January 2024, 609 shares of common stock were granted as Director Awards with a per share price of $20.37.</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Exchange of Common Stock</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January 31, 2024 and 2023, members of management exchanged 36,097 and zero shares of common stock with fair values totaling $684,000 and zero, respectively, at the dates of the exchanges, for the payment of payroll taxes associated with the vesting of shares under the Stock Plan.</w:t>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(UNAUDITED)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19. Segment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in four reportable operating segments: fresh lemons, lemon packing, avocados and other agribusiness. The reportable operating segments of the Company are strategic business units with different products and services, distribution processes and customer bases. The fresh lemons segment includes sales, farming and harvest costs and third-party grower and supplier costs relative to fresh lemons. The lemon packing segment includes packing revenues and lemon packing costs. The lemon packing segment revenues include intersegment revenues between fresh lemons and lemon packing. The intersegment revenues are included gross in the segment note and a separate line item is shown as an elimination. The avocados segment includes sales, farming and harvest costs. The other agribusiness segment primarily includes sales, farm management, farming and harvest costs, brokered fruit costs of oranges and specialty citrus, other crops, fallowing revenue, shipping revenue and shipping costs. During fiscal year 2024, the Company changed its reporting of other revenue and other costs and includes these items in the other agribusiness segment instead of the fresh lemons segment. Prior year's information has been restated to conform to the current year's presentation.</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separately allocate depreciation and amortization to its fresh lemons, lemon packing, avocados and other agribusiness segments. No asset information is provided for reportable operating segments, as these specified amounts are not included in the measure of segment profit or loss reviewed by the Company’s chief operating decision maker. The Company measures operating performance, including revenues and operating income, of its operating segments and allocates resources based on its evaluation. The Company does not allocate selling, general and administrative expense, gain or loss on disposal of assets, total other income (expense) and income taxes, or specifically identify them to its operating segments. The lemon packing segment earns packing revenue for packing lemons grown on its orchards and lemons procured from third-party growers. Intersegment revenues represent packing revenues related to lemons grown on the Company’s orchards.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Segment information for the three months ended January 31, 2024 is as follows (in thousands):</w:t>
      </w:r>
    </w:p>
    <w:tbl>
      <w:tblPr>
        <w:tblW w:w="10137" w:type="dxa"/>
        <w:jc w:val="left"/>
        <w:tblInd w:w="0" w:type="dxa"/>
        <w:tblLayout w:type="fixed"/>
        <w:tblCellMar>
          <w:top w:w="28" w:type="dxa"/>
          <w:left w:w="28" w:type="dxa"/>
          <w:bottom w:w="28" w:type="dxa"/>
          <w:right w:w="28" w:type="dxa"/>
        </w:tblCellMar>
      </w:tblPr>
      <w:tblGrid>
        <w:gridCol w:w="927"/>
        <w:gridCol w:w="817"/>
        <w:gridCol w:w="820"/>
        <w:gridCol w:w="196"/>
        <w:gridCol w:w="646"/>
        <w:gridCol w:w="109"/>
        <w:gridCol w:w="196"/>
        <w:gridCol w:w="556"/>
        <w:gridCol w:w="109"/>
        <w:gridCol w:w="277"/>
        <w:gridCol w:w="574"/>
        <w:gridCol w:w="155"/>
        <w:gridCol w:w="223"/>
        <w:gridCol w:w="463"/>
        <w:gridCol w:w="125"/>
        <w:gridCol w:w="229"/>
        <w:gridCol w:w="649"/>
        <w:gridCol w:w="128"/>
        <w:gridCol w:w="207"/>
        <w:gridCol w:w="683"/>
        <w:gridCol w:w="116"/>
        <w:gridCol w:w="196"/>
        <w:gridCol w:w="631"/>
        <w:gridCol w:w="109"/>
        <w:gridCol w:w="196"/>
        <w:gridCol w:w="646"/>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Fresh</w:t>
              <w:br/>
              <w:t>Lemons</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Lemon</w:t>
              <w:br/>
              <w:t>Packing</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Eliminations</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sz w:val="16"/>
              </w:rPr>
              <w:br/>
            </w:r>
            <w:r>
              <w:rPr>
                <w:rFonts w:ascii="Times New Roman;sans-serif" w:hAnsi="Times New Roman;sans-serif"/>
                <w:b/>
                <w:color w:val="000000"/>
                <w:sz w:val="16"/>
              </w:rPr>
              <w:t>Avocados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br/>
              <w:t>Agribusiness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Agribusiness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br/>
              <w:t>and Other</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from external customers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38,339 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Intersegment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Total net revenues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38,339 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Costs and expenses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37,370 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Operating (loss)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Segment information for the three months ended January 31, 2023 is as follows (in thousands):</w:t>
      </w:r>
    </w:p>
    <w:tbl>
      <w:tblPr>
        <w:tblW w:w="10152" w:type="dxa"/>
        <w:jc w:val="left"/>
        <w:tblInd w:w="0" w:type="dxa"/>
        <w:tblLayout w:type="fixed"/>
        <w:tblCellMar>
          <w:top w:w="28" w:type="dxa"/>
          <w:left w:w="28" w:type="dxa"/>
          <w:bottom w:w="28" w:type="dxa"/>
          <w:right w:w="28" w:type="dxa"/>
        </w:tblCellMar>
      </w:tblPr>
      <w:tblGrid>
        <w:gridCol w:w="927"/>
        <w:gridCol w:w="817"/>
        <w:gridCol w:w="820"/>
        <w:gridCol w:w="196"/>
        <w:gridCol w:w="646"/>
        <w:gridCol w:w="109"/>
        <w:gridCol w:w="196"/>
        <w:gridCol w:w="556"/>
        <w:gridCol w:w="109"/>
        <w:gridCol w:w="277"/>
        <w:gridCol w:w="574"/>
        <w:gridCol w:w="155"/>
        <w:gridCol w:w="223"/>
        <w:gridCol w:w="463"/>
        <w:gridCol w:w="125"/>
        <w:gridCol w:w="229"/>
        <w:gridCol w:w="649"/>
        <w:gridCol w:w="128"/>
        <w:gridCol w:w="207"/>
        <w:gridCol w:w="683"/>
        <w:gridCol w:w="116"/>
        <w:gridCol w:w="196"/>
        <w:gridCol w:w="646"/>
        <w:gridCol w:w="109"/>
        <w:gridCol w:w="196"/>
        <w:gridCol w:w="646"/>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Fresh</w:t>
              <w:br/>
              <w:t>Lemons</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Lemon</w:t>
              <w:br/>
              <w:t>Packing</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Eliminations</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sz w:val="16"/>
              </w:rPr>
              <w:br/>
            </w:r>
            <w:r>
              <w:rPr>
                <w:rFonts w:ascii="Times New Roman;sans-serif" w:hAnsi="Times New Roman;sans-serif"/>
                <w:b/>
                <w:color w:val="000000"/>
                <w:sz w:val="16"/>
              </w:rPr>
              <w:t>Avocados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br/>
              <w:t>Agribusiness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Agribusiness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br/>
              <w:t>and Other</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from external customers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36,528 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Intersegment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Total net revenues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36,528 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Costs and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(loss) income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(4,713)</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Revenues related to rental operations are included in “Corporate and Other.” The detail of other agribusiness revenues is as follows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289" w:type="dxa"/>
        <w:jc w:val="left"/>
        <w:tblInd w:w="0" w:type="dxa"/>
        <w:tblLayout w:type="fixed"/>
        <w:tblCellMar>
          <w:top w:w="28" w:type="dxa"/>
          <w:left w:w="28" w:type="dxa"/>
          <w:bottom w:w="28" w:type="dxa"/>
          <w:right w:w="28" w:type="dxa"/>
        </w:tblCellMar>
      </w:tblPr>
      <w:tblGrid>
        <w:gridCol w:w="967"/>
        <w:gridCol w:w="847"/>
        <w:gridCol w:w="856"/>
        <w:gridCol w:w="109"/>
        <w:gridCol w:w="109"/>
        <w:gridCol w:w="177"/>
        <w:gridCol w:w="177"/>
        <w:gridCol w:w="343"/>
        <w:gridCol w:w="1001"/>
        <w:gridCol w:w="177"/>
        <w:gridCol w:w="109"/>
        <w:gridCol w:w="109"/>
        <w:gridCol w:w="109"/>
        <w:gridCol w:w="211"/>
        <w:gridCol w:w="616"/>
        <w:gridCol w:w="109"/>
        <w:gridCol w:w="109"/>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January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Oranges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Specialty citrus and other crops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Farm management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agribusiness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5,363 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(UNAUDITED) (CONTINUED)</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20. Subsequent Events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evaluated events subsequent to January 31, 2024 through the date of this filing, to assess the need for potential recognition or disclosure in this Quarterly Report. Based upon this evaluation, except as described in the notes to consolidated financial statements, it was determined that no other subsequent events occurred that require recognition or disclosure in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Limoneira Company, a Delaware corporation, is the successor to several businesses with operations in California since 1893. We are primarily an agribusiness company founded and based in Santa Paula, California, committed to responsibly using and managing our approximately 11,000 acres of land, water resources and other assets to maximize long-term stockholder value. Our current operations consist of fruit production, sales and marketing, rental operations, real estate and capital investment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are one of California’s oldest citrus growers. According to Sunkist Growers, Inc., we are one of the largest growers of lemons in the United States and, according to the California Avocado Commission, one of the largest growers of avocados in the United States. In addition to growing lemons and avocados, we grow oranges and other crops. We have agricultural plantings throughout Ventura and San Luis Obispo Counties in California, Yuma County in Arizona, La Serena, Chile and Jujuy, Argentina, which collectively consist of approximately 3,400 acres of lemons, 1,200 acres of avocados, 100 acres of oranges and 400 acres of wine grapes. We also operate our own packinghouses in Santa Paula, California and Yuma, Arizona, where we process, pack and sell lemons that we grow, as well as lemons grown by others. We have a 47% interest in Rosales S.A. (“Rosales”), a citrus packing, marketing and sales business, a 90% interest in Fruticola Pan de Azucar S.A. (“PDA”), a lemon and orange orchard and a 100% interest in Agricola San Pablo, SpA (“San Pablo”), a lemon and orange orchard, all of which are located near La Serena, Chile. We have a 51% interest in a joint venture, Trapani Fresh Consorcio de Cooperacion (“Trapani Fresh”), a lemon orchard in Argentina.</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also use surface water in Arizona from the Colorado River through the Yuma Mesa Irrigation and Drainage District (“YMIDD”). We use ground water provided by wells and surface water for our PDA and San Pablo farming operations in Chile and our Trapani Fresh farming operations in Argentina. We use ground water from the San Joaquin Valley Basin and water from local water and irrigation districts in Tulare County, which is in California’s San Joaquin Valley.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For more than 100 years, we have been making strategic investments in California agriculture and real estate. We currently have an interest in three real estate development projects in California. These projects include multi-family housing, single-family homes and apartments of approximately 800 units in various stages of planning and development.</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Business Division Summary</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have three business divisions: agribusiness, rental operations and real estate development. The agribusiness division is comprised of four reportable operating segments: fresh lemons, lemon packing, avocados and other agribusiness, which primarily includes oranges, specialty citrus, other crops and farm management services. The agribusiness division includes our core operations of farming, harvesting, lemon packing and lemon sales operations. The rental operations division includes our residential and commercial rentals, leased land operations and organic recycling. The real estate development division includes our investments in real estate development projects. Financial information and discussion of our four reportable segments are contained in the notes to the accompanying consolidated financial statements of this Quarterly Report.</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Agribusiness Summary</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market and sell citrus directly to our food service, wholesale and retail customers throughout the United States, Canada, Asia, Australia, Europe and certain other international markets. We sell our avocados and oranges to third-party packinghouses. Additionally, we sell our wine grapes to various wine producers.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our agribusiness division has been seasonal in nature with quarterly revenue fluctuating depending on the timing and variety of crops being harvested. Cultural costs in our agribusiness division tend to be higher in the first and second quarters and lower in the third and fourth quarters because of the timing of expensing cultural costs in the current year that were inventoried in the prior year. Our harvest costs generally increase in the second quarter and peak in the third quarter, coinciding with the increasing production and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Fluctuations in price are a function of global supply and demand with weather conditions, such as unusually low temperatures, typically having the most dramatic effect on the amount of lemons supplied in any individual growing season. We believe we have a competitive advantage by maintaining our own lemon packing operations, even though a significant portion of the costs related to these operations are fixed. As a result, cost per carton is a function of fruit throughput. While we regularly monitor our costs for redundancies and opportunities for cost reductions, we also supplement the number of lemons we pack in our packinghouse with additional lemons procured from other growers. Because the fresh utilization rate for our lemons, or percentage of lemons we harvest and pack that are sold to the fresh market, is directly related to the quality of lemons we pack and, consequently, the price we receive per 40-pound box, we only pack lemons from other growers if we determine their lemons are of good quality.</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avocado producing business is important to us and we are currently assessing all of our farmland in Ventura County for opportunities to expand our plantings of avocados. While avocado production is cyclical as avocados typically bear fruit on a bi-annual basis, the profitability and cash flow realized from our avocados helps to diversify our fruit production base.</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growing lemons and avocados, we grow oranges and other crops. We regularly monitor the demand for the fruit we grow in the current marketplace to identify trends.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Rental Operations Summary</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rental operations include our residential and commercial rentals, leased land operations and organic recycling. Our residential rental units generate cash flows that we use to partially fund the operating costs of our business and provide affordable housing to many of our employees, including our agribusiness employees. We believe that this unique employment benefit helps us maintain a dependable, long-term employee base. In addition, our leased land business provides us with a typically profitable diversification. Revenue from rental operations is generally level throughout the year.</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Real Estate Development Summary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invest in real estate investment projects and recognize that long-term strategies are required for successful real estate development activities. Our goal is to redeploy real estate earnings and cash flow into the expansion of our agribusiness and other income producing real estate. For real estate development projects and joint ventures, it is not unusual for the timing and amounts of revenues and costs, partner contributions and distributions, project loans, other financing assumptions and project cash flows to be impacted by government approvals, project revenue and cost estimates and assumptions, economic conditions, financing sources and product demand as well as other factors. Such factors could affect our results of operations, cash flows and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Water and Mineral Rights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water resources include water rights, usage rights and pumping rights to the water in aquifers under, and canals that run through, the land we own. We believe we have adequate supplies of water for our agribusiness segments as well as our rental and real estate development activities. Water for our farming operations located in Ventura County, California is sourced from the existing water resources associated with our land, which includes approximately 8,600 acre-feet of adjudicated water rights in the Santa Paula Basin (aquifer) and the un-adjudicated Fillmore Basin (aquifer). Our Windfall Farms property located in San Luis Obispo County, California obtains water from wells that derive water from the Paso Robles Basin (aquifer). Our Associated farming operations in Yuma, Arizona source water from the Colorado River through the YMIDD, where we have access to approximately 11,700 acre-feet of Class 3 Colorado River water rights. We use ground water provided by wells and surface water for our PDA and San Pablo farming operations in La Serena, Chile and our Trapani Fresh farming operations in Argentina.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California experienced above average precipitation during the 2022 - 2023 rainfall season after experiencing three years of below average precipitation and drought conditions. The above average precipitation helped to alleviate the drought conditions in California. As of January 31, 2024, the state was free from moderate drought conditions and Ventura County was free from any drought conditions. We continue to assess the impact drought conditions may have on our California orchards.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2021, the U.S. Bureau of Reclamation (the “Bureau”) declared a Level 1 shortage condition at Lake Mead in the Lower Colorado River Basin for the first time ever, requiring shortage reductions and water savings contributions for states in the southwest. In August 2022, the Bureau announced Lake Mead to operate in a Tier 2 shortage, which further increased water restrictions. As a result, in January 2023, Arizona forfeited approximately 21% of the state's yearly allotment of water from Lake Mead. In August 2023, the Bureau announced Lake Mead will operate in a Tier 1 shortage in 2024, which requires Arizona to forfeit approximately 18% of the state's yearly allotment of water from Lake Mead. In response to these water shortages, we entered into fallowing agreements during fiscal years 2023 and 2022 and continue to assess the impact these reductions may have on our Arizona orchards.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 2023, we announced the commencement of a strategic review process to explore potential alternatives aimed at maximizing stockholder value. Potential strategic alternatives could include, but not be limited to, a sale of all or parts of the Company and its assets, a merger or other transaction. The Board has not set a timetable for completion of the review and no transaction or other outcome is guaranteed to take place. At this time, we cannot predict the impact that such strategic alternatives might have on our business, operations or financial condition.</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we sold 12 acres of real property located in Yuma, Arizona for a sales price of $0.8 million. After transaction and closing costs, we recorded a gain on sale of approximately $0.2 million.</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19, 2023, we declared a cash dividend of $0.075 per common share paid on January 12, 2024, in the aggregate amount of approximately $1.3 million to stockholders of record as of January 2,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COVID-19 Pandemic</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COVID-19 pandemic has had an adverse impact on the industries and markets in which we conduct business. In particular, the export market for fresh produce significantly declined due to the COVID-19 pandemic impacts and continues to experience decreased demand.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decline in demand for the Company's products negatively impacted our sales and profitability for the last four fiscal years. The COVID-19 pandemic may continue to impact our sales and profitability in future periods. The duration of these trends and the magnitude of such impacts are uncertain and therefore cannot be estimated at this time, as they are influenced by a number of factors, many of which are outside management’s control, including, but not limited, to those presented in Item 1A. Risk Factors of our Annual Report on Form 10-K for the year ended October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Given the economic uncertainty as a result of the COVID-19 pandemic over the past four fiscal years, we have taken actions to improve our current liquidity position, including strategically selling certain assets, temporarily postponing capital expenditures and substantially reducing discretionary spending.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continued uncertainty around the breadth and duration of our export market business disruptions related to the COVID-19 pandemic. The ongoing impact of the COVID-19 pandemic on our results of operations, financial condition, or liquidity for fiscal year 2024 and beyond cannot be estimated at this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results of operations (in thousands):</w:t>
      </w:r>
    </w:p>
    <w:tbl>
      <w:tblPr>
        <w:tblW w:w="8832" w:type="dxa"/>
        <w:jc w:val="left"/>
        <w:tblInd w:w="0" w:type="dxa"/>
        <w:tblLayout w:type="fixed"/>
        <w:tblCellMar>
          <w:top w:w="28" w:type="dxa"/>
          <w:left w:w="28" w:type="dxa"/>
          <w:bottom w:w="28" w:type="dxa"/>
          <w:right w:w="28" w:type="dxa"/>
        </w:tblCellMar>
      </w:tblPr>
      <w:tblGrid>
        <w:gridCol w:w="1611"/>
        <w:gridCol w:w="1420"/>
        <w:gridCol w:w="1424"/>
        <w:gridCol w:w="109"/>
        <w:gridCol w:w="109"/>
        <w:gridCol w:w="162"/>
        <w:gridCol w:w="162"/>
        <w:gridCol w:w="314"/>
        <w:gridCol w:w="1074"/>
        <w:gridCol w:w="162"/>
        <w:gridCol w:w="109"/>
        <w:gridCol w:w="109"/>
        <w:gridCol w:w="109"/>
        <w:gridCol w:w="109"/>
        <w:gridCol w:w="109"/>
        <w:gridCol w:w="211"/>
        <w:gridCol w:w="721"/>
        <w:gridCol w:w="109"/>
        <w:gridCol w:w="109"/>
        <w:gridCol w:w="109"/>
        <w:gridCol w:w="109"/>
        <w:gridCol w:w="109"/>
        <w:gridCol w:w="109"/>
        <w:gridCol w:w="154"/>
      </w:tblGrid>
      <w:tr>
        <w:trPr/>
        <w:tc>
          <w:tcPr>
            <w:tcW w:w="1611"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2285" w:type="dxa"/>
            <w:gridSpan w:val="14"/>
            <w:tcBorders/>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January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Agribusiness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38,339 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39,731 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Agribusiness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39,114 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disposal of assets,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47,476 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Agribusiness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disposal of assets,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(7,745)</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(expense)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patronage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investments,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before income tax benefit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(7,867)</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Limoneira Company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Due to significant depreciable assets associated with the nature of our operations and interest costs associated with our capital structure, management believes that earnings before interest, income taxes, depreciation and amortization (“EBITDA”) and adjusted EBITDA, which excludes stock-based compensation, pension settlement cost, gain on disposal of assets, net, and cash bonus related to sale of assets are important measures to evaluate our results of operations between periods on a more comparable basis. Such measurements are not prepared in accordance with U.S. generally accepted accounting principles (“GAAP”) and should not be construed as an alternative to reported results determined in accordance with GAAP. The non-GAAP information provided is unique to us and may not be consistent with methodologies used by other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EBITDA and adjusted EBITDA are summarized and reconciled to net (loss) income attributable to Limoneira Company which management considers to be the most directly comparable financial measure calculated and presented in accordance with GAAP, as follows (in thousands):</w:t>
      </w:r>
    </w:p>
    <w:tbl>
      <w:tblPr>
        <w:tblW w:w="8178" w:type="dxa"/>
        <w:jc w:val="left"/>
        <w:tblInd w:w="0" w:type="dxa"/>
        <w:tblLayout w:type="fixed"/>
        <w:tblCellMar>
          <w:top w:w="28" w:type="dxa"/>
          <w:left w:w="28" w:type="dxa"/>
          <w:bottom w:w="28" w:type="dxa"/>
          <w:right w:w="28" w:type="dxa"/>
        </w:tblCellMar>
      </w:tblPr>
      <w:tblGrid>
        <w:gridCol w:w="1613"/>
        <w:gridCol w:w="1417"/>
        <w:gridCol w:w="1425"/>
        <w:gridCol w:w="109"/>
        <w:gridCol w:w="109"/>
        <w:gridCol w:w="166"/>
        <w:gridCol w:w="166"/>
        <w:gridCol w:w="322"/>
        <w:gridCol w:w="1054"/>
        <w:gridCol w:w="166"/>
        <w:gridCol w:w="109"/>
        <w:gridCol w:w="109"/>
        <w:gridCol w:w="109"/>
        <w:gridCol w:w="211"/>
        <w:gridCol w:w="721"/>
        <w:gridCol w:w="109"/>
        <w:gridCol w:w="109"/>
        <w:gridCol w:w="154"/>
      </w:tblGrid>
      <w:tr>
        <w:trPr/>
        <w:tc>
          <w:tcPr>
            <w:tcW w:w="1613"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1631" w:type="dxa"/>
            <w:gridSpan w:val="8"/>
            <w:tcBorders/>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January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Limoneira Company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net of patronage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Income tax (benefit)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(5,532)</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Pension settlement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Gain on disposal of assets,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bonus related to sale of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(4,833)</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Three Months Ended January 31, 2024 Compared to the Three Months Ended January 31, 2023</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Total net revenues for the three months ended January 31, 2024 were $39.7 million, compared to $37.9 million for the three months ended January 31, 2023. The 5% increase of $1.8 million was primarily due to farm management revenues from our relationship with PGIM. Agribusiness revenues are detailed below (in thousands):</w:t>
      </w:r>
    </w:p>
    <w:tbl>
      <w:tblPr>
        <w:tblW w:w="7515" w:type="dxa"/>
        <w:jc w:val="left"/>
        <w:tblInd w:w="0" w:type="dxa"/>
        <w:tblLayout w:type="fixed"/>
        <w:tblCellMar>
          <w:top w:w="28" w:type="dxa"/>
          <w:left w:w="28" w:type="dxa"/>
          <w:bottom w:w="28" w:type="dxa"/>
          <w:right w:w="28" w:type="dxa"/>
        </w:tblCellMar>
      </w:tblPr>
      <w:tblGrid>
        <w:gridCol w:w="963"/>
        <w:gridCol w:w="849"/>
        <w:gridCol w:w="857"/>
        <w:gridCol w:w="257"/>
        <w:gridCol w:w="880"/>
        <w:gridCol w:w="133"/>
        <w:gridCol w:w="133"/>
        <w:gridCol w:w="133"/>
        <w:gridCol w:w="133"/>
        <w:gridCol w:w="257"/>
        <w:gridCol w:w="880"/>
        <w:gridCol w:w="133"/>
        <w:gridCol w:w="109"/>
        <w:gridCol w:w="109"/>
        <w:gridCol w:w="109"/>
        <w:gridCol w:w="211"/>
        <w:gridCol w:w="616"/>
        <w:gridCol w:w="109"/>
        <w:gridCol w:w="188"/>
        <w:gridCol w:w="188"/>
        <w:gridCol w:w="268"/>
      </w:tblGrid>
      <w:tr>
        <w:trPr/>
        <w:tc>
          <w:tcPr>
            <w:tcW w:w="96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576" w:type="dxa"/>
            <w:gridSpan w:val="15"/>
            <w:tcBorders/>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Lemons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Avocados</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Oranges</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citrus and other crops</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Farm management</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Agribusiness revenues</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38,339 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36,528 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bl>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Lemons: Revenues in the first quarter of fiscal year 2024 were similar to the same period of fiscal year 2023. During the first quarter of fiscal years 2024 and 2023, fresh lemon sales were $23.9 million and $24.7 million, in aggregate, on 1,137,000 and 1,308,000 cartons of lemons sold at average per carton prices of $21.06 and $18.88, respectively. Lemon revenues in the first quarter of fiscal years 2024 and 2023 included brokered lemons and other lemon sales of $2.9 million and $1.4 million, shipping and handling of $5.6 million and $5.6 million and lemon by-product sales of $0.5 million and $1.2 million, respectively.</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Avocados: Due to harvest timing, no sales were recorded for the first quarters of fiscal years 2024 and 2023.</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Oranges: Revenues in the first quarter of fiscal year 2024 were similar to the same period of fiscal year 2023. During the first quarter of fiscal years 2024 and 2023, we sold 80,000 and 64,000 cartons of oranges at an average per carton price of $14.26 and $18.00, respectively.</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Specialty citrus and other crops: The decrease in the first quarter of fiscal year 2024, compared to the same period of fiscal year 2023, was primarily due to a decrease in specialty citrus revenue of $0.8 million, partially offset by wine grapes revenue of $0.6 million. During the first quarter of fiscal years 2024 and 2023, we sold 17,000 and 54,000 40-pound carton equivalents of specialty citrus at an average per carton price of $28.88 and $23.09,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Farm management: Farm management revenues in the first quarter of fiscal year 2024 were $2.0 million, primarily related to the Northern Properties farming, management and operations services. There were no farm management revenues in the first quarter of fiscal year 2023.</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Other: Other revenue is comprised primarily of fallowing and freight revenue. Other revenues in the first quarter of fiscal year 2024 were similar to the same period of fiscal year 2023.</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operations revenue in the first quarters of fiscal years 2024 and 2023 were $1.4 million.</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Costs and Expenses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Total costs and expenses in the first quarter of fiscal year 2024 were $47.5 million, compared to $12.0 million in the same period of fiscal year 2023. The 295% increase of $35.4 million was primarily related to the gain on the sale of the Northern Properties in the first quarter of fiscal year 2023, partially offset by decreases in agribusiness costs and expenses and selling, general and administrative expenses. Agribusiness costs and expenses are detailed below (in thousands):</w:t>
      </w:r>
    </w:p>
    <w:tbl>
      <w:tblPr>
        <w:tblW w:w="8072" w:type="dxa"/>
        <w:jc w:val="left"/>
        <w:tblInd w:w="0" w:type="dxa"/>
        <w:tblLayout w:type="fixed"/>
        <w:tblCellMar>
          <w:top w:w="28" w:type="dxa"/>
          <w:left w:w="28" w:type="dxa"/>
          <w:bottom w:w="28" w:type="dxa"/>
          <w:right w:w="28" w:type="dxa"/>
        </w:tblCellMar>
      </w:tblPr>
      <w:tblGrid>
        <w:gridCol w:w="1142"/>
        <w:gridCol w:w="999"/>
        <w:gridCol w:w="1009"/>
        <w:gridCol w:w="257"/>
        <w:gridCol w:w="880"/>
        <w:gridCol w:w="133"/>
        <w:gridCol w:w="133"/>
        <w:gridCol w:w="133"/>
        <w:gridCol w:w="133"/>
        <w:gridCol w:w="257"/>
        <w:gridCol w:w="880"/>
        <w:gridCol w:w="133"/>
        <w:gridCol w:w="109"/>
        <w:gridCol w:w="109"/>
        <w:gridCol w:w="109"/>
        <w:gridCol w:w="211"/>
        <w:gridCol w:w="691"/>
        <w:gridCol w:w="109"/>
        <w:gridCol w:w="189"/>
        <w:gridCol w:w="189"/>
        <w:gridCol w:w="267"/>
      </w:tblGrid>
      <w:tr>
        <w:trPr/>
        <w:tc>
          <w:tcPr>
            <w:tcW w:w="11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Packing costs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Harvest costs</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Growing costs</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Third-party grower and supplier costs</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costs</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Agribusiness costs and expenses</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39,114 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41,241 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bl>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 xml:space="preserve">Packing costs: Packing costs consist primarily of the costs to pack lemons for sale such as labor and benefits, custom pack, cardboard cartons, fruit treatments, packing and shipping supplies and facility operating costs. During the first quarter of fiscal years 2024 and 2023, we packed and sold 1,137,000 and 1,308,000 cartons of lemons at average per carton costs of $9.43 and $8.68, respectively. The increase in per carton packing costs was primarily due to decreased volume packed and sold. </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Harvest costs: The decrease in the first quarter of fiscal year 2024, compared to the same period of fiscal year 2023, was primarily due to decreased volume of lemons harvested due to rainfall delaying harvest.</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Growing costs: Growing costs, also referred to as cultural costs, consist of orchard maintenance costs such as cultivation, fertilization and soil amendments, pest control, pruning and irrigation. The decrease in the first quarter of fiscal year 2024, compared to the same period in fiscal year 2023, was primarily due to the Northern Properties sale in the first quarter of fiscal year 2023.</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Third-party grower and supplier costs: We sell fruit that we grow and fruit that we procure from other growers and suppliers. The cost of procuring fruit from other growers and suppliers is referred to as third-party grower and supplier costs. The increase in the first quarter of fiscal year 2024, compared to the same period of fiscal year 2023, was primarily due to increased volume and prices for third-party grower fruit. In the first quarter of fiscal years 2024 and 2023, we incurred costs for third-party grower fruit of $14.7 million and $11.8 million, respectively. Of the 1,137,000 and 1,308,000 cartons of lemons packed and sold during the first quarter of fiscal years 2024 and 2023, 952,000 (84%) and 866,000 (66%), were procured from third-party growers at average per carton prices of $15.41 and $13.60, respectively. The increased volume for third-party grower fruit was primarily due to Northern Properties fruit that was Limoneira fruit in the first quarter of fiscal year 2023 and third-party grower fruit in the first quarter of fiscal year 2024. In the first quarter of fiscal years 2024 and 2023, we incurred costs for third-party supplier fruit of $3.0 million and $3.2 million, respectively.</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Other costs: The decrease in the first quarter of fiscal year 2024, compared to the same period of fiscal year 2023, was primarily due to decreased freight costs.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Depreciation and amortization: Depreciation and amortization expense for the first quarter of fiscal years 2024 and 2023 was $1.7 million and $2.1 million, respectively. The decrease in the first quarter of fiscal year 2024, compared to the same period of fiscal year 2023, was primarily due to the Northern Properties sale in the first quarter of fiscal year 2023.</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operations expenses were $1.2 million in the first quarters of fiscal years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Gain on disposal of assets, net was $0.2 million and $39.7 million in the first quarter of fiscal years 2024 and 2023, respectively. The decrease was primarily due to the Northern Properties sale in the first quarter of fiscal year 2023.</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costs and expenses were $7.3 million and $9.3 million in the first quarter of fiscal years 2024 and 2023, respectively. The 21% decrease of $1.9 million was primarily due to:</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$2.0 million net decrease in salaries, benefits and incentive compensation, primarily due to the Northern Properties sale; and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$0.1 million net increase in other selling, general and administrative expenses, primarily associated with our strategic initiatives.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Other (Expense) Income</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Total other expense was $0.1 million and $3.5 million in the first quarter of fiscal years 2024 and 2023, respectively. The decrease of $3.4 million in total other expense was primarily due to:</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$1.0 million decrease in interest expense as a result of decreased long-term debt; and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$2.6 million decrease in other expense, net, primarily related to the pension plan settlement.</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an estimated income tax benefit (provision) of $4.2 million and $(6.8) million in the first quarter of fiscal years 2024 and 2023 on pre-tax (loss) income of $(7.9) million and $22.4 million, respectively. The tax benefit recorded for the first quarter of fiscal year 2024 differs from the U.S. federal statutory tax rate of 21.0% due primarily to foreign jurisdictions which are taxed at different rates, state taxes, tax impact of stock-based compensation, nondeductible tax items and valuation allowances on certain deferred tax assets of foreign subsidiaries. Our projected annual effective blended tax rate for fiscal year 2024, excluding discrete items, is approximately 45.2%.</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Net Loss Attributable to Noncontrolling Interest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 represents 10% and 49% of PDA and Trapani Fresh, respectively, of the net loss in the first quarter of fiscal years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Segment Results of Operations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four reportable operating segments: fresh lemons, lemon packing, avocados and other agribusiness. Our reportable operating segments are strategic business units with different products and services, distribution processes and customer bases. We evaluate the performance of our operating segments separately to monitor the different factors affecting financial results. Each segment is subject to review and evaluations related to current market conditions, market opportunities and available resources. See Note 19 - Segment Information for additional information regarding our operating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Three Months Ended January 31, 2024 Compared to the Three Months Ended January 31, 2023</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segment results of operations for the three months ended January 31, 2024 (in thousands):</w:t>
      </w:r>
    </w:p>
    <w:tbl>
      <w:tblPr>
        <w:tblW w:w="10137" w:type="dxa"/>
        <w:jc w:val="left"/>
        <w:tblInd w:w="0" w:type="dxa"/>
        <w:tblLayout w:type="fixed"/>
        <w:tblCellMar>
          <w:top w:w="28" w:type="dxa"/>
          <w:left w:w="28" w:type="dxa"/>
          <w:bottom w:w="28" w:type="dxa"/>
          <w:right w:w="28" w:type="dxa"/>
        </w:tblCellMar>
      </w:tblPr>
      <w:tblGrid>
        <w:gridCol w:w="927"/>
        <w:gridCol w:w="817"/>
        <w:gridCol w:w="820"/>
        <w:gridCol w:w="196"/>
        <w:gridCol w:w="646"/>
        <w:gridCol w:w="109"/>
        <w:gridCol w:w="196"/>
        <w:gridCol w:w="556"/>
        <w:gridCol w:w="109"/>
        <w:gridCol w:w="277"/>
        <w:gridCol w:w="574"/>
        <w:gridCol w:w="155"/>
        <w:gridCol w:w="223"/>
        <w:gridCol w:w="463"/>
        <w:gridCol w:w="125"/>
        <w:gridCol w:w="229"/>
        <w:gridCol w:w="649"/>
        <w:gridCol w:w="128"/>
        <w:gridCol w:w="207"/>
        <w:gridCol w:w="683"/>
        <w:gridCol w:w="116"/>
        <w:gridCol w:w="196"/>
        <w:gridCol w:w="631"/>
        <w:gridCol w:w="109"/>
        <w:gridCol w:w="196"/>
        <w:gridCol w:w="646"/>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Fresh</w:t>
              <w:br/>
              <w:t>Lemons</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Lemon</w:t>
              <w:br/>
              <w:t>Packing</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Eliminations</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sz w:val="16"/>
              </w:rPr>
              <w:br/>
            </w:r>
            <w:r>
              <w:rPr>
                <w:rFonts w:ascii="Times New Roman;sans-serif" w:hAnsi="Times New Roman;sans-serif"/>
                <w:b/>
                <w:color w:val="000000"/>
                <w:sz w:val="16"/>
              </w:rPr>
              <w:t>Avocados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br/>
              <w:t>Agribusiness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Agribusiness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br/>
              <w:t>and Other</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from external customers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38,339 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Intersegment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Total net revenues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38,339 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Costs and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37,370 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Operating (loss)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segment results of operations for the three months ended January 31, 2023 (in thousands):</w:t>
      </w:r>
    </w:p>
    <w:tbl>
      <w:tblPr>
        <w:tblW w:w="10152" w:type="dxa"/>
        <w:jc w:val="left"/>
        <w:tblInd w:w="0" w:type="dxa"/>
        <w:tblLayout w:type="fixed"/>
        <w:tblCellMar>
          <w:top w:w="28" w:type="dxa"/>
          <w:left w:w="28" w:type="dxa"/>
          <w:bottom w:w="28" w:type="dxa"/>
          <w:right w:w="28" w:type="dxa"/>
        </w:tblCellMar>
      </w:tblPr>
      <w:tblGrid>
        <w:gridCol w:w="927"/>
        <w:gridCol w:w="817"/>
        <w:gridCol w:w="820"/>
        <w:gridCol w:w="196"/>
        <w:gridCol w:w="646"/>
        <w:gridCol w:w="109"/>
        <w:gridCol w:w="196"/>
        <w:gridCol w:w="556"/>
        <w:gridCol w:w="109"/>
        <w:gridCol w:w="277"/>
        <w:gridCol w:w="574"/>
        <w:gridCol w:w="155"/>
        <w:gridCol w:w="223"/>
        <w:gridCol w:w="463"/>
        <w:gridCol w:w="125"/>
        <w:gridCol w:w="229"/>
        <w:gridCol w:w="649"/>
        <w:gridCol w:w="128"/>
        <w:gridCol w:w="207"/>
        <w:gridCol w:w="683"/>
        <w:gridCol w:w="116"/>
        <w:gridCol w:w="196"/>
        <w:gridCol w:w="646"/>
        <w:gridCol w:w="109"/>
        <w:gridCol w:w="196"/>
        <w:gridCol w:w="646"/>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Fresh</w:t>
              <w:br/>
              <w:t>Lemons</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Lemon</w:t>
              <w:br/>
              <w:t>Packing</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Eliminations</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sz w:val="16"/>
              </w:rPr>
              <w:br/>
            </w:r>
            <w:r>
              <w:rPr>
                <w:rFonts w:ascii="Times New Roman;sans-serif" w:hAnsi="Times New Roman;sans-serif"/>
                <w:b/>
                <w:color w:val="000000"/>
                <w:sz w:val="16"/>
              </w:rPr>
              <w:t>Avocados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br/>
              <w:t>Agribusiness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Agribusiness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br/>
              <w:t>and Other</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from external customers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36,528 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Intersegment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Total net revenues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36,528 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Costs and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(loss) income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(4,713)</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analysis should be read in conjunction with the previous section “Results of Operations.”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Fresh Lemons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Fresh lemons segment revenue is comprised of sales of fresh lemons, lemon by-products, brokered lemons and other lemon revenue. For the first quarter of fiscal years 2024 and 2023, our fresh lemons segment total net revenues were $27.4 million and $27.3 million, respectively. The increase of $0.1 million was primarily due to:</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Fresh lemon sales decrease of $0.8 million;</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Lemon by-products sales decrease of $0.7 million; and</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Brokered lemons and other lemon sales increase of $1.6 million.</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Costs and expenses associated with our fresh lemons segment include growing costs, harvest costs, cost of lemons we procure from third-party growers and suppliers and packing service charges incurred from the lemon packing segment to pack lemons for sale. For the first quarter of fiscal years 2024 and 2023, our fresh lemons segment costs and expenses were $28.8 million and $32.3 million, respectively. The 11% decrease of $3.5 million was primarily due to:</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Harvest costs decrease of $2.2 million;</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Growing costs decrease of $3.5 million;</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Third-party grower and supplier costs increase of $2.9 million; and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Intersegment costs and expenses decrease of $0.7 million.</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Lemon Packing</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Lemon packing segment revenue is comprised of packing revenue and intersegment packing revenue. For the first quarter of fiscal years 2024 and 2023, our lemon packing segment total net revenues were $12.3 million and $13.0 million, respectively. The 5% decrease of $0.7 million was primarily due to decreased volume of lemons packed.</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Costs and expenses associated with our lemon packing segment consist of the costs to pack lemons for sale such as labor and benefits, cardboard cartons, fruit treatments, packing and shipping supplies and facility operating costs. For the first quarter of fiscal years 2024 and 2023, our lemon packing costs and expenses were $10.7 million and $11.4 million, respectively. The 6% decrease of $0.6 million was primarily due to decreased volume packed and sold.</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For the first quarter of fiscal years 2024 and 2023, lemon packing segment operating income per carton sold was $1.40 and $1.27,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lemon packing segment included $6.7 million and $7.4 million of intersegment revenues for the first quarter of fiscal years 2024 and 2023, respectively, that were charged to the fresh lemons segment to pack lemons for sale. Such intersegment revenues and expenses are eliminated in our consolidated financial statements.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Avocados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avocados segment had no revenues for the first quarters of fiscal years 2024 and 2023.</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Costs and expenses associated with our avocados segment include growing and harvest costs. Our avocados segment had no costs and expenses for the first quarters of fiscal years 2024 and 2023. </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Other Agribusiness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other agribusiness segment total net revenues were $5.4 million and $3.6 million for the first quarter of fiscal years 2024 and 2023, respectively. The 51% increase of $1.8 million was primarily due to:</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Specialty citrus and other crops revenues decrease of $0.2 million; and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Farm management revenues for the first quarter of fiscal year 2024 were $2.0 million. There were no farm management revenues in the first quarter of fiscal year 2023.</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Costs and expenses associated with our other agribusiness segment include growing costs, harvest costs, purchased fruit costs and freight costs. Our other agribusiness costs and expenses were $4.5 million and $2.8 million for the first quarter of fiscal years 2024 and 2023, respectively. The 62% increase of $1.7 million was primarily due to:</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Harvest costs increase of $0.1 million;</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Growing costs increase of $2.0 million;</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Purchased fruit costs decrease of $0.2 million; and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Freight costs decrease of $0.2 million.</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Total agribusiness depreciation and amortization expenses were $1.7 million and $2.1 million for the first quarter of fiscal years 2024 and 2023, respectively.</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Corporate and Other</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corporate and other operations had revenues of $1.4 million for the first quarters of fiscal years 2024 and 2023.</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Costs and expenses in our corporate and other operations were approximately $8.0 million and $(29.5) million for the first quarter of fiscal years 2024 and 2023, respectively, and include selling, general and administrative costs and expenses and gain on disposal of assets, net. Depreciation and amortization expenses for the first quarters of fiscal years 2024 and 2023 were similar at $0.3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Seasonal Operations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our agribusiness operations have been seasonal in nature with quarterly revenue fluctuating depending on the timing and the variety of crops being harvested. Cultural costs in our agribusiness tend to be higher in the first and second quarters and lower in the third and fourth quarters because of the timing of expensing cultural costs in the current year that were inventoried in the prior year. Our harvest costs generally increase in the second quarter and peak in the third quarter coinciding with the increasing production and revenue. Due to this seasonality and to avoid the inference that interim results are indicative of the estimated results for a full fiscal year, we present supplemental information for 12-month periods ended at the interim date for the current and preceding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Results of Operations for the Trailing Twelve Months Ended January 31, 2024 and 2023</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unaudited results of operations (in thousands):</w:t>
      </w:r>
    </w:p>
    <w:tbl>
      <w:tblPr>
        <w:tblW w:w="8305" w:type="dxa"/>
        <w:jc w:val="left"/>
        <w:tblInd w:w="0" w:type="dxa"/>
        <w:tblLayout w:type="fixed"/>
        <w:tblCellMar>
          <w:top w:w="28" w:type="dxa"/>
          <w:left w:w="28" w:type="dxa"/>
          <w:bottom w:w="28" w:type="dxa"/>
          <w:right w:w="28" w:type="dxa"/>
        </w:tblCellMar>
      </w:tblPr>
      <w:tblGrid>
        <w:gridCol w:w="1611"/>
        <w:gridCol w:w="1420"/>
        <w:gridCol w:w="1424"/>
        <w:gridCol w:w="305"/>
        <w:gridCol w:w="1195"/>
        <w:gridCol w:w="157"/>
        <w:gridCol w:w="157"/>
        <w:gridCol w:w="157"/>
        <w:gridCol w:w="157"/>
        <w:gridCol w:w="305"/>
        <w:gridCol w:w="1195"/>
        <w:gridCol w:w="222"/>
      </w:tblGrid>
      <w:tr>
        <w:trPr/>
        <w:tc>
          <w:tcPr>
            <w:tcW w:w="1611"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8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Trailing Twelve Months Ended January 31,</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16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Agribusiness</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177,726 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operations</w:t>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15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181,730 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183,232 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Agribusiness</w:t>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160,648 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operations</w:t>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disposal of assets</w:t>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(44,157)</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legal settlement</w:t>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204,577 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145,589 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(loss) income</w:t>
            </w:r>
          </w:p>
        </w:tc>
        <w:tc>
          <w:tcPr>
            <w:tcW w:w="15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37,643 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patronage dividends</w:t>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investments, net</w:t>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(3,582)</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w:t>
            </w:r>
          </w:p>
        </w:tc>
        <w:tc>
          <w:tcPr>
            <w:tcW w:w="15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(5,677)</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(Loss) income before income tax benefit (provision)</w:t>
            </w:r>
          </w:p>
        </w:tc>
        <w:tc>
          <w:tcPr>
            <w:tcW w:w="1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31,966 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Income tax benefit (provision)</w:t>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(10,300)</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1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21,666 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Loss attributable to noncontrolling interest</w:t>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Limoneira Company</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(9,817)</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21,913 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analysis should be read in conjunction with the previous section “Results of Operations.”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Total revenues decreased $1.5 million, primarily due to decreased avocados and oranges agribusiness revenues, partially offset by increased farm management revenues.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Total costs and expenses increased $59.0 million, primarily due to loss (gain) on disposal of assets and increased agribusiness costs and selling, general and administrative expenses.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Total other income decreased $11.7 million, primarily due to decreased interest expense, increased equity in earnings of investments, net and decreased other expense related to pension settlement costs.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Income tax benefit increased $17.1 million, primarily due to increased pre-tax loss of $48.8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sources of liquidity are cash and cash flows generated from our operations and use of our revolving credit facility. Our liquidity and capital position fluctuates during the year depending on seasonal production cycles, weather events and demand for our products. Typically, our first and last fiscal quarters coincide with the fall and winter months during which we are growing crops that are harvested and sold in the spring and summer, which are our second and third quarters. To meet working capital demand and investment requirements of our agribusiness and real estate development projects and to supplement operating cash flows, we utilize our revolving credit facility to fund agricultural inputs and farm management practices until sufficient returns from crops allow us to repay amounts borrowed. Raw materials needed to propagate the various crops grown by us consist primarily of fertilizer, herbicides, insecticides, fuel and water, all of which are readily available from local 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Material contractual obligations arising in the normal course of business consist primarily of purchase obligations, long-term fixed rate and variable rate debt and related interest payments and operating and finance leases. See Note 10 - Long-Term Debt and Note 12 - Leases for amounts outstanding as of January 31, 2024, related to debt and leases. Purchase obligations consist of contracts primarily related to packing supplies, the majority of which are due in the next 5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cash flows from operations and available borrowing capacity from our existing credit facilities will be sufficient to satisfy our capital expenditures, debt service, working capital needs and other contractual obligations for the next twelve months. We believe our revenue generating operations, distributions from equity investments and credit facilities will generate sufficient cash needed to operate beyond the next twelve months. In addition, we have the ability to control a portion of our investing cash flows to the extent necessary based on our liquidity demands.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Cash Flows from Operating Activities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was $10.3 million and $21.2 million for the three months ended January 31, 2024 and 2023, respectively. The significant components of our cash flows used in operating activities were as follows: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Net (loss) income was $(3.7) million and $15.5 million for the three months ended January 31, 2024 and 2023, respectively. The components of net loss in the three months ended January 31, 2024, compared to the net income in the same period in fiscal year 2023 consist of a decrease in operating income of $33.6 million primarily due to the Northern Properties sale, a decrease in total other expense of $3.4 million and an increase in income tax benefit of $11.0 million.</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Adjustments to reconcile net (loss) income to net cash used in operating activities:</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Adjustments used $1.1 million and $29.1 million in the three months ended January 31, 2024 and 2023, respectively, primarily related to depreciation and amortization, gain on disposal of assets and deferred income taxes.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Changes in operating assets and liabilities used $5.5 million and $7.6 million of operating cash in the three months ended January 31, 2024 and 2023, respectively, primarily related to accounts receivables and receivables/other from related parties and accounts payable and growers and suppliers payable.</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 was $(1.6) million and $99.1 million for the three months ended January 31, 2024 and 2023, respectively.</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The $1.6 million of cash used in investing activities during the three months ended January 31, 2024 was comprised primarily of capital expenditures of $2.2 million, primarily related to orchard and vineyard development, and equity investment contributions and capitalized interest of $0.3 million, partially offset by net proceeds from sales of assets of $0.8 million.</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The $99.1 million of cash provided by investing activities during the three months ended January 31, 2023 was comprised primarily of net proceeds from sales of assets of $98.9 million and net proceeds from the sale of real estate development assets of $2.6 million, partially offset by capital expenditures of $2.2 million, primarily related to orchard and vineyard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 was $8.8 million and $(66.3) million for the three months ended January 31, 2024 and 2023, respectively.</w:t>
      </w:r>
    </w:p>
    <w:p>
      <w:pPr>
        <w:pStyle w:val="TextBody"/>
        <w:bidi w:val="0"/>
        <w:spacing w:lineRule="auto" w:line="288" w:before="0" w:after="80"/>
        <w:ind w:left="0" w:right="0" w:hanging="360"/>
        <w:jc w:val="both"/>
        <w:rPr/>
      </w:pPr>
      <w:r>
        <w:rPr>
          <w:color w:val="000000"/>
        </w:rPr>
        <w:t>•</w:t>
      </w:r>
      <w:r>
        <w:rPr>
          <w:rFonts w:ascii="Times New Roman;sans-serif" w:hAnsi="Times New Roman;sans-serif"/>
          <w:b w:val="false"/>
          <w:color w:val="000000"/>
          <w:sz w:val="20"/>
        </w:rPr>
        <w:t>The $8.8 million of cash provided by financing activities during the three months ended January 31, 2024 was comprised primarily of net borrowings of long-term debt of $11.1 million, partially offset by common and preferred stock dividends of $1.5 million and exchange of common stock of $0.7 million.</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The $66.3 million of cash used in financing activities during the three months ended January 31, 2023 was comprised primarily of net repayments of long-term debt of $64.8 million and common and preferred dividends of $1.5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Transactions Affecting Liquidity and Capital Resources</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Credit Facilities and Long-Term Debt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finance our working capital and other liquidity requirements primarily through cash from operations and from our AgWest Farm Credit Facility, which includes the Master Loan Agreement (the “MLA”) and Supplements. In addition, we have Banco de Chile term loans and COVID-19 loans. Additional information regarding these loans can be found in Note 10 - Long-Term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2021, we entered into the MLA with the Lender, together with the Supplements and a Fixed Interest Rate Agreement, which extends the principal repayment to July 1, 2026. The MLA governs the terms of the Supplements.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Supplements provide aggregate borrowing capacity of $115.0 million, comprised of $75.0 million under the Revolving Credit Supplement and $40.0 million under the Non-Revolving Credit Supplement. As of January 31, 2024, our outstanding borrowings under the AgWest Farm Credit Facility were $51.3 million and we had $63.7 million of availability.</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31, 2023, the Company sold the Northern Properties which resulted in total net proceeds of $98.4 million. The proceeds were used to pay down all of the Company's domestic debt except the Non-Revolving Credit Supplement.</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MLA subjects us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our business. We are also subject to a financial covenant that requires us to maintain compliance with a specific debt service coverage ratio on an annual basis. In September 2023, the Lender modified the covenant to defer measurement as of October 31, 2023 and resume a debt service coverage ratio of 1.25:1.0 measured as of October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Lender declared an annual cash patronage dividend of 1.25% of average eligible loan balances and we received $0.3 million in the second quarter of fiscal year 2024. In February 2023, the Lender declared an annual cash patronage dividend of 1.25% of average eligible loan balances and we received $1.4 million in the second quarter of fiscal year 2023.</w:t>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the Series B Convertible Preferred Stock and the Series B-2 Preferred Stock are entitled to receive cumulative cash dividends. Such preferred dividends paid were $0.1 million in the three months ended January 31, 2024 and 2023.</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Cash dividends declared in the three months ended January 31, 2024 and 2023 were $0.075 per common share and such dividends paid were $1.4 million and $1.3 million in the three months ended January 31,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our consolidated financial statements in accordance with GAAP requires us to develop critical accounting policies and make certain estimates, assumptions and judgments that may affect the reported amounts of assets, liabilities, revenues and expenses. We base our estimates and judgments on historical experience, available relevant data and other information that we believe to be reasonable under the circumstances, and we continue to review and evaluate these estimates. Actual results may materially differ from these estimates under different assumptions or conditions as new or additional information become available in future periods. During the three months ended January 31, 2024, our critical accounting policies and estimates have not changed since the filing of our Annual Report on Form 10-K as of October 31, 2023. Please refer to that filing for a description of our critical accounting policies and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40"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See Note 2 - Summary of Significant Accounting Policies of the notes to consolidated financial statements included in this Quarterly Report for information concerning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Item 3. Quantitative and Qualitative Disclosures about Market Risk</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the disclosures discussed in the section entitled “Quantitative and Qualitative Disclosures about Market Risk” in Part II, Item 7A of our Annual Report on Form 10-K for the fiscal year ended October 31, 2023, as filed with the SEC on December 21,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Item 4. Controls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pPr>
      <w:r>
        <w:rPr>
          <w:rFonts w:ascii="Times New Roman;sans-serif" w:hAnsi="Times New Roman;sans-serif"/>
          <w:b/>
          <w:i/>
          <w:color w:val="000000"/>
          <w:sz w:val="20"/>
        </w:rPr>
        <w:t>Disclosure Controls and Procedures.</w:t>
      </w:r>
      <w:r>
        <w:rPr>
          <w:color w:val="000000"/>
        </w:rPr>
        <w:t xml:space="preserve"> </w:t>
      </w:r>
      <w:r>
        <w:rPr>
          <w:rFonts w:ascii="Times New Roman;sans-serif" w:hAnsi="Times New Roman;sans-serif"/>
          <w:b w:val="false"/>
          <w:color w:val="000000"/>
          <w:sz w:val="20"/>
        </w:rPr>
        <w:t>As of January 31, 2024,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promulgated under the Exchange Act. Based upon that evaluation, our Chief Executive Officer and Chief Financial Officer concluded that our disclosure controls and procedures were effective as of the end of the period covered by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pPr>
      <w:r>
        <w:rPr>
          <w:rFonts w:ascii="Times New Roman;sans-serif" w:hAnsi="Times New Roman;sans-serif"/>
          <w:b/>
          <w:i/>
          <w:color w:val="000000"/>
          <w:sz w:val="20"/>
        </w:rPr>
        <w:t>Changes in Internal Control over Financial Reporting.</w:t>
      </w:r>
      <w:r>
        <w:rPr>
          <w:color w:val="000000"/>
        </w:rPr>
        <w:t xml:space="preserve"> </w:t>
      </w:r>
      <w:r>
        <w:rPr>
          <w:rFonts w:ascii="Times New Roman;sans-serif" w:hAnsi="Times New Roman;sans-serif"/>
          <w:b w:val="false"/>
          <w:color w:val="000000"/>
          <w:sz w:val="20"/>
        </w:rPr>
        <w:t>There have been no significant changes in our internal control over financial reporting during the quarter ended January 31, 2024, or, to our knowledge, in other factors that have materially affected, or are reasonably likely to materially affect, our internal control over financial reporting.</w:t>
      </w:r>
    </w:p>
    <w:p>
      <w:pPr>
        <w:pStyle w:val="TextBody"/>
        <w:bidi w:val="0"/>
        <w:spacing w:lineRule="auto" w:line="288" w:before="0" w:after="160"/>
        <w:jc w:val="both"/>
        <w:rPr/>
      </w:pPr>
      <w:r>
        <w:rPr>
          <w:rFonts w:ascii="Times New Roman;sans-serif" w:hAnsi="Times New Roman;sans-serif"/>
          <w:b/>
          <w:i/>
          <w:color w:val="000000"/>
          <w:sz w:val="20"/>
        </w:rPr>
        <w:t>Limitations on the Effectiveness of Controls.</w:t>
      </w:r>
      <w:r>
        <w:rPr>
          <w:color w:val="000000"/>
        </w:rPr>
        <w:t xml:space="preserve"> </w:t>
      </w:r>
      <w:r>
        <w:rPr>
          <w:rFonts w:ascii="Times New Roman;sans-serif" w:hAnsi="Times New Roman;sans-serif"/>
          <w:b w:val="false"/>
          <w:color w:val="000000"/>
          <w:sz w:val="20"/>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Item 1. Legal Proceedings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a party to various lawsuits, arbitrations or mediations that arise in the ordinary course of business. The disclosure called for by Part II, Item 1 regarding our legal proceedings is incorporated by reference herein from Part I, Item 1 Note 17 - Commitments and Contingencies of the Notes to the Consolidated Financial Statements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Item 1A. Risk Factors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the disclosures discussed in the section entitled “Risk Factors” in Part I, Item 1A of our Annual Report on Form 10-K for the fiscal year ended October 31, 2023, as filed with the SEC on December 21,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Item 2. Unregistered Sales of Equity Securities and Use of Proceeds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fiscal year 2024, we purchased shares of our common stock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566"/>
        <w:gridCol w:w="498"/>
        <w:gridCol w:w="503"/>
        <w:gridCol w:w="542"/>
        <w:gridCol w:w="495"/>
        <w:gridCol w:w="496"/>
        <w:gridCol w:w="335"/>
        <w:gridCol w:w="980"/>
        <w:gridCol w:w="173"/>
        <w:gridCol w:w="803"/>
        <w:gridCol w:w="803"/>
        <w:gridCol w:w="805"/>
        <w:gridCol w:w="935"/>
        <w:gridCol w:w="935"/>
        <w:gridCol w:w="1336"/>
      </w:tblGrid>
      <w:tr>
        <w:trPr/>
        <w:tc>
          <w:tcPr>
            <w:tcW w:w="56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Period</w:t>
            </w:r>
          </w:p>
        </w:tc>
        <w:tc>
          <w:tcPr>
            <w:tcW w:w="153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Total Number of Shares Purchased </w:t>
            </w:r>
            <w:r>
              <w:rPr>
                <w:rFonts w:ascii="Times New Roman;sans-serif" w:hAnsi="Times New Roman;sans-serif"/>
                <w:b/>
                <w:color w:val="000000"/>
                <w:sz w:val="13"/>
              </w:rPr>
              <w:t>(1)</w:t>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Price Paid per Share</w:t>
            </w:r>
          </w:p>
        </w:tc>
        <w:tc>
          <w:tcPr>
            <w:tcW w:w="24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 as Part of Publicly Announced Plans or Programs</w:t>
            </w:r>
          </w:p>
        </w:tc>
        <w:tc>
          <w:tcPr>
            <w:tcW w:w="3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Maximum Number (or Approximate Dollar Value) of Shares that May Yet Be Purchased Under the Plans or Programs</w:t>
            </w:r>
          </w:p>
        </w:tc>
      </w:tr>
      <w:tr>
        <w:trPr/>
        <w:tc>
          <w:tcPr>
            <w:tcW w:w="15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 2023 - November 30, 2023</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 2023 - December 31, 2023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36,097 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2024 - January 31, 2024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3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36,097 </w:t>
            </w:r>
          </w:p>
        </w:tc>
        <w:tc>
          <w:tcPr>
            <w:tcW w:w="4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8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Shares were acquired from employees in accordance with our stock-based compensation plan as a result of share withholdings to pay income tax related to the vesting and distribution of restricted stock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Item 3. Defaults Upon Senior Securities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Item 4. Mine Safety Disclosures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Item 5. Other Information</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2755"/>
        <w:gridCol w:w="2735"/>
        <w:gridCol w:w="3904"/>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390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Exhibit</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9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ans-serif" w:hAnsi="Times New Roman;sans-serif"/>
                  <w:b w:val="false"/>
                  <w:color w:val="0000FF"/>
                  <w:sz w:val="20"/>
                  <w:u w:val="single"/>
                </w:rPr>
                <w:t>Restated Certificate of Incorporation of Limoneira Company, dated July 5, 1990 (Incorporated by reference to Exhibit 3.1 to the Company’s Registration Statement on Form 10, and amendments thereto, declared effective April 13, 2010 (File No. 000-53885))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Agreement of Merger Between Ronald Michaelis Ranches, Inc. and Limoneira Company, dated June 24, 1997 (Incorporated by reference to Exhibit 3.6 to the Company’s Registration Statement on Form 10, and amendments thereto, declared effective April 13, 2010 (File No. 000-53885))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0"/>
                  <w:u w:val="single"/>
                </w:rPr>
                <w:t>Certificate of Amendment of Certificate of Incorporation of Limoneira Company, dated April 22, 2003 (Incorporated by reference to Exhibit 3.7 to the Company’s Registration Statement on Form 10, and amendments thereto, declared effective April 13, 2010 (File No. 000-53885))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ans-serif" w:hAnsi="Times New Roman;sans-serif"/>
                  <w:b w:val="false"/>
                  <w:color w:val="0000FF"/>
                  <w:sz w:val="20"/>
                  <w:u w:val="single"/>
                </w:rPr>
                <w:t>Certificate of Amendment of Certificate of Incorporation of Limoneira Company, dated March 24, 2010 (Incorporated by reference to Exhibit 3.9 to the Company’s Registration Statement on Form 10, and amendments thereto, declared effective April 13, 2010 (File No. 000-53885))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ans-serif" w:hAnsi="Times New Roman;sans-serif"/>
                  <w:b w:val="false"/>
                  <w:color w:val="0000FF"/>
                  <w:sz w:val="20"/>
                  <w:u w:val="single"/>
                </w:rPr>
                <w:t>Certificate of Amendment of Certificate of Incorporation of Limoneira Company, dated March 29, 2017 (Incorporated by reference to Exhibit 3.1 to the Company’s Current Report on Form 8-K, filed March 31, 2017 (File No. 001-34755))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ans-serif" w:hAnsi="Times New Roman;sans-serif"/>
                  <w:b w:val="false"/>
                  <w:color w:val="0000FF"/>
                  <w:sz w:val="20"/>
                  <w:u w:val="single"/>
                </w:rPr>
                <w:t>Amended and Restated Bylaws of Limoneira Company, dated December 15, 2023 (Incorporated by reference to Exhibit 3.1 to the Company's Current Report on Form 8-K, filed December 18, 2023 (File No. 001-34755))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ans-serif" w:hAnsi="Times New Roman;sans-serif"/>
                  <w:b w:val="false"/>
                  <w:color w:val="0000FF"/>
                  <w:sz w:val="20"/>
                  <w:u w:val="single"/>
                </w:rPr>
                <w:t>Certificate of Designation, Preferences and Rights of $8.75 Voting Preferred Stock, $100.00 Par Value, Series B of Limoneira Company, dated May 21, 1997 (Incorporated by reference to Exhibit 3.4 to the Company’s Registration Statement on Form 10, and amendments thereto, declared effective April 13, 2010 (File No. 000-53885))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ans-serif" w:hAnsi="Times New Roman;sans-serif"/>
                  <w:b w:val="false"/>
                  <w:color w:val="0000FF"/>
                  <w:sz w:val="20"/>
                  <w:u w:val="single"/>
                </w:rPr>
                <w:t>Amended Certificate of Designation, Preferences and Rights of $8.75 Voting Preferred Stock, $100.00 Par Value, Series B of Limoneira Company, dated May 21, 1997 (Incorporated by reference to Exhibit 3.5 to the Company’s Registration Statement on Form 10, and amendments thereto, declared effective April 13, 2010 (File No. 000-53885))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ans-serif" w:hAnsi="Times New Roman;sans-serif"/>
                  <w:b w:val="false"/>
                  <w:color w:val="0000FF"/>
                  <w:sz w:val="20"/>
                  <w:u w:val="single"/>
                </w:rPr>
                <w:t>Certificate of Designation, Preferences and Rights of Series A Junior Participating Preferred Stock, $.01 Par Value, of Limoneira Company, dated November 21, 2006 (Incorporated by reference to Exhibit 3.8 to the Company’s Registration Statement on Form 10, and amendments thereto, declared effective April 13, 2010 (File No. 000-53885))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ans-serif" w:hAnsi="Times New Roman;sans-serif"/>
                  <w:b w:val="false"/>
                  <w:color w:val="0000FF"/>
                  <w:sz w:val="20"/>
                  <w:u w:val="single"/>
                </w:rPr>
                <w:t>Certificate of Designation, Preferences and Rights of 4% Voting Preferred Stock, $100.00 Par Value, Series B-2 of Limoneira Company, dated March 20, 2014 (Incorporated by reference to Exhibit 3.1 to the Company’s Current Report on Form 8-K, filed March 24, 2014 (File No. 001-34755))</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4"/>
        <w:gridCol w:w="258"/>
        <w:gridCol w:w="259"/>
        <w:gridCol w:w="2882"/>
        <w:gridCol w:w="2681"/>
        <w:gridCol w:w="3831"/>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3831"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Exhibit</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ans-serif" w:hAnsi="Times New Roman;sans-serif"/>
                  <w:b w:val="false"/>
                  <w:color w:val="000080"/>
                  <w:sz w:val="20"/>
                  <w:u w:val="single"/>
                </w:rPr>
                <w:t>C</w:t>
              </w:r>
            </w:hyperlink>
            <w:hyperlink r:id="rId13">
              <w:r>
                <w:rPr>
                  <w:rStyle w:val="InternetLink"/>
                  <w:rFonts w:ascii="Times New Roman;sans-serif" w:hAnsi="Times New Roman;sans-serif"/>
                  <w:b w:val="false"/>
                  <w:color w:val="000080"/>
                  <w:sz w:val="20"/>
                  <w:u w:val="single"/>
                </w:rPr>
                <w:t>ooperation Agreement, by and between Limoneira Company and Peter J. Nolan</w:t>
              </w:r>
            </w:hyperlink>
            <w:hyperlink r:id="rId14">
              <w:r>
                <w:rPr>
                  <w:rStyle w:val="InternetLink"/>
                  <w:rFonts w:ascii="Times New Roman;sans-serif" w:hAnsi="Times New Roman;sans-serif"/>
                  <w:b w:val="false"/>
                  <w:color w:val="000080"/>
                  <w:sz w:val="20"/>
                  <w:u w:val="single"/>
                </w:rPr>
                <w:t>, date</w:t>
              </w:r>
            </w:hyperlink>
            <w:hyperlink r:id="rId15">
              <w:r>
                <w:rPr>
                  <w:rStyle w:val="InternetLink"/>
                  <w:rFonts w:ascii="Times New Roman;sans-serif" w:hAnsi="Times New Roman;sans-serif"/>
                  <w:b w:val="false"/>
                  <w:color w:val="000080"/>
                  <w:sz w:val="20"/>
                  <w:u w:val="single"/>
                </w:rPr>
                <w:t xml:space="preserve">d December 15, 2023 </w:t>
              </w:r>
            </w:hyperlink>
            <w:hyperlink r:id="rId16">
              <w:r>
                <w:rPr>
                  <w:rStyle w:val="InternetLink"/>
                  <w:rFonts w:ascii="Times New Roman;sans-serif" w:hAnsi="Times New Roman;sans-serif"/>
                  <w:b w:val="false"/>
                  <w:color w:val="000080"/>
                  <w:sz w:val="20"/>
                  <w:u w:val="single"/>
                </w:rPr>
                <w:t>(</w:t>
              </w:r>
            </w:hyperlink>
            <w:hyperlink r:id="rId17">
              <w:r>
                <w:rPr>
                  <w:rStyle w:val="InternetLink"/>
                  <w:rFonts w:ascii="Times New Roman;sans-serif" w:hAnsi="Times New Roman;sans-serif"/>
                  <w:b w:val="false"/>
                  <w:color w:val="000080"/>
                  <w:sz w:val="20"/>
                  <w:u w:val="single"/>
                </w:rPr>
                <w:t>Incorporated by reference to Exhibit 10.</w:t>
              </w:r>
            </w:hyperlink>
            <w:hyperlink r:id="rId18">
              <w:r>
                <w:rPr>
                  <w:rStyle w:val="InternetLink"/>
                  <w:rFonts w:ascii="Times New Roman;sans-serif" w:hAnsi="Times New Roman;sans-serif"/>
                  <w:b w:val="false"/>
                  <w:color w:val="000080"/>
                  <w:sz w:val="20"/>
                  <w:u w:val="single"/>
                </w:rPr>
                <w:t>1</w:t>
              </w:r>
            </w:hyperlink>
            <w:hyperlink r:id="rId19">
              <w:r>
                <w:rPr>
                  <w:rStyle w:val="InternetLink"/>
                  <w:rFonts w:ascii="Times New Roman;sans-serif" w:hAnsi="Times New Roman;sans-serif"/>
                  <w:b w:val="false"/>
                  <w:color w:val="000080"/>
                  <w:sz w:val="20"/>
                  <w:u w:val="single"/>
                </w:rPr>
                <w:t xml:space="preserve"> to the Company’s </w:t>
              </w:r>
            </w:hyperlink>
            <w:hyperlink r:id="rId20">
              <w:r>
                <w:rPr>
                  <w:rStyle w:val="InternetLink"/>
                  <w:rFonts w:ascii="Times New Roman;sans-serif" w:hAnsi="Times New Roman;sans-serif"/>
                  <w:b w:val="false"/>
                  <w:color w:val="000080"/>
                  <w:sz w:val="20"/>
                  <w:u w:val="single"/>
                </w:rPr>
                <w:t>Current Report on Form 8-K, filed December 18, 2023)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lmnr13124exhibit311.htm">
              <w:r>
                <w:rPr>
                  <w:rStyle w:val="InternetLink"/>
                  <w:rFonts w:ascii="Times New Roman;sans-serif" w:hAnsi="Times New Roman;sans-serif"/>
                  <w:b w:val="false"/>
                  <w:color w:val="0000FF"/>
                  <w:sz w:val="20"/>
                  <w:u w:val="single"/>
                </w:rPr>
                <w:t>Certification of the Principal Executive Officer pursuant to Exchange Act Rule 13a-14(a) and 15d-14(a)</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lmnr13124exhibit312.htm">
              <w:r>
                <w:rPr>
                  <w:rStyle w:val="InternetLink"/>
                  <w:rFonts w:ascii="Times New Roman;sans-serif" w:hAnsi="Times New Roman;sans-serif"/>
                  <w:b w:val="false"/>
                  <w:color w:val="0000FF"/>
                  <w:sz w:val="20"/>
                  <w:u w:val="single"/>
                </w:rPr>
                <w:t>Certification of the Principal Financial Officer pursuant to Exchange Act Rule 13a-14(a) and 15d-14(a)</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lmnr13124exhibit321.htm">
              <w:r>
                <w:rPr>
                  <w:rStyle w:val="InternetLink"/>
                  <w:rFonts w:ascii="Times New Roman;sans-serif" w:hAnsi="Times New Roman;sans-serif"/>
                  <w:b w:val="false"/>
                  <w:color w:val="0000FF"/>
                  <w:sz w:val="20"/>
                  <w:u w:val="single"/>
                </w:rPr>
                <w:t>Certification of the Principal Executive Officer pursuant to 18 U.S.C. Section 1350, as adopted pursuant to Section 906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lmnr13124exhibit322.htm">
              <w:r>
                <w:rPr>
                  <w:rStyle w:val="InternetLink"/>
                  <w:rFonts w:ascii="Times New Roman;sans-serif" w:hAnsi="Times New Roman;sans-serif"/>
                  <w:b w:val="false"/>
                  <w:color w:val="0000FF"/>
                  <w:sz w:val="20"/>
                  <w:u w:val="single"/>
                </w:rPr>
                <w:t>Certification of the Principal Financial Officer pursuant to 18 U.S.C. Section 1350, as adopted pursuant to Section 906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information from the Company's Quarterly Report on Form 10-Q for the quarter ended January 31, 2024 formatted in Inline XBRL (Extensible Business Reporting Language) includes: (i) the Consolidated Balance Sheets (Unaudited), (ii) the Consolidated Statements of Operations (Unaudited), (iii) the Consolidated Statements of Comprehensive (Loss) Income (Unaudited), (iv) the Consolidated Statements of Stockholders' Equity and Temporary Equity (Unaudited), (v) the Consolidated Statements of Cash Flows (Unaudited), and (vi) the Notes to Consolidated Financial Statements (Unaudited)</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cover page for the Company's Quarterly Report on Form 10-Q for the quarter ended January 31, 2024 has been formatted in Inline XBRL</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69"/>
        <w:gridCol w:w="2716"/>
        <w:gridCol w:w="38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9"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c>
          <w:tcPr>
            <w:tcW w:w="38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Filed or furnished herewith,</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Item 601(b)(32)(ii) of Regulation S-K and SEC Release Nos. 33-8238 and 34-47986, Final Rule: Management's Report on Internal Control Over Financial Reporting and Certification of Disclosure in Exchange Act Periodic Reports, the certifications furnished in Exhibits 32.1 and 32.2 hereto are deemed to accompany this Quarterly Report on Form 10-Q and will not be deemed “filed” for purposes of Section 18 of the Exchange Act. Such certifications will not be deemed to be incorporated by reference into any filing under the Securities Act or the Exchange Act, except to the extent that the registrant specifically incorporates it by reference.</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LIMONEIRA COMPANY</w:t>
      </w:r>
    </w:p>
    <w:p>
      <w:pPr>
        <w:pStyle w:val="TextBody"/>
        <w:bidi w:val="0"/>
        <w:spacing w:before="0" w:after="0"/>
        <w:jc w:val="left"/>
        <w:rPr/>
      </w:pPr>
      <w:r>
        <w:rPr/>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thereunto duly authorized.</w:t>
      </w:r>
    </w:p>
    <w:tbl>
      <w:tblPr>
        <w:tblW w:w="6302" w:type="dxa"/>
        <w:jc w:val="left"/>
        <w:tblInd w:w="0" w:type="dxa"/>
        <w:tblLayout w:type="fixed"/>
        <w:tblCellMar>
          <w:top w:w="28" w:type="dxa"/>
          <w:left w:w="28" w:type="dxa"/>
          <w:bottom w:w="28" w:type="dxa"/>
          <w:right w:w="28" w:type="dxa"/>
        </w:tblCellMar>
      </w:tblPr>
      <w:tblGrid>
        <w:gridCol w:w="473"/>
        <w:gridCol w:w="414"/>
        <w:gridCol w:w="418"/>
        <w:gridCol w:w="346"/>
        <w:gridCol w:w="346"/>
        <w:gridCol w:w="346"/>
        <w:gridCol w:w="1148"/>
        <w:gridCol w:w="1148"/>
        <w:gridCol w:w="1663"/>
      </w:tblGrid>
      <w:tr>
        <w:trPr/>
        <w:tc>
          <w:tcPr>
            <w:tcW w:w="47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997"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LIMONEIRA COMPANY</w:t>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March 7, 2024</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HAROLD S. EDWARDS</w:t>
            </w:r>
          </w:p>
          <w:p>
            <w:pPr>
              <w:pStyle w:val="TableContents"/>
              <w:bidi w:val="0"/>
              <w:spacing w:lineRule="auto" w:line="240" w:before="0" w:after="0"/>
              <w:jc w:val="left"/>
              <w:rPr>
                <w:color w:val="000000"/>
              </w:rPr>
            </w:pPr>
            <w:r>
              <w:rPr>
                <w:color w:val="000000"/>
              </w:rPr>
              <w:t> </w:t>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Harold S. Edwards</w:t>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Director, President and Chief Executive Officer</w:t>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March 7, 2024</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MARK PALAMOUNTAIN</w:t>
            </w:r>
          </w:p>
          <w:p>
            <w:pPr>
              <w:pStyle w:val="TableContents"/>
              <w:bidi w:val="0"/>
              <w:spacing w:lineRule="auto" w:line="240" w:before="0" w:after="0"/>
              <w:jc w:val="left"/>
              <w:rPr>
                <w:color w:val="000000"/>
              </w:rPr>
            </w:pPr>
            <w:r>
              <w:rPr>
                <w:color w:val="000000"/>
              </w:rPr>
              <w:t> </w:t>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 Palamountain</w:t>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the Principal Executive Officer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Exchange Act Rule 13a-14(a) and 15d-14(a)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Harold S. Edwards, certify that: </w:t>
      </w:r>
    </w:p>
    <w:p>
      <w:pPr>
        <w:pStyle w:val="TextBody"/>
        <w:bidi w:val="0"/>
        <w:spacing w:before="0" w:after="0"/>
        <w:ind w:left="0" w:right="0" w:firstLine="495"/>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Limoneira Company (the “Registrant”);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both"/>
        <w:rPr>
          <w:color w:val="000000"/>
        </w:rPr>
      </w:pPr>
      <w:r>
        <w:rPr>
          <w:color w:val="000000"/>
        </w:rPr>
        <w:t> </w:t>
      </w:r>
    </w:p>
    <w:tbl>
      <w:tblPr>
        <w:tblW w:w="5771" w:type="dxa"/>
        <w:jc w:val="left"/>
        <w:tblInd w:w="0" w:type="dxa"/>
        <w:tblLayout w:type="fixed"/>
        <w:tblCellMar>
          <w:top w:w="28" w:type="dxa"/>
          <w:left w:w="28" w:type="dxa"/>
          <w:bottom w:w="28" w:type="dxa"/>
          <w:right w:w="28" w:type="dxa"/>
        </w:tblCellMar>
      </w:tblPr>
      <w:tblGrid>
        <w:gridCol w:w="473"/>
        <w:gridCol w:w="414"/>
        <w:gridCol w:w="418"/>
        <w:gridCol w:w="109"/>
        <w:gridCol w:w="109"/>
        <w:gridCol w:w="109"/>
        <w:gridCol w:w="1210"/>
        <w:gridCol w:w="1210"/>
        <w:gridCol w:w="1719"/>
      </w:tblGrid>
      <w:tr>
        <w:trPr/>
        <w:tc>
          <w:tcPr>
            <w:tcW w:w="47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March 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Harold S. Edwards</w:t>
            </w:r>
          </w:p>
          <w:p>
            <w:pPr>
              <w:pStyle w:val="TableContents"/>
              <w:bidi w:val="0"/>
              <w:spacing w:lineRule="auto" w:line="240" w:before="20" w:after="283"/>
              <w:jc w:val="both"/>
              <w:rPr>
                <w:color w:val="000000"/>
              </w:rPr>
            </w:pPr>
            <w:r>
              <w:rPr>
                <w:color w:val="000000"/>
              </w:rPr>
              <w:t> </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Harold S. Edwards,</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Director, President and Chief Executive Officer</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the Principal Financial Officer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Exchange Act Rule 13a-14(a) and 15d-14(a)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Mark Palamountain, certify that: </w:t>
      </w:r>
    </w:p>
    <w:p>
      <w:pPr>
        <w:pStyle w:val="TextBody"/>
        <w:bidi w:val="0"/>
        <w:spacing w:before="0" w:after="0"/>
        <w:ind w:left="0" w:right="0" w:firstLine="495"/>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Limoneira Company (the “Registrant”);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both"/>
        <w:rPr>
          <w:color w:val="000000"/>
        </w:rPr>
      </w:pPr>
      <w:r>
        <w:rPr>
          <w:color w:val="000000"/>
        </w:rPr>
        <w:t> </w:t>
      </w:r>
    </w:p>
    <w:tbl>
      <w:tblPr>
        <w:tblW w:w="5561" w:type="dxa"/>
        <w:jc w:val="left"/>
        <w:tblInd w:w="0" w:type="dxa"/>
        <w:tblLayout w:type="fixed"/>
        <w:tblCellMar>
          <w:top w:w="28" w:type="dxa"/>
          <w:left w:w="28" w:type="dxa"/>
          <w:bottom w:w="28" w:type="dxa"/>
          <w:right w:w="28" w:type="dxa"/>
        </w:tblCellMar>
      </w:tblPr>
      <w:tblGrid>
        <w:gridCol w:w="473"/>
        <w:gridCol w:w="414"/>
        <w:gridCol w:w="418"/>
        <w:gridCol w:w="109"/>
        <w:gridCol w:w="109"/>
        <w:gridCol w:w="109"/>
        <w:gridCol w:w="1148"/>
        <w:gridCol w:w="1148"/>
        <w:gridCol w:w="1633"/>
      </w:tblGrid>
      <w:tr>
        <w:trPr/>
        <w:tc>
          <w:tcPr>
            <w:tcW w:w="47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March 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Mark Palamountain</w:t>
            </w:r>
          </w:p>
          <w:p>
            <w:pPr>
              <w:pStyle w:val="TableContents"/>
              <w:bidi w:val="0"/>
              <w:spacing w:lineRule="auto" w:line="240" w:before="20" w:after="283"/>
              <w:jc w:val="both"/>
              <w:rPr>
                <w:color w:val="000000"/>
              </w:rPr>
            </w:pPr>
            <w:r>
              <w:rPr>
                <w:color w:val="000000"/>
              </w:rPr>
              <w:t> </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Mark Palamountain,</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Chief Financial Officer and Treasurer</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the Principal Executive Officer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Section 906 of the Sarbanes-Oxley Act of 2002 (18 U.S.C. 1350) </w:t>
      </w:r>
    </w:p>
    <w:p>
      <w:pPr>
        <w:pStyle w:val="TextBody"/>
        <w:bidi w:val="0"/>
        <w:spacing w:before="0" w:after="0"/>
        <w:jc w:val="center"/>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on Form 10-Q for the quarter ended January 31, 2024 (the “Report”) of Limoneira Company (the “Registrant”), as filed with the Securities and Exchange Commission on the date hereof, I, Harold S. Edwards, Director, President and Chief Executive Officer of the Registrant, hereby certify that: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The Report fully complies with the requirements of Section 13(a) or 15(d) of the Securities Exchange Act of 1934, as amended; and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Registrant.</w:t>
      </w:r>
    </w:p>
    <w:tbl>
      <w:tblPr>
        <w:tblW w:w="5771" w:type="dxa"/>
        <w:jc w:val="left"/>
        <w:tblInd w:w="0" w:type="dxa"/>
        <w:tblLayout w:type="fixed"/>
        <w:tblCellMar>
          <w:top w:w="28" w:type="dxa"/>
          <w:left w:w="28" w:type="dxa"/>
          <w:bottom w:w="28" w:type="dxa"/>
          <w:right w:w="28" w:type="dxa"/>
        </w:tblCellMar>
      </w:tblPr>
      <w:tblGrid>
        <w:gridCol w:w="473"/>
        <w:gridCol w:w="414"/>
        <w:gridCol w:w="418"/>
        <w:gridCol w:w="109"/>
        <w:gridCol w:w="109"/>
        <w:gridCol w:w="109"/>
        <w:gridCol w:w="1210"/>
        <w:gridCol w:w="1210"/>
        <w:gridCol w:w="1719"/>
      </w:tblGrid>
      <w:tr>
        <w:trPr/>
        <w:tc>
          <w:tcPr>
            <w:tcW w:w="47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March 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Harold S. Edwards</w:t>
            </w:r>
          </w:p>
          <w:p>
            <w:pPr>
              <w:pStyle w:val="TableContents"/>
              <w:bidi w:val="0"/>
              <w:spacing w:lineRule="auto" w:line="240" w:before="20" w:after="283"/>
              <w:jc w:val="both"/>
              <w:rPr>
                <w:color w:val="000000"/>
              </w:rPr>
            </w:pPr>
            <w:r>
              <w:rPr>
                <w:color w:val="000000"/>
              </w:rPr>
              <w:t> </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Harold S. Edwards,</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Director, President and Chief Executive Officer</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32.2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the Principal Financial Officer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Section 906 of the Sarbanes-Oxley Act of 2002 (18 U.S.C. 1350) </w:t>
      </w:r>
    </w:p>
    <w:p>
      <w:pPr>
        <w:pStyle w:val="TextBody"/>
        <w:bidi w:val="0"/>
        <w:spacing w:before="0" w:after="0"/>
        <w:jc w:val="center"/>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on Form 10-Q for the quarter ended January 31, 2024 (the “Report”) of Limoneira Company (the “Registrant”), as filed with the Securities and Exchange Commission on the date hereof, I, Mark Palamountain, Chief Financial Officer and Treasurer of the Registrant, hereby certify that: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The Report fully complies with the requirements of Section 13(a) or 15(d) of the Securities Exchange Act of 1934, as amended; and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Registrant.</w:t>
      </w:r>
    </w:p>
    <w:tbl>
      <w:tblPr>
        <w:tblW w:w="5561" w:type="dxa"/>
        <w:jc w:val="left"/>
        <w:tblInd w:w="0" w:type="dxa"/>
        <w:tblLayout w:type="fixed"/>
        <w:tblCellMar>
          <w:top w:w="28" w:type="dxa"/>
          <w:left w:w="28" w:type="dxa"/>
          <w:bottom w:w="28" w:type="dxa"/>
          <w:right w:w="28" w:type="dxa"/>
        </w:tblCellMar>
      </w:tblPr>
      <w:tblGrid>
        <w:gridCol w:w="473"/>
        <w:gridCol w:w="414"/>
        <w:gridCol w:w="418"/>
        <w:gridCol w:w="109"/>
        <w:gridCol w:w="109"/>
        <w:gridCol w:w="109"/>
        <w:gridCol w:w="1148"/>
        <w:gridCol w:w="1148"/>
        <w:gridCol w:w="1633"/>
      </w:tblGrid>
      <w:tr>
        <w:trPr/>
        <w:tc>
          <w:tcPr>
            <w:tcW w:w="47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Mark Palamountain</w:t>
            </w:r>
          </w:p>
          <w:p>
            <w:pPr>
              <w:pStyle w:val="TableContents"/>
              <w:bidi w:val="0"/>
              <w:spacing w:lineRule="auto" w:line="240" w:before="20" w:after="283"/>
              <w:jc w:val="center"/>
              <w:rPr>
                <w:color w:val="000000"/>
              </w:rPr>
            </w:pPr>
            <w:r>
              <w:rPr>
                <w:color w:val="000000"/>
              </w:rPr>
              <w:t> </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Mark Palamountain,</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Financial Officer and Treasurer</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342423/000114420410007241/v173157_ex3-1.htm" TargetMode="External"/><Relationship Id="rId3" Type="http://schemas.openxmlformats.org/officeDocument/2006/relationships/hyperlink" Target="http://www.sec.gov/Archives/edgar/data/1342423/000114420410007241/v173157_ex3-6.htm" TargetMode="External"/><Relationship Id="rId4" Type="http://schemas.openxmlformats.org/officeDocument/2006/relationships/hyperlink" Target="http://www.sec.gov/Archives/edgar/data/1342423/000114420410007241/v173157_ex3-7.htm" TargetMode="External"/><Relationship Id="rId5" Type="http://schemas.openxmlformats.org/officeDocument/2006/relationships/hyperlink" Target="http://www.sec.gov/Archives/edgar/data/1342423/000114420410017415/v178900_ex3-9.htm" TargetMode="External"/><Relationship Id="rId6" Type="http://schemas.openxmlformats.org/officeDocument/2006/relationships/hyperlink" Target="http://www.sec.gov/Archives/edgar/data/1342423/000114420417018212/v463210_ex3-1.htm" TargetMode="External"/><Relationship Id="rId7" Type="http://schemas.openxmlformats.org/officeDocument/2006/relationships/hyperlink" Target="http://www.sec.gov/Archives/edgar/data/1342423/000110465921130485/tm2131208d1_ex3-1.htm" TargetMode="External"/><Relationship Id="rId8" Type="http://schemas.openxmlformats.org/officeDocument/2006/relationships/hyperlink" Target="http://www.sec.gov/Archives/edgar/data/1342423/000114420410007241/v173157_ex3-4.htm" TargetMode="External"/><Relationship Id="rId9" Type="http://schemas.openxmlformats.org/officeDocument/2006/relationships/hyperlink" Target="http://www.sec.gov/Archives/edgar/data/1342423/000114420410007241/v173157_ex3-5.htm" TargetMode="External"/><Relationship Id="rId10" Type="http://schemas.openxmlformats.org/officeDocument/2006/relationships/hyperlink" Target="http://www.sec.gov/Archives/edgar/data/1342423/000114420410007241/v173157_ex3-8.htm" TargetMode="External"/><Relationship Id="rId11" Type="http://schemas.openxmlformats.org/officeDocument/2006/relationships/hyperlink" Target="http://www.sec.gov/Archives/edgar/data/1342423/000114420414017379/v372494_ex3-1.htm" TargetMode="External"/><Relationship Id="rId12" Type="http://schemas.openxmlformats.org/officeDocument/2006/relationships/hyperlink" Target="http://www.sec.gov/Archives/edgar/data/1342423/000110465923126652/tm2333025d1_ex10-1.htm" TargetMode="External"/><Relationship Id="rId13" Type="http://schemas.openxmlformats.org/officeDocument/2006/relationships/hyperlink" Target="http://www.sec.gov/Archives/edgar/data/1342423/000110465923126652/tm2333025d1_ex10-1.htm" TargetMode="External"/><Relationship Id="rId14" Type="http://schemas.openxmlformats.org/officeDocument/2006/relationships/hyperlink" Target="http://www.sec.gov/Archives/edgar/data/1342423/000110465923126652/tm2333025d1_ex10-1.htm" TargetMode="External"/><Relationship Id="rId15" Type="http://schemas.openxmlformats.org/officeDocument/2006/relationships/hyperlink" Target="http://www.sec.gov/Archives/edgar/data/1342423/000110465923126652/tm2333025d1_ex10-1.htm" TargetMode="External"/><Relationship Id="rId16" Type="http://schemas.openxmlformats.org/officeDocument/2006/relationships/hyperlink" Target="http://www.sec.gov/Archives/edgar/data/1342423/000110465923126652/tm2333025d1_ex10-1.htm" TargetMode="External"/><Relationship Id="rId17" Type="http://schemas.openxmlformats.org/officeDocument/2006/relationships/hyperlink" Target="http://www.sec.gov/Archives/edgar/data/1342423/000110465923126652/tm2333025d1_ex10-1.htm" TargetMode="External"/><Relationship Id="rId18" Type="http://schemas.openxmlformats.org/officeDocument/2006/relationships/hyperlink" Target="http://www.sec.gov/Archives/edgar/data/1342423/000110465923126652/tm2333025d1_ex10-1.htm" TargetMode="External"/><Relationship Id="rId19" Type="http://schemas.openxmlformats.org/officeDocument/2006/relationships/hyperlink" Target="http://www.sec.gov/Archives/edgar/data/1342423/000110465923126652/tm2333025d1_ex10-1.htm" TargetMode="External"/><Relationship Id="rId20" Type="http://schemas.openxmlformats.org/officeDocument/2006/relationships/hyperlink" Target="http://www.sec.gov/Archives/edgar/data/1342423/000110465923126652/tm2333025d1_ex10-1.htm" TargetMode="External"/><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18906</Words>
  <Characters>104976</Characters>
  <CharactersWithSpaces>122652</CharactersWithSpaces>
  <Paragraphs>2817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