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 SECURITIES AND EXCHANGE COMMISSION</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26670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-195580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75"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1" w:lineRule="exact"/>
        <w:rPr>
          <w:sz w:val="24"/>
          <w:szCs w:val="24"/>
          <w:color w:val="auto"/>
        </w:rPr>
      </w:pPr>
    </w:p>
    <w:p>
      <w:pPr>
        <w:ind w:left="30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-6350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001-34755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-289560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00"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77-0260692</w:t>
            </w:r>
          </w:p>
        </w:tc>
      </w:tr>
      <w:tr>
        <w:trPr>
          <w:trHeight w:val="238"/>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342"/>
        </w:trPr>
        <w:tc>
          <w:tcPr>
            <w:tcW w:w="5600" w:type="dxa"/>
            <w:vAlign w:val="bottom"/>
          </w:tcPr>
          <w:p>
            <w:pPr>
              <w:jc w:val="center"/>
              <w:ind w:right="872"/>
              <w:spacing w:after="0"/>
              <w:rPr>
                <w:sz w:val="20"/>
                <w:szCs w:val="20"/>
                <w:color w:val="auto"/>
              </w:rPr>
            </w:pPr>
            <w:r>
              <w:rPr>
                <w:rFonts w:ascii="Times New Roman" w:cs="Times New Roman" w:eastAsia="Times New Roman" w:hAnsi="Times New Roman"/>
                <w:sz w:val="16"/>
                <w:szCs w:val="16"/>
                <w:b w:val="1"/>
                <w:bCs w:val="1"/>
                <w:color w:val="auto"/>
              </w:rPr>
              <w:t>1141 Cummings Road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Santa Paula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CA</w:t>
            </w:r>
          </w:p>
        </w:tc>
        <w:tc>
          <w:tcPr>
            <w:tcW w:w="372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38"/>
        </w:trPr>
        <w:tc>
          <w:tcPr>
            <w:tcW w:w="5600" w:type="dxa"/>
            <w:vAlign w:val="bottom"/>
          </w:tcPr>
          <w:p>
            <w:pPr>
              <w:jc w:val="center"/>
              <w:ind w:right="85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00" w:lineRule="exact"/>
        <w:rPr>
          <w:sz w:val="24"/>
          <w:szCs w:val="24"/>
          <w:color w:val="auto"/>
        </w:rPr>
      </w:pP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525-5541</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81" w:right="339" w:bottom="1440" w:gutter="0" w:footer="0" w:header="0"/>
        </w:sectPr>
      </w:pPr>
    </w:p>
    <w:p>
      <w:pPr>
        <w:spacing w:after="0" w:line="1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2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LMNR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Name of Each Exchange of Which Registered The </w:t>
      </w:r>
      <w:r>
        <w:rPr>
          <w:rFonts w:ascii="Times New Roman" w:cs="Times New Roman" w:eastAsia="Times New Roman" w:hAnsi="Times New Roman"/>
          <w:sz w:val="16"/>
          <w:szCs w:val="16"/>
          <w:color w:val="auto"/>
        </w:rPr>
        <w:t>NASDAQ</w:t>
      </w:r>
      <w:r>
        <w:rPr>
          <w:rFonts w:ascii="Times New Roman" w:cs="Times New Roman" w:eastAsia="Times New Roman" w:hAnsi="Times New Roman"/>
          <w:sz w:val="18"/>
          <w:szCs w:val="18"/>
          <w:color w:val="auto"/>
        </w:rPr>
        <w:t xml:space="preserve"> Stock Market LLC (NASDAQ Global Select Market)</w:t>
      </w:r>
    </w:p>
    <w:p>
      <w:pPr>
        <w:spacing w:after="0" w:line="200" w:lineRule="exact"/>
        <w:rPr>
          <w:sz w:val="24"/>
          <w:szCs w:val="24"/>
          <w:color w:val="auto"/>
        </w:rPr>
      </w:pPr>
    </w:p>
    <w:p>
      <w:pPr>
        <w:sectPr>
          <w:pgSz w:w="11900" w:h="16838" w:orient="portrait"/>
          <w:cols w:equalWidth="0" w:num="3">
            <w:col w:w="4320" w:space="720"/>
            <w:col w:w="1500" w:space="720"/>
            <w:col w:w="3980"/>
          </w:cols>
          <w:pgMar w:left="320" w:top="1181" w:right="339" w:bottom="1440" w:gutter="0" w:footer="0" w:header="0"/>
          <w:type w:val="continuous"/>
        </w:sectPr>
      </w:pPr>
    </w:p>
    <w:p>
      <w:pPr>
        <w:spacing w:after="0" w:line="2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1" w:right="339" w:bottom="1440" w:gutter="0" w:footer="0" w:header="0"/>
          <w:type w:val="continuous"/>
        </w:sectPr>
      </w:pPr>
    </w:p>
    <w:p>
      <w:pPr>
        <w:spacing w:after="0" w:line="13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57"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1" w:right="339" w:bottom="1440" w:gutter="0" w:footer="0" w:header="0"/>
          <w:type w:val="continuous"/>
        </w:sectPr>
      </w:pPr>
    </w:p>
    <w:p>
      <w:pPr>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31, 2022, there were 17,721,551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 July 31, 2022 and October 31,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 three and nine months ended July 31,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nine months ended July 31,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and Temporary Equity – three and nine months ended July 31,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108"/>
        </w:trPr>
        <w:tc>
          <w:tcPr>
            <w:tcW w:w="11040" w:type="dxa"/>
            <w:vAlign w:val="bottom"/>
            <w:tcBorders>
              <w:top w:val="single" w:sz="8" w:color="CCEEFF"/>
            </w:tcBorders>
            <w:gridSpan w:val="2"/>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 nine months ended July 31, 2022 and 2021</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8"/>
              </w:rPr>
              <w:t>SIGNATURES</w:t>
            </w:r>
          </w:p>
        </w:tc>
        <w:tc>
          <w:tcPr>
            <w:tcW w:w="9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ON FORWARD-LOOKING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related to the COVID-19 pandemic and the effectiveness of our Company's responses to the pandemic;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rules, quotas, tariffs, and import laws;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responses to industry volume pressures;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from disease, insects and other pests;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water supplies or changes in water allocations;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global 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raw materials supplies and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supply and pricing;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for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for residential and commercial real estate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and economic crises;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conflict;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strikes, shortages or work stoppages;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exchange rate movements;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compliance with covenants under our loan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important intellectual property rights;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our public filings with the Securities and Exchange Commission (the "SEC").</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2021 additional factors that could cause our actual results to differ from our projections or estimates, especially relating to the COVID-19 pandemic.</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these risks and uncertainties are currently amplified by, and will continue to be amplified by, or in the future may be amplified by, the COVID-19 pandemic. It is not possible to predict or identify all such risks.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2021.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All references to “we,” "us," “our,” “our Company,” "the Company" or "Limoneira" in this Quarterly Report on Form 10-Q mean Limoneira Company, a Delaware corporation, and its consolidated subsidiaries.</w:t>
      </w:r>
    </w:p>
    <w:p>
      <w:pPr>
        <w:sectPr>
          <w:pgSz w:w="11900" w:h="16838" w:orient="portrait"/>
          <w:cols w:equalWidth="0" w:num="1">
            <w:col w:w="11240"/>
          </w:cols>
          <w:pgMar w:left="320" w:top="9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July 31, 2022</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29"/>
        </w:trPr>
        <w:tc>
          <w:tcPr>
            <w:tcW w:w="8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85"/>
        </w:trPr>
        <w:tc>
          <w:tcPr>
            <w:tcW w:w="88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0" w:type="dxa"/>
            <w:vAlign w:val="bottom"/>
          </w:tcPr>
          <w:p>
            <w:pPr>
              <w:spacing w:after="0"/>
              <w:rPr>
                <w:sz w:val="1"/>
                <w:szCs w:val="1"/>
                <w:color w:val="auto"/>
              </w:rPr>
            </w:pPr>
          </w:p>
        </w:tc>
      </w:tr>
      <w:tr>
        <w:trPr>
          <w:trHeight w:val="207"/>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42,089</w:t>
            </w:r>
          </w:p>
        </w:tc>
        <w:tc>
          <w:tcPr>
            <w:tcW w:w="0" w:type="dxa"/>
            <w:vAlign w:val="bottom"/>
          </w:tcPr>
          <w:p>
            <w:pPr>
              <w:spacing w:after="0"/>
              <w:rPr>
                <w:sz w:val="1"/>
                <w:szCs w:val="1"/>
                <w:color w:val="auto"/>
              </w:rPr>
            </w:pPr>
          </w:p>
        </w:tc>
      </w:tr>
      <w:tr>
        <w:trPr>
          <w:trHeight w:val="97"/>
        </w:trPr>
        <w:tc>
          <w:tcPr>
            <w:tcW w:w="8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242,420</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22,828</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64,072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0" w:type="dxa"/>
            <w:vAlign w:val="bottom"/>
          </w:tcPr>
          <w:p>
            <w:pPr>
              <w:spacing w:after="0"/>
              <w:rPr>
                <w:sz w:val="1"/>
                <w:szCs w:val="1"/>
                <w:color w:val="auto"/>
              </w:rPr>
            </w:pPr>
          </w:p>
        </w:tc>
      </w:tr>
      <w:tr>
        <w:trPr>
          <w:trHeight w:val="212"/>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and suppliers payable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0" w:type="dxa"/>
            <w:vAlign w:val="bottom"/>
          </w:tcPr>
          <w:p>
            <w:pPr>
              <w:spacing w:after="0"/>
              <w:rPr>
                <w:sz w:val="1"/>
                <w:szCs w:val="1"/>
                <w:color w:val="auto"/>
              </w:rPr>
            </w:pPr>
          </w:p>
        </w:tc>
      </w:tr>
      <w:tr>
        <w:trPr>
          <w:trHeight w:val="207"/>
        </w:trPr>
        <w:tc>
          <w:tcPr>
            <w:tcW w:w="8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193,031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16)</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July 31,</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and October 31, 2021) (8.75% coupon rate)</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July 31,</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2022 and October 31, 2021) (4% dividend rate on liquidation value of $1,000 per share)</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8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July 31,</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2022 and October 31, 2021)</w:t>
            </w: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17,972,528 and 17,936,377 shares issued and 17,721,551 and</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17,685,400 shares outstanding at July 31, 2022 and October 31, 2021, respectively)</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250,977 shares at July 31, 2022 and October 31, 2021</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11,965</w:t>
            </w:r>
          </w:p>
        </w:tc>
        <w:tc>
          <w:tcPr>
            <w:tcW w:w="0" w:type="dxa"/>
            <w:vAlign w:val="bottom"/>
          </w:tcPr>
          <w:p>
            <w:pPr>
              <w:spacing w:after="0"/>
              <w:rPr>
                <w:sz w:val="1"/>
                <w:szCs w:val="1"/>
                <w:color w:val="auto"/>
              </w:rPr>
            </w:pPr>
          </w:p>
        </w:tc>
      </w:tr>
      <w:tr>
        <w:trPr>
          <w:trHeight w:val="207"/>
        </w:trPr>
        <w:tc>
          <w:tcPr>
            <w:tcW w:w="8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185,685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188,435</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392,276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00" w:type="dxa"/>
            <w:vAlign w:val="bottom"/>
            <w:tcBorders>
              <w:bottom w:val="single" w:sz="8" w:color="auto"/>
            </w:tcBorders>
          </w:tcPr>
          <w:p>
            <w:pPr>
              <w:spacing w:after="0"/>
              <w:rPr>
                <w:sz w:val="20"/>
                <w:szCs w:val="20"/>
                <w:color w:val="auto"/>
              </w:rPr>
            </w:pPr>
          </w:p>
        </w:tc>
      </w:tr>
      <w:tr>
        <w:trPr>
          <w:trHeight w:val="210"/>
        </w:trPr>
        <w:tc>
          <w:tcPr>
            <w:tcW w:w="5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141,046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129,080</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132,532</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114,071</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15,154</w:t>
            </w:r>
          </w:p>
        </w:tc>
      </w:tr>
      <w:tr>
        <w:trPr>
          <w:trHeight w:val="20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140,859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132,414</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 of patronage dividends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3"/>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145"/>
        </w:trPr>
        <w:tc>
          <w:tcPr>
            <w:tcW w:w="5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Limoneira Company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17,529,000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17,439,000</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17,481,000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17,439,000</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4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Minimum pension liability adjustment, net of tax of $27, $50, $81 and $150 for the three</w:t>
            </w:r>
          </w:p>
        </w:tc>
        <w:tc>
          <w:tcPr>
            <w:tcW w:w="8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nine months ended July 31, 2022 and 2021, respectively.</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207"/>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6,569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Limoneira Company</w:t>
            </w: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6,649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163,965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w w:val="94"/>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17,700,038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164,061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w w:val="94"/>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2"/>
        </w:trPr>
        <w:tc>
          <w:tcPr>
            <w:tcW w:w="1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April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17,721,551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w w:val="94"/>
              </w:rPr>
              <w:t>(3,493)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Times New Roman" w:cs="Times New Roman" w:eastAsia="Times New Roman" w:hAnsi="Times New Roman"/>
                <w:sz w:val="12"/>
                <w:szCs w:val="12"/>
                <w:color w:val="auto"/>
              </w:rPr>
              <w:t>Dividends Common ($0.075 per</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7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July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17,721,551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164,871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w w:val="94"/>
              </w:rPr>
              <w:t>(3,493)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185,685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9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74"/>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17,684,927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01"/>
        </w:trPr>
        <w:tc>
          <w:tcPr>
            <w:tcW w:w="1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Other comprehensive income, net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April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163,020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193,087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8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Dividends Common ($0.075 per</w:t>
            </w: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 ($2.19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Series B-2 ($10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7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July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17,685,400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163,460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(3,493)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11,780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192,985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7,490</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distributions from equity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and receivables/other from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Cultural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growers and suppliers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w:t>
            </w: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liabilities and payables to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r>
      <w:tr>
        <w:trPr>
          <w:trHeight w:val="21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16,802</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 on notes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from equity investment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 and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69,682</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equipment financings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paid on finance lease and equipment financings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July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during the period for income taxes,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40" w:firstLine="8"/>
        <w:spacing w:after="0" w:line="53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Business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fiscal year 2021, the Company sold the majority of its avocado production to Calavo Growers, Inc. (“Calavo”), a packing and marketing company listed on the NASDAQ Global Select Market under the symbol CVGW. In February 2022, the Company terminated its Avocado Marketing Agreement and the associated Letter Agreement Regarding Fruit Commitment with Calavo to pursue opportunities with other packing and marketing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217" w:lineRule="exact"/>
        <w:rPr>
          <w:sz w:val="20"/>
          <w:szCs w:val="20"/>
          <w:color w:val="auto"/>
        </w:rPr>
      </w:pPr>
    </w:p>
    <w:p>
      <w:pPr>
        <w:ind w:right="7680" w:firstLine="8"/>
        <w:spacing w:after="0" w:line="534"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Comprehensive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represents all changes in a company’s net assets, except changes resulting from transactions with stockholders. Other comprehensive income or loss primarily includes foreign currency translation items and defined benefit pension items. Accumulated other comprehensive loss is reported as a component of the Company's stockholders'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comprehensive (loss) income by component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Pre-tax</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1"/>
                <w:szCs w:val="11"/>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center"/>
              <w:ind w:left="366"/>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center"/>
              <w:ind w:left="34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gain before reclassifications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46"/>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06"/>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center"/>
              <w:ind w:left="346"/>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740" w:firstLine="8"/>
        <w:spacing w:after="0" w:line="41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Comprehensive Income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July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Pre-tax</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0" w:type="dxa"/>
            <w:vAlign w:val="bottom"/>
          </w:tcPr>
          <w:p>
            <w:pPr>
              <w:spacing w:after="0"/>
              <w:rPr>
                <w:sz w:val="11"/>
                <w:szCs w:val="11"/>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Pre-tax</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center"/>
              <w:ind w:left="326"/>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Minimum pension liability adjustments: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gain before reclassifications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306"/>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by component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4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0" w:type="dxa"/>
            <w:vAlign w:val="bottom"/>
          </w:tcPr>
          <w:p>
            <w:pPr>
              <w:spacing w:after="0"/>
              <w:rPr>
                <w:sz w:val="13"/>
                <w:szCs w:val="13"/>
                <w:color w:val="auto"/>
              </w:rPr>
            </w:pPr>
          </w:p>
        </w:tc>
        <w:tc>
          <w:tcPr>
            <w:tcW w:w="16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6"/>
        </w:trPr>
        <w:tc>
          <w:tcPr>
            <w:tcW w:w="5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4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80" w:type="dxa"/>
            <w:vAlign w:val="bottom"/>
          </w:tcPr>
          <w:p>
            <w:pPr>
              <w:spacing w:after="0"/>
              <w:rPr>
                <w:sz w:val="13"/>
                <w:szCs w:val="13"/>
                <w:color w:val="auto"/>
              </w:rPr>
            </w:pPr>
          </w:p>
        </w:tc>
        <w:tc>
          <w:tcPr>
            <w:tcW w:w="16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14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6"/>
                <w:szCs w:val="16"/>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0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2020</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w:t>
            </w:r>
          </w:p>
        </w:tc>
      </w:tr>
      <w:tr>
        <w:trPr>
          <w:trHeight w:val="19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2021</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uncertainty around the breadth and duration of the Company's business disruptions related to the COVID-19 pandemic. The decline in demand for the Company's products beginning the second quarter of fiscal year 2020, which it believes was due to the COVID-19 pandemic, negatively impacted its sales and profitability for the last three quarters of fiscal year 2020, all of fiscal year 2021, and the first three quarters of fiscal year 2022. The Company also expects the COVID-19 pandemic to impact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2022 and beyond, is driven by estimates that contain uncertainties.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Financial Accounting Standards Board ("FASB") Accounting Standards Update ("ASU") 2020-06, Debt—Debt with Conversion and Other Options (Subtopic 470-20) and Derivatives and Hedging—Contracts in Entity’s Own Equity (Subtopic 815-40): Accounting for Convertible Instruments and Contracts in an Entity’s Own Equity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adopted this ASU effective November 1, 2021 and the adoption did not have a material impact on its consolidated financial statements.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Concentrations and Geographic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revenues and trade receivable are limited due to a large, diverse customer base. One customer represented 11% of revenue for the nine months ended July 31, 2022. Two customers represented 17% and 13% of revenue, respectively, for the nine months ended July 31, 2021. No individual customer represented more than 10% of accounts receivable, net as of July 31, 2022 or October 31,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Lemons procured from third-party growers were 46% and 57% of the Company's lemon supply for the three months ended July 31, 2022 and 2021, respectively, and were 51% and 51% of the Company's lemon supply for the nine months ended July 31, 2022 and 2021, respectively. One third-party grower was 10% of the lemon supply for the nine months ended July 31,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2022 and 2021, the Company had approximately $491,000 and $578,000, respectively, of total sales in Chile by Fruticola Pan de Azucar S.A. ("PDA") and Agricola San Pablo SpA ("San Pablo"). During the nine months ended July 31, 2022 and 2021, the Company had approximately $3,202,000 and $2,555,000, respectively, of total sales in Chile by PDA and San Pablo.</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the Company signed an agreement to lease Finca Santa Clara, its 1,200-acre lemon ranch in Argentina, to FGF Trapani ("FGF"), its 49% partner in Trapani Fresh Consorcio de Cooperacion ("Trapani Fresh"). The lease is retroactive beginning November 1, 2021, with a term of 14 months at a fixed sum of $400,000, payable in five equal, monthly installments beginning August 2022 until December 2022. During the three and nine months ended July 31, 2022, the Company had approximately $86,000 and $257,000, respectively, of lease income by Trapani Fresh included in other operations revenue. During the three and nine months ended July 31, 2021, the Company had approximately $710,000 and $3,265,000, respectively, of total agribusiness sales in Argentina by Trapani Fresh.</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foreign exchange transaction losses realized for our foreign subsidiaries was approximately $137,000 and $598,000 for the nine months ended July 31, 2022 and 2021, respectively, and were included in selling, general and administrative expenses in the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and related interest</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 held for sale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receivable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and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Area I - Retained Property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East Area II</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in LLCB to Lewis for $20,000,000.</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$5,771,000 at July 31, 2022 and October 31, 2021, which is included in payables to related parties.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2018, LLCB entered into a $45,000,000 unsecured Line of Credit Loan Agreement and Promissory Note (the “Loan”) with Bank of America, N.A. to fund early development activities. The Loan, as modified and extended, matures February 22, 2023. The interest rate on the Loan is LIBOR plus 2.85% and is payable monthly. The Loan contains certain customary default provisions and LLCB may prepay any amounts outstanding under the Loan without penalty. The Loan had an outstanding balance of $2,500,000 as of July 31, 2022. The Loan has a one year extension option through February 22, 2024 subject to terms and conditions as defined in the Loan agreement, with the maximum borrowing amount reduced to $35,000,000 during the extension period.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July 31, 2022, LLCB has closed sales of initial residential lots representing 586 residential units.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the Company entered into an agreement with LLCB to sell its East Area 1 - Retained Property to potentially develop additional residential units. The Company expects to close the transaction in the fourth quarter of fiscal year 2022, receive approximately $8,000,000 in cash proceeds and record an estimated gain of approximately $4,700,000.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2020, the Company entered into an agreement to sell its Sevilla property for $2,700,000, which is expected to close in calendar year 2022. After transaction and other costs, the Company expects to receive cash proceeds of approximately $2,670,000. During the third quarter of fiscal year 2022, the Company incurred additional costs to prepare the asset for sale, of which $127,000 were capitalized and $153,000 were recorded in loss on disposal of assets. The carrying value of the property at July 31, 2022 and October 31, 2021, was $2,670,000 and $2,543,000, respectively, and classified as held for sale and included in prepaid expenses and other current assets.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periodically extended with principal payments totaling $400,000 received through October 31, 2021. In November 2021, the promissory note was further extended to June 30, 2022 upon making a principal paydown of $250,000, which was paid in November 2021, and revising the interest rate to 4.00% per annum. In April 2022, the $2,350,000 net carrying value of the promissory note was paid in full and the deferred gain of $161,000 was recognized in the second quarter of fiscal year 2022.</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Equity in Investments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 (in thousands):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6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60,216</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Limco Del Mar, Ltd.</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amounts due from Rosales were $540,000 and $1,570,000 at July 31, 2022 and October 31, 2021, respectively, and are included in receivables/other from related parties and payables to related parties.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nine months ended July 31, 2021, this threshold was met for the Company's equity investment in LLCB.</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unaudited summarized financial information for LLCB (in thousands):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92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9"/>
                <w:szCs w:val="19"/>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36,684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land sold</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Goodwill Carrying</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6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 charges recorded against goodwill as of July 31,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July 31, 2021, the Company acquired additional water rights in Chile for $186,000.</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 Net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$182,000 and $210,000 for the three months ended July 31, 2022 and 2021, respectively. Amortization expense totaled $543,000 and $736,000 for the nine months ended July 31, 2022 and 2021,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July 31, 2022 is as follows (in thousands):</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(excluding the nine months ended July 31, 2022)</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3"/>
        </w:trPr>
        <w:tc>
          <w:tcPr>
            <w:tcW w:w="954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As of July 31, 2022 and October 31, 2021, $6,488,000 and $5,994,000, respectively, were included in other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60" w:type="dxa"/>
            <w:vAlign w:val="bottom"/>
          </w:tcPr>
          <w:p>
            <w:pPr>
              <w:spacing w:after="0"/>
              <w:rPr>
                <w:sz w:val="22"/>
                <w:szCs w:val="22"/>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48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 (UNAUDITED) (CONTINUED)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ectPr>
          <w:pgSz w:w="11900" w:h="16838" w:orient="portrait"/>
          <w:cols w:equalWidth="0" w:num="1">
            <w:col w:w="11240"/>
          </w:cols>
          <w:pgMar w:left="320" w:top="365" w:right="3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comprised of the following (in thousands):</w:t>
      </w:r>
    </w:p>
    <w:p>
      <w:pPr>
        <w:spacing w:after="0" w:line="200" w:lineRule="exact"/>
        <w:rPr>
          <w:sz w:val="20"/>
          <w:szCs w:val="20"/>
          <w:color w:val="auto"/>
        </w:rPr>
      </w:pPr>
    </w:p>
    <w:p>
      <w:pPr>
        <w:spacing w:after="0" w:line="268" w:lineRule="exact"/>
        <w:rPr>
          <w:sz w:val="20"/>
          <w:szCs w:val="20"/>
          <w:color w:val="auto"/>
        </w:rPr>
      </w:pPr>
    </w:p>
    <w:p>
      <w:pPr>
        <w:ind w:left="20"/>
        <w:spacing w:after="0" w:line="222" w:lineRule="auto"/>
        <w:rPr>
          <w:sz w:val="20"/>
          <w:szCs w:val="20"/>
          <w:color w:val="auto"/>
        </w:rPr>
      </w:pPr>
      <w:r>
        <w:rPr>
          <w:rFonts w:ascii="Times New Roman" w:cs="Times New Roman" w:eastAsia="Times New Roman" w:hAnsi="Times New Roman"/>
          <w:sz w:val="18"/>
          <w:szCs w:val="18"/>
          <w:color w:val="auto"/>
        </w:rPr>
        <w:t>Farm Credit West revolving and non-revolving lines of credit: the interest rate of the revolving line of credit is variable based on the one-month London Interbank Offered Rate (“LIBOR”), which was 1.65% at July 31, 2022,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20"/>
        <w:spacing w:after="0" w:line="205" w:lineRule="auto"/>
        <w:rPr>
          <w:sz w:val="20"/>
          <w:szCs w:val="20"/>
          <w:color w:val="auto"/>
        </w:rPr>
      </w:pPr>
      <w:r>
        <w:rPr>
          <w:rFonts w:ascii="Times New Roman" w:cs="Times New Roman" w:eastAsia="Times New Roman" w:hAnsi="Times New Roman"/>
          <w:sz w:val="18"/>
          <w:szCs w:val="18"/>
          <w:color w:val="auto"/>
        </w:rPr>
        <w:t>1.85%. The interest rate for the $40.0 million outstanding balance of the non-revolving line of credit was fixed at</w:t>
      </w:r>
    </w:p>
    <w:p>
      <w:pPr>
        <w:ind w:left="20"/>
        <w:spacing w:after="0" w:line="226" w:lineRule="auto"/>
        <w:rPr>
          <w:sz w:val="20"/>
          <w:szCs w:val="20"/>
          <w:color w:val="auto"/>
        </w:rPr>
      </w:pPr>
      <w:r>
        <w:rPr>
          <w:rFonts w:ascii="Times New Roman" w:cs="Times New Roman" w:eastAsia="Times New Roman" w:hAnsi="Times New Roman"/>
          <w:sz w:val="18"/>
          <w:szCs w:val="18"/>
          <w:color w:val="auto"/>
        </w:rPr>
        <w:t>4.77% through July 1, 2022, is 3.57% through July 1, 2025 and variable thereafter. Interest is payable monthly and the principal is due in full on July 1, 2026.</w:t>
      </w:r>
    </w:p>
    <w:p>
      <w:pPr>
        <w:spacing w:after="0" w:line="9"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Farm Credit West term loan: The interest rate is fixed at 2.48%. The loan is payable in quarterly installments through November 2022.</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Farm Credit West term loan: The interest rate is fixed at 3.24%. The loan is payable in monthly installments through October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Farm Credit West term loan: The interest rate is fixed at 3.24%. The loan is payable in monthly installments through March 2036.</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Farm Credit West term loan: The interest rate is fixed at 2.77% until July 1, 2025, becoming variable for the remainder of the loan. The loan is payable in monthly installments through March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Farm Credit West term loan: Effective August 2, 2021, the interest rate was fixed at 3.19%. The loan is payable in monthly installments through September 2026.</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Note Payable: the interest rate ranges from 5.00% to 7.00% and was 7.00% at July 31, 2022. The loan includes interest only monthly payments and principal is due in February 2023.</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Banco de Chile COVID-19 loans: The interest rates are fixed at 3.48%. The loans are payable in monthly installments through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Banco de Chile COVID-19 loans: The interest rates are fixed at 3.48% and 4.26%. The loans are payable in monthly installments through September 2026.</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20" w:type="dxa"/>
            <w:vAlign w:val="bottom"/>
          </w:tcPr>
          <w:p>
            <w:pPr>
              <w:spacing w:after="0"/>
              <w:rPr>
                <w:sz w:val="17"/>
                <w:szCs w:val="17"/>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3"/>
        </w:trPr>
        <w:tc>
          <w:tcPr>
            <w:tcW w:w="13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938"/>
        </w:trPr>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112,994</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111,293</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419"/>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417"/>
        </w:trPr>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580" w:space="120"/>
            <w:col w:w="2540"/>
          </w:cols>
          <w:pgMar w:left="320" w:top="36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132,956</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deferred financing costs, net of accumulated amortization</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132,825</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Master Loan Agreement (the “MLA”) with Farm Credit West, PCA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matures in 2043 and features a 3-year draw period followed by 20 years of fully amortized loan payments.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$130,000,000 comprised of $75,000,000 under the Revolving Credit Supplement, $40,000,000 under the Non-Revolving Credit Supplement and $15,000,000 under the RELOC.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2022, the Company's outstanding borrowings under the Supplements and RELOC were $112,994,000 and it had $17,006,000 available to borrow.</w:t>
      </w:r>
    </w:p>
    <w:p>
      <w:pPr>
        <w:sectPr>
          <w:pgSz w:w="11900" w:h="16838" w:orient="portrait"/>
          <w:cols w:equalWidth="0" w:num="1">
            <w:col w:w="11240"/>
          </w:cols>
          <w:pgMar w:left="320" w:top="3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in effect under the Revolving Credit Supplement automatically adjusted commencing on July 1, 2021 and on the first day of each month thereafter. The interest rate for any amount outstanding under the Revolving Credit Supplement is based on the one-month LIBOR rate plus or minus an applicable margin. The applicable margin ranges from 1.75% to 2.35% depending on the ratio of current assets, plus the remaining available commitment divided by current liabilities. On each one year anniversary of July 1, the Company has the option to convert the interest rate in use under the Revolving Credit Supplement from the preceding LIBOR-based calculation to a variable interest rate. The Company may prepay any amounts outstanding under the Revolving Credit Supplement without penalty.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interest rate in effect under the Non-Revolving Credit Supplement was a fixed interest rate of 4.77% through July 1, 2022 and then converted to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in effect under the RELOC is a variable interest rate established by the Lender corresponding to the applicable interest rate group, which was 4.00% as of July 31, 2022. The interest rate may be adjusted automatically under the provisions of the Lender's variable interest rate plan. The Company may prepay any amounts outstanding under the RELOC without penalty.</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indebtedness under the MLA and RELOC, including any indebtedness under the Supplements, is secured by a first lien on Company-owned stock or participation certificates, Company funds maintained with the Lender, the Lender’s unallocated surplus, and certain of the Company’s agricultural properties in Tulare and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 when measured at October 31, 2022 and annually thereafter.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Lender declared an annual cash patronage dividend of 1.25% of average eligible loan balances and the Company received the aggregate of $1,582,000 in March and April 2022. In December 2020, the Lender declared an annual cash patronage dividend of 1.50% of average eligible loan balances and the Company received $1,170,000 in February 2021.</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$235,000 and $353,000 during the three months ended July 31, 2022 and 2021, respectively, and $235,000 and $661,000 during the nine months ended July 31, 2022 and 2021, respectively. Capitalized interest is included in property, plant and equipment and real estate development assets in the Company’s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21 years, with various renewal terms available. All of the residential rentals have month-to-month lease terms.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Arrangements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5"/>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and farming equipment with remaining lease terms ranging from one to 16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costs were $137,000 and $128,000 for the three months ended July 31, 2022 and 2021, respectively, and $395,000 and $406,000 for the nine months ended July 31, 2022 and 2021, respectively, which are primarily included in agribusiness costs and expenses in the Company’s consolidated statements of operations. Finance lease costs were $37,000 and zero for the three months ended July 31, 2022 and 2021, respectively, and $112,000 and zero for the nine months ended July 31, 2022 and 2021, respectively, which are primarily included in agribusiness costs and expenses in the Company’s consolidated statements of operations. Variable and short term lease costs were immaterial.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 2021</w:t>
            </w: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338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payables to related parties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30"/>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Arrangements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p>
      <w:pPr>
        <w:spacing w:after="0" w:line="28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July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5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Basic and Diluted Net Income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calculated using the weighted-average number of common shares outstanding during the period without consideration of the dilutive effect of conversion of preferred stock. Diluted net income per common share is calculated using the weighted-average number of common shares outstanding during the period plus the dilutive effect of unvested, restricted stock and conversion of preferred stock. The computations for basic and diluted net loss per common share are as follows (in thousands, except per share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Numerator: Net income for basic EPS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5"/>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for basic EPS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Numerator: Net income for diluted EPS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income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per common share was calculated under the two-class method for the three and nine months ended July 31, 2022. The Company excluded 147,000, unvested, restricted shares, as calculated under the treasury stock method, from its computation of diluted net income per common share for the three months ended July 31, 2021 and 146,000 for the nine months ended July 31, 2021.</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transactions with equity method investments and various related parties summarized in Note 6 - Equity in Investments and in the tables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July 31, 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October 31, 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5"/>
              </w:rPr>
              <w:t>Balance Sheet</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Balance Sheet</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7"/>
              </w:rPr>
              <w:t>Other Long-</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from Related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from Related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2880" w:type="dxa"/>
            <w:vAlign w:val="bottom"/>
            <w:gridSpan w:val="2"/>
          </w:tcPr>
          <w:p>
            <w:pPr>
              <w:ind w:left="102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8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Parties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Parties</w:t>
            </w:r>
          </w:p>
        </w:tc>
        <w:tc>
          <w:tcPr>
            <w:tcW w:w="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Other Assets</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Related Parties</w:t>
            </w: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0" w:type="dxa"/>
            <w:vAlign w:val="bottom"/>
          </w:tcPr>
          <w:p>
            <w:pPr>
              <w:spacing w:after="0"/>
              <w:rPr>
                <w:sz w:val="1"/>
                <w:szCs w:val="1"/>
                <w:color w:val="auto"/>
              </w:rPr>
            </w:pPr>
          </w:p>
        </w:tc>
      </w:tr>
      <w:tr>
        <w:trPr>
          <w:trHeight w:val="176"/>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432</w:t>
            </w:r>
          </w:p>
        </w:tc>
        <w:tc>
          <w:tcPr>
            <w:tcW w:w="5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1,386</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980</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LLCB</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1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b w:val="1"/>
          <w:bCs w:val="1"/>
          <w:color w:val="auto"/>
        </w:rPr>
        <w:t>Three Months Ended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27940</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Three Months Ended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27940</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p>
      <w:pPr>
        <w:spacing w:after="0" w:line="17" w:lineRule="exact"/>
        <w:rPr>
          <w:sz w:val="20"/>
          <w:szCs w:val="20"/>
          <w:color w:val="auto"/>
        </w:rPr>
      </w:pPr>
    </w:p>
    <w:p>
      <w:pPr>
        <w:sectPr>
          <w:pgSz w:w="11900" w:h="16838" w:orient="portrait"/>
          <w:cols w:equalWidth="0" w:num="2">
            <w:col w:w="7200" w:space="720"/>
            <w:col w:w="3320"/>
          </w:cols>
          <w:pgMar w:left="320" w:top="365"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Net Revenue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1"/>
                <w:szCs w:val="11"/>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Expense and</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3040" w:type="dxa"/>
            <w:vAlign w:val="bottom"/>
            <w:gridSpan w:val="2"/>
          </w:tcPr>
          <w:p>
            <w:pPr>
              <w:ind w:left="108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0" w:type="dxa"/>
            <w:vAlign w:val="bottom"/>
          </w:tcPr>
          <w:p>
            <w:pPr>
              <w:spacing w:after="0"/>
              <w:rPr>
                <w:sz w:val="1"/>
                <w:szCs w:val="1"/>
                <w:color w:val="auto"/>
              </w:rPr>
            </w:pPr>
          </w:p>
        </w:tc>
      </w:tr>
      <w:tr>
        <w:trPr>
          <w:trHeight w:val="176"/>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Freska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31"/>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 July 31, 2022</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 July 31, 2021</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0"/>
                <w:szCs w:val="10"/>
                <w:color w:val="auto"/>
              </w:rPr>
            </w:pPr>
          </w:p>
        </w:tc>
        <w:tc>
          <w:tcPr>
            <w:tcW w:w="9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Pr>
          <w:p>
            <w:pPr>
              <w:spacing w:after="0"/>
              <w:rPr>
                <w:sz w:val="10"/>
                <w:szCs w:val="10"/>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Net Revenue</w:t>
            </w:r>
          </w:p>
        </w:tc>
        <w:tc>
          <w:tcPr>
            <w:tcW w:w="120" w:type="dxa"/>
            <w:vAlign w:val="bottom"/>
          </w:tcPr>
          <w:p>
            <w:pPr>
              <w:spacing w:after="0"/>
              <w:rPr>
                <w:sz w:val="10"/>
                <w:szCs w:val="10"/>
                <w:color w:val="auto"/>
              </w:rPr>
            </w:pPr>
          </w:p>
        </w:tc>
        <w:tc>
          <w:tcPr>
            <w:tcW w:w="94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0"/>
                <w:szCs w:val="10"/>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Dividends</w:t>
            </w:r>
          </w:p>
        </w:tc>
        <w:tc>
          <w:tcPr>
            <w:tcW w:w="0" w:type="dxa"/>
            <w:vAlign w:val="bottom"/>
          </w:tcPr>
          <w:p>
            <w:pPr>
              <w:spacing w:after="0"/>
              <w:rPr>
                <w:sz w:val="1"/>
                <w:szCs w:val="1"/>
                <w:color w:val="auto"/>
              </w:rPr>
            </w:pPr>
          </w:p>
        </w:tc>
      </w:tr>
      <w:tr>
        <w:trPr>
          <w:trHeight w:val="128"/>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Ref</w:t>
            </w:r>
          </w:p>
        </w:tc>
        <w:tc>
          <w:tcPr>
            <w:tcW w:w="304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Expense and</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 w:type="dxa"/>
            <w:vAlign w:val="bottom"/>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Agribusiness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0" w:type="dxa"/>
            <w:vAlign w:val="bottom"/>
          </w:tcPr>
          <w:p>
            <w:pPr>
              <w:spacing w:after="0"/>
              <w:rPr>
                <w:sz w:val="1"/>
                <w:szCs w:val="1"/>
                <w:color w:val="auto"/>
              </w:rPr>
            </w:pPr>
          </w:p>
        </w:tc>
      </w:tr>
      <w:tr>
        <w:trPr>
          <w:trHeight w:val="174"/>
        </w:trPr>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Colorado River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Freska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right="20" w:firstLine="8"/>
        <w:spacing w:after="0" w:line="229" w:lineRule="auto"/>
        <w:tabs>
          <w:tab w:leader="none" w:pos="2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 There were no material rental payments due from employees at July 31, 2022 or October 31, 2021.</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56" w:lineRule="exact"/>
        <w:rPr>
          <w:sz w:val="20"/>
          <w:szCs w:val="20"/>
          <w:color w:val="auto"/>
        </w:rPr>
      </w:pPr>
    </w:p>
    <w:p>
      <w:pPr>
        <w:ind w:firstLine="8"/>
        <w:spacing w:after="0" w:line="229" w:lineRule="auto"/>
        <w:tabs>
          <w:tab w:leader="none" w:pos="19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51" w:lineRule="auto"/>
        <w:tabs>
          <w:tab w:leader="none" w:pos="187"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Calavo - Through January 2022, the Company had representation on the board of directors of Calavo. Calavo owns common stock of the Company and the Company pays dividends on such common stock to Calavo. Additionally, the Company leases office space to Calavo. As of February 2022, Calavo is no longer a related party.</w:t>
      </w:r>
    </w:p>
    <w:p>
      <w:pPr>
        <w:spacing w:after="0" w:line="217" w:lineRule="exact"/>
        <w:rPr>
          <w:rFonts w:ascii="Times New Roman" w:cs="Times New Roman" w:eastAsia="Times New Roman" w:hAnsi="Times New Roman"/>
          <w:sz w:val="22"/>
          <w:szCs w:val="22"/>
          <w:color w:val="auto"/>
          <w:vertAlign w:val="superscript"/>
        </w:rPr>
      </w:pPr>
    </w:p>
    <w:p>
      <w:pPr>
        <w:jc w:val="both"/>
        <w:ind w:firstLine="8"/>
        <w:spacing w:after="0" w:line="244" w:lineRule="auto"/>
        <w:tabs>
          <w:tab w:leader="none" w:pos="18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affiliate of WAM is the holder of 9,300 shares of the Company's Series B-2 convertible preferred stock. Upon the adoption of ASC 842, the Company recorded a right-of-use, or ROU, asset and corresponding lease liability.</w:t>
      </w:r>
    </w:p>
    <w:p>
      <w:pPr>
        <w:spacing w:after="0" w:line="223" w:lineRule="exact"/>
        <w:rPr>
          <w:rFonts w:ascii="Times New Roman" w:cs="Times New Roman" w:eastAsia="Times New Roman" w:hAnsi="Times New Roman"/>
          <w:sz w:val="23"/>
          <w:szCs w:val="23"/>
          <w:color w:val="auto"/>
          <w:vertAlign w:val="superscript"/>
        </w:rPr>
      </w:pPr>
    </w:p>
    <w:p>
      <w:pPr>
        <w:jc w:val="both"/>
        <w:ind w:firstLine="8"/>
        <w:spacing w:after="0" w:line="251" w:lineRule="auto"/>
        <w:tabs>
          <w:tab w:leader="none" w:pos="18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Colorado River Growers, Inc. (“CRG”) - The Company had representation on the board of directors of CRG, a non-profit cooperative association of fruit growers engaged in the agricultural harvesting business in Yuma County, Arizona. CRG was dissolved in August 2021. The Company paid harvest expense to CRG and provided harvest management and administrative services to CRG.</w:t>
      </w:r>
    </w:p>
    <w:p>
      <w:pPr>
        <w:spacing w:after="0" w:line="217" w:lineRule="exact"/>
        <w:rPr>
          <w:rFonts w:ascii="Times New Roman" w:cs="Times New Roman" w:eastAsia="Times New Roman" w:hAnsi="Times New Roman"/>
          <w:sz w:val="22"/>
          <w:szCs w:val="22"/>
          <w:color w:val="auto"/>
          <w:vertAlign w:val="superscript"/>
        </w:rPr>
      </w:pPr>
    </w:p>
    <w:p>
      <w:pPr>
        <w:ind w:firstLine="8"/>
        <w:spacing w:after="0" w:line="229" w:lineRule="auto"/>
        <w:tabs>
          <w:tab w:leader="none" w:pos="21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immaterial amounts payable to them for such purchases.</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54" w:lineRule="auto"/>
        <w:tabs>
          <w:tab w:leader="none" w:pos="18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the sale of packing supplies and a payable due to FGF for fruit purchases and services. The Company records revenue related to the licensing of intangible assets to FGF. Effective November 1, 2021, the Company leases Finca Santa Clara to FGF and records rental revenue related to the leased land.</w:t>
      </w:r>
    </w:p>
    <w:p>
      <w:pPr>
        <w:spacing w:after="0" w:line="200" w:lineRule="exact"/>
        <w:rPr>
          <w:rFonts w:ascii="Times New Roman" w:cs="Times New Roman" w:eastAsia="Times New Roman" w:hAnsi="Times New Roman"/>
          <w:sz w:val="22"/>
          <w:szCs w:val="22"/>
          <w:color w:val="auto"/>
          <w:vertAlign w:val="superscript"/>
        </w:rPr>
      </w:pPr>
    </w:p>
    <w:p>
      <w:pPr>
        <w:spacing w:after="0" w:line="215"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LLCB - Refer to Note 5 - Real Estate Development.</w:t>
      </w:r>
    </w:p>
    <w:p>
      <w:pPr>
        <w:spacing w:after="0" w:line="224" w:lineRule="exact"/>
        <w:rPr>
          <w:rFonts w:ascii="Times New Roman" w:cs="Times New Roman" w:eastAsia="Times New Roman" w:hAnsi="Times New Roman"/>
          <w:sz w:val="22"/>
          <w:szCs w:val="22"/>
          <w:color w:val="auto"/>
          <w:vertAlign w:val="superscript"/>
        </w:rPr>
      </w:pPr>
    </w:p>
    <w:p>
      <w:pPr>
        <w:jc w:val="both"/>
        <w:ind w:firstLine="8"/>
        <w:spacing w:after="0" w:line="235" w:lineRule="auto"/>
        <w:tabs>
          <w:tab w:leader="none" w:pos="27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Freska - A former member of the Company's board of directors is a majority shareholder of Freska Produce International, LLC ("Freska"). The Company had avocado sales to Freska and corresponding receivables for such sales. The former board member resigned effective June 14, 2022 and Freska is no longer a related party.</w:t>
      </w:r>
    </w:p>
    <w:p>
      <w:pPr>
        <w:spacing w:after="0" w:line="226" w:lineRule="exact"/>
        <w:rPr>
          <w:rFonts w:ascii="Times New Roman" w:cs="Times New Roman" w:eastAsia="Times New Roman" w:hAnsi="Times New Roman"/>
          <w:sz w:val="23"/>
          <w:szCs w:val="23"/>
          <w:color w:val="auto"/>
          <w:vertAlign w:val="superscript"/>
        </w:rPr>
      </w:pPr>
    </w:p>
    <w:p>
      <w:pPr>
        <w:ind w:right="20" w:firstLine="8"/>
        <w:spacing w:after="0" w:line="287" w:lineRule="auto"/>
        <w:tabs>
          <w:tab w:leader="none" w:pos="236"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Third-party growers - A former member of the Company's board of directors markets lemons through the Company. The Company had payments due to the member for such lemon procurement. The former board member resigned effective June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nine months ended July 31, 2022 was higher than the federal statutory tax rate of 21% mainly due to foreign jurisdictions that are taxed at different rates, state taxes, tax impact of stock-based compensation, and nondeductible tax items. The Company has no material uncertain tax positions as of July 31, 2022. The Company recognizes interest expense and penalties related to income tax matters as a component of income tax expense. There was no accrued interest or penalties associated with uncertain tax positions as of July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Limoneira Company Retirement Plan (the “Plan”) is a noncontributory, defined benefit, single employer pension plan, that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 In fiscal year 2021, the Company terminated the Plan effective December 31, 2021.</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Plans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was funded consistent with the funding requirements of federal law and regulations. There were no funding contributions during the nine months ended July 31, 2022 and 2021. Plan assets are invested in a group trust consisting primarily of pooled funds, mutual funds, 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Plan for the three and nine months ended July 31, 2022 and 2021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8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5"/>
        </w:trPr>
        <w:tc>
          <w:tcPr>
            <w:tcW w:w="58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lawsuit, initiated on March 27, 2018, against Southern California Edison in Superior Court of the State of California, County of Los Angeles whereby the Company is claiming unspecified damages, attorneys' fees and other costs, as a result from the Thomas Fire in fiscal year 2018. While the outcome of this lawsuit is uncertain, the Company believes its claim for damages is valid.</w:t>
      </w:r>
    </w:p>
    <w:p>
      <w:pPr>
        <w:spacing w:after="0" w:line="199" w:lineRule="exact"/>
        <w:rPr>
          <w:sz w:val="20"/>
          <w:szCs w:val="20"/>
          <w:color w:val="auto"/>
        </w:rPr>
      </w:pPr>
    </w:p>
    <w:p>
      <w:pPr>
        <w:ind w:right="7320" w:firstLine="8"/>
        <w:spacing w:after="0" w:line="534"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restricted stock of the Company to members of management, key executives and non-employee directors. The fair value of such awards is based on the fair value of the Company’s common stock on the date of grant and all are classified as equity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Certain restricted stock grants are made to management each December under the Stock Plan based on the achievement of certain annual financial performance and other criteria achieved during the previous fiscal year (“Performance Awards”). The Performance Awards are based on a percentage of the employee’s base salary divided by the stock price on the grant date once the performance criteria has been met, and generally vest over a two-year period as service is provided. There were no Performance Awards granted for fiscal year 2021 because the financial performance and other criteria were not met.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Executive awards generally vest over a three to five-year period as service is provided. During December 2021, the Company granted 70,000 shares of restricted stock with a per share price of $14.96 to key executives under the Stock Plan, of which 15,000 shares were forfeited on February 1, 2022 pursuant to a key executive's severance agreement. The related compensation expense after forfeiture of approximately $823,000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400" w:firstLine="8"/>
        <w:spacing w:after="0" w:line="53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Treasury Stock (continued) Stock-based Compensation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annual basis, the Company generally issues shares of common stock to non-employee directors under the Stock Plan (“Director Awards”). During March 2022, 46,279 shares of restricted stock were granted as Director Awards, which vest after a one-year period from date of grant. The related stock-based compensation of approximately $627,000 will be recognized equally over the next year as the shares vest. During January 2021, 27,815 shares of restricted stock were granted as Director Awards that vested upon grant. The related stock-based compensation of $469,000 was recognized during the first quarter of fiscal year 2021.</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July 31, 2022 and 2021, members of management exchanged 68,080 and 46,993 shares of common stock with fair values totaling $1,086,000 and $701,000, respectively, at the dates of the exchanges, for the payment of payroll taxes associated with the vesting of shares under the Stock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2021, the Company's Board of Directors approved a share repurchase program authorizing the Company to repurchase up to $10,000,000 of its outstanding shares of common stock through September 2022. No shares have been repurchased under this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and supplier costs relative to fresh lemons. The lemon packing segment includes packing revenues, intersegment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related to rental operations are included in “Corporate and Other.” Other agribusiness revenues consisted of oranges of $3,736,000 and $7,226,000 and specialty citrus and other crops of $1,120,000 and $3,437,000 for the three and nine months ended July 31, 2022, respectively. Other agribusiness revenues consisted of oranges of $1,981,000 and $4,476,000 and specialty citrus and other crops of $1,065,000 and $4,089,000 for the three and nine months ended July 31, 2021,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 (continued)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July 31, 2022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58,923</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58,923</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45,394</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July 31,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43,314</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nine months ended July 31, 2022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144,947</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141,046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144,947</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91,983</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113,762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19,665</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133,427</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nine months ended July 31, 2021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132,532</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132,532</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89,982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107,480</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124,924</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evaluated events subsequent to July 31, 2022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6,100 acres of lemons, 800 acres of avocados, 1,000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Summary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market and sell citrus directly to our food service, wholesale and retail customers throughout the United States, Canada, Asia, Australia, Europe and certain other international markets. We are one of the largest growers of lemons and avocados in the United States. In fiscal year 2021, we sold a majority of our avocados to Calavo Growers, Inc. (“Calavo”). Additionally, we sell our pistachios to a roaster, packager and marketer of nuts, and our wine grapes to various wine producers.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Therefore,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Summary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and Mineral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 has experienced below average precipitation since 2018. According to the U.S. Drought Monitor, Ventura and San Bernardino Counties were experiencing severe drought conditions and Tulare County was experiencing extreme drought conditions as of July 31, 2022. In October 2021, the California Governor declared a drought state of emergency statewide. Federal officials who oversee the Central Valley Project, California’s largest water delivery system, allocated 0% of the contracted amount of water to San Joaquin Valley farmers in 2022 compared to 5% in 2021 and 100% in 2017 through 2020. We are assessing the impact these reductions may have on our California orchards.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2021, the U.S. Bureau of Reclamation declared a Level 1 Shortage Condition at Lake Mead in the Lower Colorado River Basin for the first time ever, requiring shortage reductions and water savings contributions for states in the southwest. In January 2022, Arizona experienced water releases from Lake Mead reduced by approximately 18% of the state’s annual apportionment. In August 2022, the U.S. Bureau of Reclamation announced Lake Mead to operate in a Tier-2a shortage, which increases water restrictions for states in the southwest. In January 2023, Arizona will forfeit an additional 80,000-acre feet of water from Lake Mead. In response, we entered into a fallowing agreement and we are assessing the impact these additional reductions may have on our Arizona orchards.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equal partners in a joint venture with The Lewis Group of Companies (“Lewis”) for the residential development of our East Area I real estate development project and formed Limoneira Lewis Community Builders, LLC ("LLCB") as the development entity. LLCB has closed on lot sales representing 586 units from inception through July 31, 2022. For further information see Note 5 – Real Estate Development of the notes to consolidated financial statements included in this Quarterly Report on Form 10-Q.</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September 2021, we signed a Memorandum of Understanding with Wileman Bros. &amp; Elliott, Inc. ("Wileman"), to form an alliance to sell their combined citrus volumes under Limoneira's One World of Citrus trademark. Wileman is a 95-year-old citrus business located in California’s Central Valley with a focus on oranges, mandarins and specialty citrus. Effective November 1, 2021, the majority of our oranges and certain specialty citrus are packed by Wileman.</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January 2022, we were notified of Alex M. Teague’s decision to retire as Senior Vice President and Chief Operating Officer of our Company, effective February 1, 2022. In connection with his retirement, we entered into a separation agreement with Mr. Teague whereas, (i) Mr. Teague was paid one year of his annual base salary, which was paid in one lump sum within ninety (90) business days of January 12, 2022; (ii) twenty-three thousand nine hundred ninety-nine (23,999) shares of our common stock granted to Mr. Teague pursuant to the Limoneira Company Omnibus Incentive Plan fully vested; and (iii) Mr. Teague will receive certain other benefits as set forth in the agreement. As of July 31, 2022, we paid $0.4 million cash severance and recognized $0.3 million accelerated vesting of stock-based compensation.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we terminated our Avocado Marketing Agreement and the associated Letter Agreement Regarding Fruit Commitment with Calavo to pursue opportunities with other packing and marketing companies.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2022, we signed an agreement to lease Finca Santa Clara, our 1,200-acre lemon ranch in Argentina, to FGF Trapani ("FGF"), our 49% partner in Trapani Fresh. The lease is retroactive beginning November 1, 2021, with a term of 14 months at a fixed sum of $0.4 million, payable in five equal, monthly installments beginning August 2022 until December 2022.</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2022, the promissory note previously received for the sale of our Centennial property, with a net carrying value of $2.4 million, was paid in full and the deferred gain of $0.2 million was recognized in the second quarter of fiscal year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engaged with YMIDD in a two-year fallowing and forbearance program at our Associated Citrus Packers ranch in Yuma, Arizona. We expect to receive payments totaling approximately $1.3 million during the program. With the fallowing program in place, this ranch will have approximately 700 acres of productive lemons, 400 fallowed acres and 200 acres of other crops.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28, 2022, we declared a cash dividend of $0.075 per common share paid on July 15, 2022, in the aggregate amount of $1.3 million to stockholders of record as of July 11, 2022.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agreement with LLCB to sell our East Area 1 - Retained Property to potentially develop additional residential units. We expect to close the transaction in the fourth quarter of fiscal year 2022, receive approximately $8.0 million in cash proceeds and record an estimated gain of approximately $4.7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 As of July 31, 2022, the demand within both markets is recovering but has not yet returned to pre-pandemic levels.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fiscal year 2020, which we believe was due to the COVID-19 pandemic, negatively impacted our sales and profitability for the last three quarters of fiscal year 2020, all of fiscal year 2021, and the first three quarters of fiscal year 2022. We also expect the COVID-19 pandemic to impact our sales and profitability in future periods. The duration of these trends and the magnitude of such impacts cannot be estimated at this time, as they are influenced by a number of factors, many of which are outside management’s control, including, but not limited, to those presented in Item 1A Risk Factors of our Annual Report on Form 10-K for the year ended October 31, 2021. Notwithstanding the adverse impacts and subject to unforeseen changes that may arise as the COVID-19 pandemic continues, we currently expect improvement in fiscal year 2022 compared to fiscal year 2021.</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over the past two years, we have taken actions to improve our current liquidity position, including temporarily postponing capital expenditures, selling equity securities to increase cash, reducing operating costs, and substantially reducing discretionary spending.</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considered an essential business, there is significant uncertainty around the breadth and duration of our business disruptions related to the COVID-19 pandemic, as well as its impact on the U.S. economy, the ongoing business operations of our customers and our results of operations and financial condition. Our management team is actively monitoring the impacts of the COVID-19 pandemic and may take further actions altering our business operations that we determine are in the best interests of our employees and customers or as required by federal, state, or local authorities. The full impact of the COVID-19 pandemic on our results of operations, financial condition, or liquidity for fiscal year 2022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5"/>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129,080</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132,532</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114,071</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named executive officer severance and loss (gain) on disposal of assets,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income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5"/>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Named executive officer severance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2022 Compared to the Three Months Ended July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three months ended July 31, 2022 were $58.9 million, compared to $49.1 million for the three months ended July 31, 2021. The 20% increase of $9.8 million was primarily the result of increased avocados and oranges agribusiness revenues, partially offset by decreased lemon agribusiness revenues, as detailed below ($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Agribusiness Revenues for the Three Months Ended July 31,</w:t>
            </w:r>
          </w:p>
        </w:tc>
        <w:tc>
          <w:tcPr>
            <w:tcW w:w="110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(675)</w:t>
            </w:r>
          </w:p>
        </w:tc>
        <w:tc>
          <w:tcPr>
            <w:tcW w:w="110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9"/>
              </w:rPr>
              <w:t>(2)%</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8,505</w:t>
            </w:r>
          </w:p>
        </w:tc>
        <w:tc>
          <w:tcPr>
            <w:tcW w:w="1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209%</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1,755</w:t>
            </w:r>
          </w:p>
        </w:tc>
        <w:tc>
          <w:tcPr>
            <w:tcW w:w="110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5%</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9,640</w:t>
            </w:r>
          </w:p>
        </w:tc>
        <w:tc>
          <w:tcPr>
            <w:tcW w:w="1100" w:type="dxa"/>
            <w:vAlign w:val="bottom"/>
            <w:tcBorders>
              <w:bottom w:val="single" w:sz="8" w:color="auto"/>
            </w:tcBorders>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340" w:hanging="332"/>
        <w:spacing w:after="0" w:line="25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third quarter of fiscal year 2022 was primarily the result of decreased brokered fruit and other lemon sales, partially offset by increased fresh lemon sales and shipping and handling compared to the same period of fiscal year 2021. During the third quarter of fiscal years 2022 and 2021, fresh lemon sales were $27.8 million and $24.4 million, in aggregate, on 1,512,000 and 1,144,000 cartons of lemons sold at average per carton prices of $18.39 and $21.34, respectively. Lemon revenues in the third quarter of fiscal years 2022 and 2021 included shipping and handling of $6.3 million and $4.5 million, brokered fruit and other lemon sales of $5.0 million and $11.2 million, and lemon by-product sales of $1.1 million and $0.6 million, respectively.</w:t>
      </w:r>
    </w:p>
    <w:p>
      <w:pPr>
        <w:spacing w:after="0" w:line="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third quarter of fiscal year 2022 was primarily the result of increased volume and higher prices of avocados sold, compared to the same period of fiscal year 2021. During the third quarter of fiscal years 2022 and 2021, 5,694,000 and 3,513,000 pounds of avocados were sold at an average per pound price of $2.21 and $1.16,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third quarter of fiscal year 2022 was primarily the result of higher prices, partially offset by decreased volume of oranges sold, compared to the same period of fiscal year 2021. In the third quarter of fiscal years 2022 and 2021, we sold 209,000 and 259,000 40-pound carton equivalents of oranges at an average per carton price of $17.88 and $7.65,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increase in the third quarter of fiscal year 2022 was primarily the result of increased volume and higher prices of specialty citrus sold, compared to the same period of fiscal year 2021. During the third quarter of fiscal years 2022 and 2021, we sold 61,000 and 45,000 40-pound carton equivalents of specialty citrus at an average per carton price of $18.34 and $14.04,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in the third quarter of fiscal years 2022 and 2021 was $1.3 million and $1.2 million, respectively.</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costs and expenses in the third quarter of fiscal year 2022 were $47.9 million, compared to $45.8 million in the same period of fiscal year 2021. The 5% increase of $2.1 million was primarily attributable to increases in packing costs, harvest costs and selling, general and administrative expenses, partially offset by decreases in our growing and third-party grower and supplier costs.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Three Months Ended July 31,</w:t>
            </w:r>
          </w:p>
        </w:tc>
      </w:tr>
      <w:tr>
        <w:trPr>
          <w:trHeight w:val="223"/>
        </w:trPr>
        <w:tc>
          <w:tcPr>
            <w:tcW w:w="4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tcBorders>
              <w:bottom w:val="single" w:sz="8" w:color="auto"/>
            </w:tcBorders>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2,599</w:t>
            </w:r>
          </w:p>
        </w:tc>
        <w:tc>
          <w:tcPr>
            <w:tcW w:w="124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2,836</w:t>
            </w:r>
          </w:p>
        </w:tc>
        <w:tc>
          <w:tcPr>
            <w:tcW w:w="1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(2,557)</w:t>
            </w:r>
          </w:p>
        </w:tc>
        <w:tc>
          <w:tcPr>
            <w:tcW w:w="124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(2,184)</w:t>
            </w:r>
          </w:p>
        </w:tc>
        <w:tc>
          <w:tcPr>
            <w:tcW w:w="1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tcBorders>
              <w:bottom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772</w:t>
            </w:r>
          </w:p>
        </w:tc>
        <w:tc>
          <w:tcPr>
            <w:tcW w:w="12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8"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In the third quarter of fiscal years 2022 and 2021, lemon packing costs were $12.0 million and $9.3 million, respectively. During the third quarter of fiscal years 2022 and 2021, we packed and sold 1,512,000 and 1,144,000 cartons of lemons at average per carton costs of $7.91 and $8.11, respectively. Additionally, in the third quarter of fiscal years 2022 and 2021, packing costs included $0.5 million and $0.6 million of shipping costs, respectively.</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Harvest costs increased in the third quarter of fiscal year 2022 primarily as a result of increased volume of lemons and avocados harvested compared to the same period in fiscal year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in the third quarter of fiscal year 2022 was primarily due to the lease of Finca Santa Clara in Argentina and farm management decisions based on weather, harvest timing and crop conditions.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is referred to as third-party grower and supplier costs. The decrease in the third quarter of fiscal year 2022 was primarily due to lower prices, partially offset by increased volume of third-party grower fruit sold, compared to the same period of fiscal year 2021. Of the 1,512,000 and 1,144,000 cartons of lemons packed and sold during the third quarter of fiscal years 2022 and 2021, 695,000 (46%) and 655,000 (57%) were procured from third-party growers at average per carton prices of $12.42 and $14.88, respectively. Additionally, in the third quarter of fiscal years 2022 and 2021, we incurred $7.0 million and $8.1 million, respectively, of costs for purchased, packed fruit for resale.</w:t>
      </w:r>
    </w:p>
    <w:p>
      <w:pPr>
        <w:spacing w:after="0" w:line="2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third quarter of fiscal years 2022 and 2021 was $2.2 million and $2.1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expenses were $1.1 million and $1.0 million in the third quarter of fiscal years 2022 and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net was $0.2 million and zero in the third quarter of fiscal years 2022 and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and expenses were $5.0 million and $4.0 million in the third quarter of fiscal years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24% increase of $1.0 million primarily consisted of the following:</w:t>
      </w:r>
    </w:p>
    <w:p>
      <w:pPr>
        <w:spacing w:after="0" w:line="23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incentive compensation in the third quarter of fiscal year 2022 was $1.0 million higher than the same period of fiscal year 2021.</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expenses, including certain corporate overhead expenses in the third quarter of fiscal year 2022 were $0.1 million higher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 the third quarter of fiscal year 2022 was comprised primarily of $(0.8) million of net interest expense, partially offset by $0.3 million of equity in earnings of investments. Other income in the third quarter of fiscal year 2021 was comprised primarily of $1.5 million of equity in earnings of investments, partially offset by $(0.4) million of net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provision of $3.3 million and $1.3 million in the third quarter of fiscal years 2022 and 2021 on pre-tax income of $10.6 million and $4.5 million, respectively. The tax provision recorded for the third quarter of fiscal year 2022 differs from the U.S. federal statutory tax rate of 21.0% due primarily to foreign jurisdictions which are taxed at different rates, state taxes, tax impact of stock-based compensation, and nondeductible tax items. Our projected annual effective blended tax rate for fiscal year 2022, excluding discrete items, is approximately 41.3%.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10% and 49% of the net loss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2022 Compared to the Nine Months Ended July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for the nine months ended July 31, 2022 were $144.9 million, compared to $132.5 million for the nine months ended July 31, 2021. The 9% increase of $12.4 million was primarily the result of increased avocados and oranges agribusiness revenues, partially offset by decreased lemons and specialty citrus and other crops agribusiness revenues, as detailed below ($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Agribusiness Revenues for the Nine Months Ended July 31,</w:t>
            </w:r>
          </w:p>
        </w:tc>
        <w:tc>
          <w:tcPr>
            <w:tcW w:w="1140" w:type="dxa"/>
            <w:vAlign w:val="bottom"/>
            <w:tcBorders>
              <w:bottom w:val="single" w:sz="8" w:color="auto"/>
            </w:tcBorders>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spacing w:after="0"/>
              <w:rPr>
                <w:sz w:val="19"/>
                <w:szCs w:val="19"/>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10,140</w:t>
            </w:r>
          </w:p>
        </w:tc>
        <w:tc>
          <w:tcPr>
            <w:tcW w:w="1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2,750</w:t>
            </w:r>
          </w:p>
        </w:tc>
        <w:tc>
          <w:tcPr>
            <w:tcW w:w="1140" w:type="dxa"/>
            <w:vAlign w:val="bottom"/>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(652)</w:t>
            </w:r>
          </w:p>
        </w:tc>
        <w:tc>
          <w:tcPr>
            <w:tcW w:w="1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141,046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11,966</w:t>
            </w:r>
          </w:p>
        </w:tc>
        <w:tc>
          <w:tcPr>
            <w:tcW w:w="1140" w:type="dxa"/>
            <w:vAlign w:val="bottom"/>
            <w:tcBorders>
              <w:bottom w:val="single" w:sz="8" w:color="auto"/>
            </w:tcBorders>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5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first nine months of fiscal year 2022 was primarily the result of decreased brokered fruit and other lemon sales, partially offset by increased fresh lemon and shipping and handling sales compared to the same period of fiscal year 2021. During the first nine months of fiscal years 2022 and 2021, fresh lemon sales were $79.8 million and $78.1 million, in aggregate, on 4,271,000 and 3,992,000 cartons of lemons sold at average per carton prices of $18.68 and $19.56, respectively. Lemon revenues in the first nine months of fiscal years 2022 and 2021 included shipping and handling of $19.0 million and $15.5 million, brokered fruit and other lemon sales of $11.5 million and $17.0 million, respectively, and lemon by-product sales of $3.1 million in both fiscal years.</w:t>
      </w:r>
    </w:p>
    <w:p>
      <w:pPr>
        <w:spacing w:after="0" w:line="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first nine months of fiscal year 2022 was primarily the result of increased volume and higher prices of avocados sold, compared to the same period of fiscal year 2021. During the first nine months of fiscal years 2022 and 2021, 7,936,000 and 5,655,000 pounds of avocados were sold at an average per pound price of $2.13 and $1.20,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first nine months of fiscal year 2022 was primarily the result of increased volume and higher prices of oranges sold, compared to the same period of fiscal year 2021. In the first nine months of fiscal years 2022 and 2021, we sold 590,000 and 533,000 40-pound carton equivalents of oranges at an average per carton price of $12.25 and $8.40, respectively.</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decrease in the first nine months of fiscal year 2022 was primarily the result of lower prices, partially offset by increased volume of specialty citrus sold, compared to the same period of fiscal year 2021. During the first nine months of fiscal years 2022 and 2021, we sold 366,000 and 289,000 40-pound carton equivalents of specialty citrus at an average per carton price of $9.26 and $12.40,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revenue in the first nine months of fiscal years 2022 and 2021 was $3.9 million and $3.5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costs and expenses in the first nine months of fiscal year 2022 were $140.9 million, compared to $132.4 million in the same period of fiscal year 2021. The 6% increase of $8.4 million was primarily attributable to increases in our packing costs, harvest costs and selling, general and administrative expenses, partially offset by decreases in our growing costs.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40" w:type="dxa"/>
            <w:vAlign w:val="bottom"/>
            <w:tcBorders>
              <w:bottom w:val="single" w:sz="8" w:color="auto"/>
            </w:tcBorders>
            <w:gridSpan w:val="9"/>
          </w:tcPr>
          <w:p>
            <w:pPr>
              <w:ind w:left="80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Nine Months Ended July 31,</w:t>
            </w:r>
          </w:p>
        </w:tc>
      </w:tr>
      <w:tr>
        <w:trPr>
          <w:trHeight w:val="223"/>
        </w:trPr>
        <w:tc>
          <w:tcPr>
            <w:tcW w:w="43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4,126</w:t>
            </w:r>
          </w:p>
        </w:tc>
        <w:tc>
          <w:tcPr>
            <w:tcW w:w="122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3,205</w:t>
            </w:r>
          </w:p>
        </w:tc>
        <w:tc>
          <w:tcPr>
            <w:tcW w:w="1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(1,108)</w:t>
            </w:r>
          </w:p>
        </w:tc>
        <w:tc>
          <w:tcPr>
            <w:tcW w:w="12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and supplier costs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tcBorders>
              <w:bottom w:val="single" w:sz="8" w:color="auto"/>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(1)%</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120,306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6,235</w:t>
            </w:r>
          </w:p>
        </w:tc>
        <w:tc>
          <w:tcPr>
            <w:tcW w:w="12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5%</w:t>
            </w:r>
          </w:p>
        </w:tc>
      </w:tr>
      <w:tr>
        <w:trPr>
          <w:trHeight w:val="21"/>
        </w:trPr>
        <w:tc>
          <w:tcPr>
            <w:tcW w:w="4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58"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In the first nine months of fiscal years 2022 and 2021, lemon packing costs were $34.2 million and $29.7 million, respectively. During the first nine months of fiscal years 2022 and 2021, we packed and sold 4,271,000 and 3,992,000 cartons of lemons at average per carton costs of $8.00 and $7.44, respectively. Additionally, in the first nine months of fiscal years 2022 and 2021, packing costs included $1.8 million and $2.2 million of shipping costs, respectively.</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Harvest costs increased in the first nine months of fiscal year 2022 primarily as a result of increased volume of lemons and avocados harvested compared to the same period in fiscal year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decrease in the first nine months of fiscal year 2022 was primarily due to the lease of Finca Santa Clara in Argentina, partially offset by increases related to farm management decisions based on weather, harvest timing and crop conditions.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We sell fruit that we grow and fruit that we procure from other growers and suppliers. The cost of procuring fruit from other growers is referred to as third-party grower and supplier costs. The increase in the first nine months of fiscal year 2022 was primarily due to increased volume, partially offset by lower prices of third-party grower fruit sold, compared to the same period of fiscal year 2021. Of the 4,271,000 and 3,992,000 cartons of lemons packed and sold during the first nine months of fiscal years 2022 and 2021, 2,183,000 (51%) and 2,048,000 (51%) were procured from third-party growers at average per carton prices of $12.81 and $14.08, respectively. Additionally, in the first nine months of fiscal years 2022 and 2021, we incurred $11.5 million and $10.6 million, respectively, of costs for purchased, packed fruit for resale.</w:t>
      </w:r>
    </w:p>
    <w:p>
      <w:pPr>
        <w:spacing w:after="0" w:line="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first nine months of fiscal years 2022 and 2021 was $6.5 million and $6.6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operations expenses were $3.3 million and $3.2 million in the first nine months of fiscal years 2022 and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net was $0.5 million and zero in the first nine months of fiscal years 2022 and 2021, respectively.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$16.8 million in the first nine months of fiscal year 2022 compared to $15.2 million in the first nine months of fiscal year 2021. The 11% increase of $1.6 million primarily consisted of the following:</w:t>
      </w:r>
    </w:p>
    <w:p>
      <w:pPr>
        <w:spacing w:after="0" w:line="189" w:lineRule="exact"/>
        <w:rPr>
          <w:sz w:val="20"/>
          <w:szCs w:val="20"/>
          <w:color w:val="auto"/>
        </w:rPr>
      </w:pPr>
    </w:p>
    <w:p>
      <w:pPr>
        <w:ind w:left="340" w:hanging="332"/>
        <w:spacing w:after="0" w:line="261"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incentive compensation for the first nine months of fiscal year 2022 were $1.1 million higher than the same period of fiscal year 2021.</w:t>
      </w:r>
    </w:p>
    <w:p>
      <w:pPr>
        <w:ind w:left="340" w:hanging="332"/>
        <w:spacing w:after="0" w:line="26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 severance for the first nine months of fiscal year 2022 was $0.8 million compared to zero in the same period of fiscal year 2021.</w:t>
      </w:r>
    </w:p>
    <w:p>
      <w:pPr>
        <w:spacing w:after="0" w:line="19"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expenses, including certain corporate overhead expenses, for the first nine months of fiscal year 2022 were $0.3 million lower than the same period of fiscal year 2021.</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in the first nine months of fiscal year 2022 was comprised primarily of $(1.2) million of net interest expense, partially offset by $0.7 million of equity in earnings of investments. Other income in the first nine months of fiscal year 2021 was comprised primarily of $2.5 million of equity in earnings of investments, partially offset by $(0.8) million of net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provision of $1.4 million and $1.1 million in the first nine months of fiscal years 2022 and 2021 on pre-tax income of $3.7 million and $1.9 million, respectively. The tax provision recorded for the first nine months of fiscal year 2022 differs from the U.S. federal statutory tax rate of 21.0% due primarily to foreign jurisdictions which are taxed at different rates, state taxes, tax impact of stock-based compensation, and nondeductible tax items. Our projected annual effective blended tax rate for fiscal year 2022, excluding discrete items, is approximately 41.3%.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10% and 49% of the net loss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2022 Compared to the Three Months Ended July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July 31,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58,923</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58,923</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45,394</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July 31,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38,597</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43,314</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brokered fruit and other lemon revenue such as purchased, packed fruit for resale. For the third quarter of fiscal years 2022 and 2021, our fresh lemons segment total net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$33.8 million and $36.3 million, respectively. The 7% decrease of $2.5 million was primarily due to a net decrease in brokered fruit and other lemon sales of $6.3 million, partially offset by increased fresh lemon sales of $3.4 million.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and costs of lemons we procure from third-party growers and suppliers. For the third quarter of fiscal years 2022 and 2021, our fresh lemons segment costs and expenses were $32.6 million and $31.8 million, respectively. The 2% increase of $0.8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2022 were $2.2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2022 were $1.7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for the third quarter of fiscal year 2022 were $2.3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the third quarter of fiscal year 2022 were $2.5 million higher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intersegment packing revenue and shipping and handling revenue. For the third quarter of fiscal years 2022 and 2021, our lemon packing segment total net revenues were $16.0 million and $11.7 million, respectively. The 37% increase of $4.3 million was primarily due to increased volume of lemons packed and sold.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third quarter of fiscal years 2022 and 2021, our lemon packing costs and expenses were $12.0 million and $9.3 million, respectively. The 29% increase of $2.7 million was primarily due to increased volume of lemons packed and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years 2022 and 2021, lemon packing segment operating income per carton sold was $2.70 and $2.14,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years 2022 and 2021, the lemon packing segment included $9.7 million and $7.2 million, respectively, of intersegment revenues that were charged to the fresh lemons segment to pack lemons for sale. Such intersegment revenues and expenses are eliminated in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 2022 and 2021, our avocados segment had revenues of $12.6 million and $4.1 million,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For the third quarter of fiscal years 2022 and 2021, our avocados segment costs and expenses were $3.2 million and $2.7 million, respectively. The increase of $0.4 million primarily consisted of the following:</w:t>
      </w:r>
    </w:p>
    <w:p>
      <w:pPr>
        <w:spacing w:after="0" w:line="18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2022 were $0.8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2022 were $0.4 million lower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years 2022 and 2021, our other agribusiness segment total net revenues were $4.9 million and $3.0 million, respectively. The 59% increase of $1.8 million primarily consisted of the following:</w:t>
      </w:r>
    </w:p>
    <w:p>
      <w:pPr>
        <w:spacing w:after="0" w:line="16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third quarter of fiscal year 2022 were $1.8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third quarter of fiscal year 2022 were $0.1 million higher than the same period of fiscal year 2021.</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and purchased fruit costs. For the third quarter of fiscal years 2022 and 2021, our other agribusiness costs and expenses were $1.3 million and $2.0 million, respectively. The 35% decrease of $0.7 million primarily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2022 were $0.2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2022 were $0.5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third quarter of fiscal year 2022 were $0.1 million higher than the same period of fiscal year 2021.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for the third quarter of fiscal year 2022 were $0.1 million higher than the same period of fiscal year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$1.3 million and $1.2 million for the third quarter of fiscal years 2022 and 2021,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in our corporate and other operations for the third quarter of fiscal years 2022 and 2021 were approximately $6.1 million and $4.7 million, respectively, and include selling, general and administrative costs and expenses not allocated to the operating segments. Depreciation and amortization expenses for the third quarter of fiscal years 2022 and 2021 were similar at $0.3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2022 Compared to the Nine Months Ended July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nine months ended July 31, 2022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144,947</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141,046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144,947</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113,762</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19,665</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133,427</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nine months ended July 31, 2021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132,532</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132,532</w:t>
            </w:r>
          </w:p>
        </w:tc>
        <w:tc>
          <w:tcPr>
            <w:tcW w:w="0" w:type="dxa"/>
            <w:vAlign w:val="bottom"/>
          </w:tcPr>
          <w:p>
            <w:pPr>
              <w:spacing w:after="0"/>
              <w:rPr>
                <w:sz w:val="1"/>
                <w:szCs w:val="1"/>
                <w:color w:val="auto"/>
              </w:rPr>
            </w:pPr>
          </w:p>
        </w:tc>
      </w:tr>
      <w:tr>
        <w:trPr>
          <w:trHeight w:val="19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89,982</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107,480</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124,924</w:t>
            </w: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0" w:type="dxa"/>
            <w:vAlign w:val="bottom"/>
          </w:tcPr>
          <w:p>
            <w:pPr>
              <w:spacing w:after="0"/>
              <w:rPr>
                <w:sz w:val="1"/>
                <w:szCs w:val="1"/>
                <w:color w:val="auto"/>
              </w:rPr>
            </w:pPr>
          </w:p>
        </w:tc>
      </w:tr>
      <w:tr>
        <w:trPr>
          <w:trHeight w:val="20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Fresh lemons segment revenue is comprised of sales of fresh lemons, lemon by-products and brokered fruit and other lemon revenue such as purchased, packed fruit for resale. For the first nine months of fiscal years 2022 and 2021, our fresh lemons segment total net revenues were $94.4 million and $98.2 million, respectively. The 4% decrease of $3.8 million was primarily due to a decrease in brokered fruit and other lemon sales of $5.5 million, partially offset by increased fresh lemon sales of $1.7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growing costs, harvest costs and costs of lemons we procure from third-party growers and suppliers. For the first nine months of fiscal years 2022 and 2021, our fresh lemons segment costs and expenses were $92.0 million and $90.0 million, respectively. The 2% increase of $2.0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2022 were $2.6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2022 were $2.0 million lower than the same period of fiscal year 2021.</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7" w:name="page38"/>
    <w:bookmarkEnd w:id="37"/>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and supplier costs for the first nine months of fiscal year 2022 were $0.7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the first nine months of fiscal year 2022 were $0.4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the first nine months of fiscal year 2022 were $2.5 million higher than the same period of fiscal year 2021.</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 packing segment revenue is comprised of packing revenue, intersegment packing revenue and shipping and handling revenue. For the first nine months of fiscal years 2022 and 2021, our lemon packing segment total net revenues were $44.7 million and $38.7 million, respectively. The 16% increase of $6.0 million was primarily due to increased volume of lemons packed and sold.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nine months of fiscal years 2022 and 2021, our lemon packing costs and expenses were $34.2 million and $29.7 million, respectively. The 15% increase of $4.5 million was primarily due to increased volume of lemons packed and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2022 and 2021, lemon packing segment operating income per carton sold was $2.47 and $2.26,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first nine months of fiscal years 2022 and 2021, the lemon packing segment included $25.7 million and $23.2 million, respectively, of intersegment revenues that were charged to the fresh lemons segment to pack lemons for sale. Such intersegment revenues and expenses are eliminated in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2022 and 2021, our avocados segment had revenues of $16.9 million and $6.8 million,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growing and harvest costs. For the first nine months of fiscal years 2022 and 2021, our avocados segment costs and expenses were $5.5 million and $4.1 million, respectively. The increase of $1.4 million primarily consisted of the following:</w:t>
      </w:r>
    </w:p>
    <w:p>
      <w:pPr>
        <w:spacing w:after="0" w:line="189"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2022 were $1.0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2022 were $0.4 million higher than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2022 and 2021, our other agribusiness segment total net revenues were $10.7 million and $8.6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24% increase of $2.1 million primarily consisted of the following:</w:t>
      </w:r>
    </w:p>
    <w:p>
      <w:pPr>
        <w:spacing w:after="0" w:line="207"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first nine months of fiscal year 2022 were $2.8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first nine months of fiscal year 2022 were $0.7 million lower than the same period of fiscal year 2021.</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growing costs, harvest costs and purchased fruit costs. For the first nine months of fiscal years 2022 and 2021, our other agribusiness costs and expenses were $7.7 million and $6.8 million, respectively. The 13% increase of $0.9 million primarily consisted of the following:</w:t>
      </w:r>
    </w:p>
    <w:p>
      <w:pPr>
        <w:spacing w:after="0" w:line="203"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2022 were $0.4 million lower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2022 were $0.5 million higher than the same period of fiscal year 2021.</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first nine months of fiscal year 2022 were $0.8 million higher than the same period of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Total agribusiness depreciation and amortization expenses for the first nine months of fiscal year 2022 were similar to the same period of fiscal year 2021.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and other operations had revenues of $3.9 million and $3.5 million for the first nine months of fiscal years 2022 and 2021,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in our corporate and other operations for the first nine months of fiscal years 2022 and 2021 were approximately $19.7 million and $17.4 million, respectively, and include selling, general and administrative costs and expenses not allocated to the operating segments. Depreciation and amortization expenses for the first nine months of fiscal years 2022 and 2021 were similar at $0.9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July 31, 2022 and 2021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Trailing Twelve Months Ended</w:t>
            </w:r>
          </w:p>
        </w:tc>
      </w:tr>
      <w:tr>
        <w:trPr>
          <w:trHeight w:val="241"/>
        </w:trPr>
        <w:tc>
          <w:tcPr>
            <w:tcW w:w="8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20" w:type="dxa"/>
            <w:vAlign w:val="bottom"/>
            <w:tcBorders>
              <w:bottom w:val="single" w:sz="8" w:color="auto"/>
            </w:tcBorders>
          </w:tcPr>
          <w:p>
            <w:pPr>
              <w:spacing w:after="0"/>
              <w:rPr>
                <w:sz w:val="20"/>
                <w:szCs w:val="20"/>
                <w:color w:val="auto"/>
              </w:rPr>
            </w:pPr>
          </w:p>
        </w:tc>
      </w:tr>
      <w:tr>
        <w:trPr>
          <w:trHeight w:val="225"/>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157,708</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162,305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146,034</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171,710</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patronage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Limoneira Company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7" w:lineRule="exact"/>
        <w:rPr>
          <w:sz w:val="20"/>
          <w:szCs w:val="20"/>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$16.1 million in the twelve months ended July 31, 2022 compared to the twelve months ended July 31, 2021, primarily due to increased agribusiness revenues, particularly increased avocado sales.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increased $9.1 million in the twelve months ended July 31, 2022 compared to the twelve months ended July 31, 2021, primarily due to increases in our agribusiness costs.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decreased $1.2 million in the twelve months ended July 31, 2022 compared to the twelve months ended July 31, 2021, primarily due to decreased equity in earnings of investments.</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decreased $1.5 million in the twelve months ended July 31, 2022 compared to the twelve months ended July 31, 2021, primarily due to the decrease in pre-tax loss of $5.9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purchase obligations, long-term fixed rate and variable rate debt and related interest payments, operating and finance leases and our noncontributory, defined benefit pension plan (“the Plan”). In fiscal year 2021, we decided to terminate the Plan effective December 31, 2021. The liabilities disclosed as of July 31, 2022, reflect an estimate of the additional cost to pay lump sums to a portion of the active and vested terminated participants and purchase annuities for all remaining participants from an insurance company. See Note 10 - Long-Term Debt, Note 11 - Leases and Note 15 - Retirement Plans to the consolidated financial statements in this Quarterly Report on Form 10-Q for amounts outstanding as of July 31, 2022, related to debt, leases and the Plan. Purchase obligations consist of contracts primarily related to packing supplies and pollination services, the majority of which are due in the next three years.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July 31, 2022, net cash provided by operating activities was $10.9 million, compared to net cash provided by operating activities of $16.8 million for the nine months ended July 31, 2021. The significant components of our cash flows provided by operating activities were as follows:</w:t>
      </w:r>
    </w:p>
    <w:p>
      <w:pPr>
        <w:spacing w:after="0" w:line="162" w:lineRule="exact"/>
        <w:rPr>
          <w:sz w:val="20"/>
          <w:szCs w:val="20"/>
          <w:color w:val="auto"/>
        </w:rPr>
      </w:pPr>
    </w:p>
    <w:p>
      <w:pPr>
        <w:jc w:val="both"/>
        <w:ind w:left="34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nine months ended July 31, 2022 and 2021 was $2.3 million and $0.8 million, respectively. The components of net income in the nine months ended July 31, 2022, compared to the net income in the same period in fiscal year 2021 consist of an increase in operating income of $4.0 million, a decrease in total other income of $2.2 million and an increase in income tax expense of $0.3 million.</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reconcile net income to net cash provided by operating activities: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100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provided $11.9 million and $8.7 million in the nine months ended July 31, 2022 and 2021, respectively, primarily due to depreciation and amortization, stock compensation expense and deferred income taxes.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(used) provided $(3.3) million and $7.3 million of operating cash in the nine months ended July 31, 2022 and 2021, respectively, primarily due to accounts receivables/other from related parties, cultural costs, prepaid expenses and other current assets and accrued liabilities and payables to related parties.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July 31, 2022 and 2021, net cash used in investing activities was $5.3 million and $8.7 million, respectively.</w:t>
      </w:r>
    </w:p>
    <w:p>
      <w:pPr>
        <w:spacing w:after="0" w:line="225" w:lineRule="exact"/>
        <w:rPr>
          <w:sz w:val="20"/>
          <w:szCs w:val="20"/>
          <w:color w:val="auto"/>
        </w:rPr>
      </w:pPr>
    </w:p>
    <w:p>
      <w:pPr>
        <w:ind w:left="340" w:right="20" w:hanging="332"/>
        <w:spacing w:after="0" w:line="281"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$7.7 million in the nine months ended July 31, 2022, comprised of $7.3 million for property, plant and equipment primarily related to orchard development and $0.4 million for real estate development projects.</w:t>
      </w:r>
    </w:p>
    <w:p>
      <w:pPr>
        <w:spacing w:after="0" w:line="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$8.3 million in the nine months ended July 31, 2021, comprised of $8.0 million for property, plant and equipment primarily related to orchard and vineyard development and $0.3 million for real estate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July 31, 2022 and 2021, net cash used in financing activities was $4.8 million and $7.8 million, respectively.</w:t>
      </w:r>
    </w:p>
    <w:p>
      <w:pPr>
        <w:spacing w:after="0" w:line="225" w:lineRule="exact"/>
        <w:rPr>
          <w:sz w:val="20"/>
          <w:szCs w:val="20"/>
          <w:color w:val="auto"/>
        </w:rPr>
      </w:pPr>
    </w:p>
    <w:p>
      <w:pPr>
        <w:ind w:left="340" w:right="20" w:hanging="332"/>
        <w:spacing w:after="0" w:line="28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$4.8 million of cash used in financing activities during the nine months ended July 31, 2022 was primarily comprised of common and preferred dividends, in aggregate, of $4.4 million, the exchange of common stock of $1.1 million and proceeds from equipment financings of $1.0 million.</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$7.8 million of cash used in financing activities during the nine months ended July 31, 2021 was primarily comprised of net repayments of long-term debt in the amount of $2.8 million and common and preferred dividends, in aggregate, of $4.4 million.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Affecting Liquidity and Capital Resources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 and Long-Term Debt</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our Farm Credit West Credit Facility, which includes the MLA, Supplements and Revolving Equity Line of Credit (the "RELOC"). In addition, we have the Farm Credit West term loans, Banco de Chile term loans and COVID-19 loans, and a note payable to the sellers of a land parcel. Additional information regarding these loans and the note payable can be found in Note 10 - Long-Term Debt to the consolidated financial statements included in this Quarterly Report on Form 10-Q.</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we entered into the MLA with the Lender dated June 1, 2021, together with the Supplements and a Fixed Interest Rate Agreement. The MLA governs the terms of the Supplements. The MLA amends and restates the previous Master Loan Agreement between us and the Lender, dated June 19, 2017, and extends the principal repayment to July 1, 2026.</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 million, comprised of $75.0 million under the Revolving Credit Supplement, $40.0 million under the Non-Revolving Credit Supplement and $15.0 million under the RELOC. As of July 31, 2022, our outstanding borrowings under the Farm Credit West Credit Facility and RELOC were $113.0 million and we had $17.0 million of availability.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on an annual basis. In December 2021, the Lender modified the covenant to defer measurement at October 31, 2021 and revert to a debt service coverage ratio of 1.25:1.0 measured as of October 31, 2022. We expect to be in compliance with these covenants in fiscal year 2022.</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years 2022 and 2021, Farm Credit West declared an annual patronage dividend of $1.6 million and $1.2 million, respectively, which we received in the second quarter of fiscal years 2022 and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fiscal year 2021, our Company's Board of Directors approved a share repurchase program authorizing us to repurchase up to $10.0 million of our outstanding shares of common stock through September 2022. No shares have been repurchased under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the Series B Convertible Preferred Stock (the “Series B Stock”) and the Series B-2 Preferred Stock (the “Series B-2 Preferred Stock”) are entitled to receive cumulative cash dividends. Such preferred dividends paid were $0.4 million in the nine months ended July 31, 2022 and 2021,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dividends declared in the nine months ended July 31, 2022 and 2021 were $0.23 per common share and such dividends paid were $4.0 million in the nine months ended July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7 – Real Estate Development and Note 8 – Equity in Investments of the notes to consolidated financial statements included in our fiscal year 2021 Annual Report on Form 10-K, we have investments in joint ventures and partnerships that are accounted for using the equity method of accounting.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nine months ended July 31, 2022, our critical accounting policies and estimates have not changed since the filing of our Annual Report on Form 10-K as of October 31, 2021. Please refer to that filing for a description of our critical accounting policies and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2021 as filed with the SEC on January 10,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July 31, 2022, we evaluated, under the supervision and with the participation of our management,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material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16 - Commitments and Contingencies of the notes to the consolidated financial statements in this Quarterly Report on Form 10-Q for the quarter ended July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changes in the disclosures discussed in the section entitled “Risk Factors” in Part I, Item 1A of our Annual Report on Form 10-K for the fiscal year ended October 31, 2021, as filed with the SEC on January 10,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6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60" w:type="dxa"/>
            <w:vAlign w:val="bottom"/>
            <w:tcBorders>
              <w:bottom w:val="single" w:sz="8" w:color="auto"/>
            </w:tcBorders>
            <w:gridSpan w:val="3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33"/>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Company’s Registration Statement on Form 10, and amendments thereto, declared effective April 13, 2010 (File No. 000-53885))</w:t>
              </w:r>
            </w:hyperlink>
          </w:p>
        </w:tc>
        <w:tc>
          <w:tcPr>
            <w:tcW w:w="3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6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0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declared effective April 13, 2010 (File No. 000-53885))</w:t>
              </w:r>
            </w:hyperlink>
          </w:p>
        </w:tc>
        <w:tc>
          <w:tcPr>
            <w:tcW w:w="55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9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Exhibit 3.3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6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No. 000-53885))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96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reference to Exhibit 3.6 to the Company’s Registration Statement on Form 10, and amendments thereto, declared effective April 13,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20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2010 (File No. 000-53885))</w:t>
              </w:r>
            </w:hyperlink>
          </w:p>
        </w:tc>
        <w:tc>
          <w:tcPr>
            <w:tcW w:w="7720" w:type="dxa"/>
            <w:vAlign w:val="bottom"/>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8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3.7 to the Company’s Registration Statement on Form 10, and amendments thereto, declared effective April 13, 2010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6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No. 000-53885))</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Certificate of Amendment of Certificate of Incorporation of Limoneira Company, dated March 24, 2010 (Incorporated by reference</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98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to Exhibit 3.9 to the Company’s Registration Statement on Form 10, and amendments thereto, declared effective April 13, 2010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940" w:type="dxa"/>
            <w:vAlign w:val="bottom"/>
            <w:gridSpan w:val="32"/>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No. 000-53885))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9960" w:type="dxa"/>
            <w:vAlign w:val="bottom"/>
            <w:gridSpan w:val="33"/>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Amendment of Certificate of Incorporation of Limoneira Company, dated March 29, 2017 (Incorporated by reference</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8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to Exhibit 3.1 to the Company’s Current Report on Form 8-K, filed March 31, 2017 (File No. 001-34755))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9960" w:type="dxa"/>
            <w:vAlign w:val="bottom"/>
            <w:gridSpan w:val="33"/>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Bylaws of Limoneira Company (Incorporated by reference to Exhibit 3.1 to the Company's Current Report</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43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on Form 8-K, filed October 27, 2021 (File No. 001-34755))</w:t>
              </w:r>
            </w:hyperlink>
          </w:p>
        </w:tc>
        <w:tc>
          <w:tcPr>
            <w:tcW w:w="54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 xml:space="preserve">Specimen Certificate representing shares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(Incorporated by reference to Exhibit 4.1 to</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 Company’s Registration Statement on Form 10, and amendments thereto, declared effective April 13, 2010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20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53885)</w:t>
              </w:r>
              <w:r>
                <w:rPr>
                  <w:rFonts w:ascii="Times New Roman" w:cs="Times New Roman" w:eastAsia="Times New Roman" w:hAnsi="Times New Roman"/>
                  <w:sz w:val="18"/>
                  <w:szCs w:val="18"/>
                  <w:u w:val="single" w:color="auto"/>
                  <w:color w:val="0000FF"/>
                </w:rPr>
                <w:t>)</w:t>
              </w:r>
            </w:hyperlink>
          </w:p>
        </w:tc>
        <w:tc>
          <w:tcPr>
            <w:tcW w:w="80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7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Agent (Incorporated by reference to Exhibit 4.2 to the Company’s Registration Statement on Form 10, and amendments thereto,</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0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declared effective April 13, 2010 (File No. 000-53885))</w:t>
              </w:r>
            </w:hyperlink>
          </w:p>
        </w:tc>
        <w:tc>
          <w:tcPr>
            <w:tcW w:w="5580" w:type="dxa"/>
            <w:vAlign w:val="bottom"/>
            <w:tcBorders>
              <w:top w:val="single" w:sz="8" w:color="0000FF"/>
            </w:tcBorders>
            <w:gridSpan w:val="10"/>
          </w:tcPr>
          <w:p>
            <w:pPr>
              <w:spacing w:after="0"/>
              <w:rPr>
                <w:sz w:val="14"/>
                <w:szCs w:val="14"/>
                <w:color w:val="auto"/>
              </w:rPr>
            </w:pPr>
          </w:p>
        </w:tc>
        <w:tc>
          <w:tcPr>
            <w:tcW w:w="180" w:type="dxa"/>
            <w:vAlign w:val="bottom"/>
            <w:gridSpan w:val="9"/>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 xml:space="preserve">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 Limoneira</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5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Company, dated May 21, 1997 (Incorporated by reference to Exhibit 3.4 to the Company’s Registration Statement on Form 10, and</w:t>
              </w:r>
            </w:hyperlink>
          </w:p>
        </w:tc>
        <w:tc>
          <w:tcPr>
            <w:tcW w:w="200" w:type="dxa"/>
            <w:vAlign w:val="bottom"/>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8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amendments thereto, declared effective April 13, 2010 (File No. 000-53885))</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 xml:space="preserve">Amended Certificate of Designation, Preferences and Rights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8.75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 of</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7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Limoneira Company, dated May 21, 1997 (Incorporated by reference to Exhibit 3.5 to the Company’s Registration Statement on</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65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Form 10, and amendments thereto, declared effective April 13, 2010 (File No. 000-53885))</w:t>
              </w:r>
            </w:hyperlink>
          </w:p>
        </w:tc>
        <w:tc>
          <w:tcPr>
            <w:tcW w:w="328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9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8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and amendments thereto, declared effective April 13, 2010 (File No. 000-53885))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06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tcPr>
          <w:p>
            <w:pPr>
              <w:spacing w:after="0"/>
              <w:rPr>
                <w:sz w:val="24"/>
                <w:szCs w:val="24"/>
                <w:color w:val="auto"/>
              </w:rPr>
            </w:pPr>
          </w:p>
        </w:tc>
        <w:tc>
          <w:tcPr>
            <w:tcW w:w="9960" w:type="dxa"/>
            <w:vAlign w:val="bottom"/>
            <w:gridSpan w:val="33"/>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 xml:space="preserve">Certificate of Designation, Preferences and Rights of 4% Voting Preferred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100.00 Par Value, Series B-2 of Limoneira</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9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9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March 24, 2014 (File No. 001-34755))</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927" w:right="8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00" w:type="dxa"/>
            <w:vAlign w:val="bottom"/>
            <w:gridSpan w:val="1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15"/>
          </w:tcPr>
          <w:p>
            <w:pPr>
              <w:spacing w:after="0" w:line="194"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Limoneira 2022 Omnibus Incentive Plan, as approved by the Stockholders on March 22, 2022 (Incorporated by reference to Exhibit</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69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10.2 to the Company’s Current Report on Form 8-K, filed August 1, 2022 (File No. 001-34755))</w:t>
              </w:r>
            </w:hyperlink>
          </w:p>
        </w:tc>
        <w:tc>
          <w:tcPr>
            <w:tcW w:w="2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9700" w:type="dxa"/>
            <w:vAlign w:val="bottom"/>
            <w:gridSpan w:val="1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Time-Based Restricted Share Award Agreement for Non-Employee Directors, Pursuant to the Limoneira Company 2022</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96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Omnibus Incentive Plan (Incorporated by reference to Exhibit 10.3 to the Company’s Current Report on Form 8-K, filed August 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82">
              <w:r>
                <w:rPr>
                  <w:rFonts w:ascii="Times New Roman" w:cs="Times New Roman" w:eastAsia="Times New Roman" w:hAnsi="Times New Roman"/>
                  <w:sz w:val="18"/>
                  <w:szCs w:val="18"/>
                  <w:color w:val="0000FF"/>
                  <w:w w:val="95"/>
                </w:rPr>
                <w:t>2022)</w:t>
              </w:r>
            </w:hyperlink>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gridSpan w:val="15"/>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Performance-Based Restricted Share Award Agreement, Pursuant to the Limoneira Company 2022 Omnibus Incentive Plan</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81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(Incorporated by reference to Exhibit 10.4 to the Company’s Current Report on Form 8-K, filed August 1, 2022)</w:t>
              </w:r>
            </w:hyperlink>
          </w:p>
        </w:tc>
        <w:tc>
          <w:tcPr>
            <w:tcW w:w="10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15"/>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Time-Based Restricted Share Award Agreement for Employees, Pursuant to the Limoneira Company 2022 Omnibus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1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Incentive Plan (Incorporated by reference to Exhibit 10.5 to the Company’s Current Report on Form 8-K, filed August 1, 2022)</w:t>
              </w:r>
            </w:hyperlink>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Exchange Act Rule 13a-14(a) and 15d-14(a)</w:t>
            </w: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Exchange Act Rule 13a-14(a) and 15d-14(a)</w:t>
            </w:r>
          </w:p>
        </w:tc>
        <w:tc>
          <w:tcPr>
            <w:tcW w:w="40" w:type="dxa"/>
            <w:vAlign w:val="bottom"/>
            <w:tcBorders>
              <w:top w:val="single" w:sz="8" w:color="0000FF"/>
            </w:tcBorders>
          </w:tcPr>
          <w:p>
            <w:pPr>
              <w:spacing w:after="0"/>
              <w:rPr>
                <w:sz w:val="24"/>
                <w:szCs w:val="24"/>
                <w:color w:val="auto"/>
              </w:rPr>
            </w:pPr>
          </w:p>
        </w:tc>
        <w:tc>
          <w:tcPr>
            <w:tcW w:w="2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76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7520" w:type="dxa"/>
            <w:vAlign w:val="bottom"/>
            <w:tcBorders>
              <w:top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40" w:hanging="113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for the quarter ended July 31, 2022 has been formatted in Inline</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9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or furnished herewith,</w:t>
      </w:r>
    </w:p>
    <w:p>
      <w:pPr>
        <w:spacing w:after="0" w:line="252" w:lineRule="exact"/>
        <w:rPr>
          <w:rFonts w:ascii="Times New Roman" w:cs="Times New Roman" w:eastAsia="Times New Roman" w:hAnsi="Times New Roman"/>
          <w:sz w:val="18"/>
          <w:szCs w:val="18"/>
          <w:color w:val="auto"/>
        </w:rPr>
      </w:pPr>
    </w:p>
    <w:p>
      <w:pPr>
        <w:jc w:val="both"/>
        <w:ind w:left="112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945" w:right="7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3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8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3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60" w:hanging="412"/>
        <w:spacing w:after="0" w:line="266" w:lineRule="auto"/>
        <w:tabs>
          <w:tab w:leader="none" w:pos="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8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9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00" w:hanging="406"/>
        <w:spacing w:after="0" w:line="257" w:lineRule="auto"/>
        <w:tabs>
          <w:tab w:leader="none" w:pos="8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3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8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9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77470</wp:posOffset>
            </wp:positionV>
            <wp:extent cx="3385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2022 (the “Report”) of Limoneira Company (the “Registrant”), as filed with the Securities and Exchange Commission on the date hereof, I, Harold S. Edwards, hereby certify that:</w:t>
      </w:r>
    </w:p>
    <w:p>
      <w:pPr>
        <w:spacing w:after="0" w:line="40" w:lineRule="exact"/>
        <w:rPr>
          <w:sz w:val="20"/>
          <w:szCs w:val="20"/>
          <w:color w:val="auto"/>
        </w:rPr>
      </w:pPr>
    </w:p>
    <w:p>
      <w:pPr>
        <w:ind w:left="880" w:hanging="386"/>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14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2022 (the “Report”) of Limoneira Company (the “Registrant”), as filed with the Securities and Exchange Commission on the date hereof, I, Mark Palamountain, hereby certify that:</w:t>
      </w:r>
    </w:p>
    <w:p>
      <w:pPr>
        <w:spacing w:after="0" w:line="40" w:lineRule="exact"/>
        <w:rPr>
          <w:sz w:val="20"/>
          <w:szCs w:val="20"/>
          <w:color w:val="auto"/>
        </w:rPr>
      </w:pPr>
    </w:p>
    <w:p>
      <w:pPr>
        <w:ind w:left="880" w:hanging="386"/>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00" w:hanging="406"/>
        <w:spacing w:after="0" w:line="282" w:lineRule="auto"/>
        <w:tabs>
          <w:tab w:leader="none" w:pos="9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20"/>
        <w:spacing w:after="0"/>
        <w:tabs>
          <w:tab w:leader="none" w:pos="6140" w:val="left"/>
        </w:tabs>
        <w:rPr>
          <w:sz w:val="20"/>
          <w:szCs w:val="20"/>
          <w:color w:val="auto"/>
        </w:rPr>
      </w:pPr>
      <w:r>
        <w:rPr>
          <w:rFonts w:ascii="Times New Roman" w:cs="Times New Roman" w:eastAsia="Times New Roman" w:hAnsi="Times New Roman"/>
          <w:sz w:val="18"/>
          <w:szCs w:val="18"/>
          <w:color w:val="auto"/>
        </w:rPr>
        <w:t>September 8, 2022</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77470</wp:posOffset>
            </wp:positionV>
            <wp:extent cx="3240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17"/>
    </w:lvl>
  </w:abstractNum>
  <w:abstractNum w:abstractNumId="9">
    <w:nsid w:val="721DA317"/>
    <w:multiLevelType w:val="hybridMultilevel"/>
    <w:lvl w:ilvl="0">
      <w:lvlJc w:val="left"/>
      <w:lvlText w:val="%1."/>
      <w:numFmt w:val="decimal"/>
      <w:start w:val="17"/>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lvl w:ilvl="1">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04"/>
    </w:lvl>
    <w:lvl w:ilvl="1">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0"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66" Type="http://schemas.openxmlformats.org/officeDocument/2006/relationships/hyperlink" Target="http://www.sec.gov/Archives/edgar/data/1342423/000114420410007241/v173157_ex3-1.htm" TargetMode="External"/><Relationship Id="rId67" Type="http://schemas.openxmlformats.org/officeDocument/2006/relationships/hyperlink" Target="http://www.sec.gov/Archives/edgar/data/1342423/000114420410007241/v173157_ex3-2.htm" TargetMode="External"/><Relationship Id="rId68" Type="http://schemas.openxmlformats.org/officeDocument/2006/relationships/hyperlink" Target="http://www.sec.gov/Archives/edgar/data/1342423/000114420410007241/v173157_ex3-3.htm" TargetMode="External"/><Relationship Id="rId69" Type="http://schemas.openxmlformats.org/officeDocument/2006/relationships/hyperlink" Target="http://www.sec.gov/Archives/edgar/data/1342423/000114420410007241/v173157_ex3-6.htm" TargetMode="External"/><Relationship Id="rId70" Type="http://schemas.openxmlformats.org/officeDocument/2006/relationships/hyperlink" Target="http://www.sec.gov/Archives/edgar/data/1342423/000114420410007241/v173157_ex3-7.htm" TargetMode="External"/><Relationship Id="rId71" Type="http://schemas.openxmlformats.org/officeDocument/2006/relationships/hyperlink" Target="http://www.sec.gov/Archives/edgar/data/1342423/000114420410017415/v178900_ex3-9.htm" TargetMode="External"/><Relationship Id="rId72" Type="http://schemas.openxmlformats.org/officeDocument/2006/relationships/hyperlink" Target="http://www.sec.gov/Archives/edgar/data/1342423/000114420417018212/v463210_ex3-1.htm" TargetMode="External"/><Relationship Id="rId73" Type="http://schemas.openxmlformats.org/officeDocument/2006/relationships/hyperlink" Target="http://www.sec.gov/Archives/edgar/data/1342423/000110465921130485/tm2131208d1_ex3-1.htm" TargetMode="External"/><Relationship Id="rId74" Type="http://schemas.openxmlformats.org/officeDocument/2006/relationships/hyperlink" Target="http://www.sec.gov/Archives/edgar/data/1342423/000114420410007241/v173157_ex4-1.htm" TargetMode="External"/><Relationship Id="rId75" Type="http://schemas.openxmlformats.org/officeDocument/2006/relationships/hyperlink" Target="http://www.sec.gov/Archives/edgar/data/1342423/000114420410007241/v173157_ex4-2.htm" TargetMode="External"/><Relationship Id="rId76" Type="http://schemas.openxmlformats.org/officeDocument/2006/relationships/hyperlink" Target="http://www.sec.gov/Archives/edgar/data/1342423/000114420410007241/v173157_ex3-4.htm" TargetMode="External"/><Relationship Id="rId77" Type="http://schemas.openxmlformats.org/officeDocument/2006/relationships/hyperlink" Target="http://www.sec.gov/Archives/edgar/data/1342423/000114420410007241/v173157_ex3-5.htm" TargetMode="External"/><Relationship Id="rId78" Type="http://schemas.openxmlformats.org/officeDocument/2006/relationships/hyperlink" Target="http://www.sec.gov/Archives/edgar/data/1342423/000114420410007241/v173157_ex3-8.htm" TargetMode="External"/><Relationship Id="rId79" Type="http://schemas.openxmlformats.org/officeDocument/2006/relationships/hyperlink" Target="http://www.sec.gov/Archives/edgar/data/1342423/000114420414017379/v372494_ex3-1.htm" TargetMode="External"/><Relationship Id="rId81" Type="http://schemas.openxmlformats.org/officeDocument/2006/relationships/hyperlink" Target="http://www.sec.gov/Archives/edgar/data/1342423/000110465922084701/tm2221856d1_ex10-2.htm" TargetMode="External"/><Relationship Id="rId82" Type="http://schemas.openxmlformats.org/officeDocument/2006/relationships/hyperlink" Target="http://www.sec.gov/Archives/edgar/data/1342423/000110465922084701/tm2221856d1_ex10-3.htm" TargetMode="External"/><Relationship Id="rId83" Type="http://schemas.openxmlformats.org/officeDocument/2006/relationships/hyperlink" Target="http://www.sec.gov/Archives/edgar/data/1342423/000110465922084701/tm2221856d1_ex10-4.htm" TargetMode="External"/><Relationship Id="rId84" Type="http://schemas.openxmlformats.org/officeDocument/2006/relationships/hyperlink" Target="http://www.sec.gov/Archives/edgar/data/1342423/000110465922084701/tm2221856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2022-09-08T15:12:21Z</dcterms:created>
  <dcterms:modified xsi:type="dcterms:W3CDTF">2022-09-08T15:12:21Z</dcterms:modified>
</cp:coreProperties>
</file>